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06185">
      <w:pPr>
        <w:keepNext w:val="0"/>
        <w:keepLines w:val="0"/>
        <w:pageBreakBefore w:val="0"/>
        <w:widowControl w:val="0"/>
        <w:kinsoku/>
        <w:wordWrap/>
        <w:overflowPunct/>
        <w:topLinePunct w:val="0"/>
        <w:autoSpaceDE/>
        <w:autoSpaceDN/>
        <w:bidi w:val="0"/>
        <w:adjustRightInd/>
        <w:snapToGrid/>
        <w:spacing w:before="0" w:beforeLines="50" w:after="0" w:afterLines="50" w:line="600" w:lineRule="exact"/>
        <w:jc w:val="center"/>
        <w:textAlignment w:val="auto"/>
        <w:rPr>
          <w:rFonts w:hint="eastAsia" w:ascii="Times New Roman" w:hAnsi="Times New Roman" w:eastAsia="宋体" w:cs="Times New Roman"/>
          <w:b/>
          <w:snapToGrid/>
          <w:color w:val="auto"/>
          <w:kern w:val="0"/>
          <w:sz w:val="48"/>
          <w:szCs w:val="48"/>
          <w:lang w:val="en-US" w:eastAsia="zh-CN" w:bidi="ar-SA"/>
        </w:rPr>
      </w:pPr>
    </w:p>
    <w:p w14:paraId="43C4EF52">
      <w:pPr>
        <w:keepNext w:val="0"/>
        <w:keepLines w:val="0"/>
        <w:pageBreakBefore w:val="0"/>
        <w:widowControl w:val="0"/>
        <w:kinsoku/>
        <w:wordWrap/>
        <w:overflowPunct/>
        <w:topLinePunct w:val="0"/>
        <w:autoSpaceDE/>
        <w:autoSpaceDN/>
        <w:bidi w:val="0"/>
        <w:adjustRightInd/>
        <w:snapToGrid/>
        <w:spacing w:before="0" w:beforeLines="50" w:after="0" w:afterLines="50" w:line="600" w:lineRule="exact"/>
        <w:jc w:val="center"/>
        <w:textAlignment w:val="auto"/>
        <w:rPr>
          <w:rFonts w:hint="eastAsia" w:ascii="Times New Roman" w:hAnsi="Times New Roman" w:eastAsia="宋体" w:cs="Times New Roman"/>
          <w:b/>
          <w:snapToGrid/>
          <w:color w:val="auto"/>
          <w:kern w:val="0"/>
          <w:sz w:val="48"/>
          <w:szCs w:val="48"/>
          <w:lang w:val="en-US" w:eastAsia="zh-CN" w:bidi="ar-SA"/>
        </w:rPr>
      </w:pPr>
    </w:p>
    <w:p w14:paraId="587E25D1">
      <w:pPr>
        <w:keepNext w:val="0"/>
        <w:keepLines w:val="0"/>
        <w:pageBreakBefore w:val="0"/>
        <w:wordWrap/>
        <w:overflowPunct/>
        <w:topLinePunct w:val="0"/>
        <w:autoSpaceDE/>
        <w:autoSpaceDN/>
        <w:bidi w:val="0"/>
        <w:spacing w:before="0" w:beforeLines="50" w:after="0" w:afterLines="50" w:line="600" w:lineRule="exact"/>
        <w:jc w:val="center"/>
        <w:outlineLvl w:val="9"/>
        <w:rPr>
          <w:rFonts w:hint="eastAsia" w:asciiTheme="minorEastAsia" w:hAnsiTheme="minorEastAsia" w:eastAsiaTheme="minorEastAsia" w:cstheme="minorEastAsia"/>
          <w:b/>
          <w:bCs/>
          <w:color w:val="auto"/>
          <w:sz w:val="48"/>
          <w:szCs w:val="21"/>
          <w:lang w:val="en-US" w:eastAsia="zh-CN"/>
        </w:rPr>
      </w:pPr>
      <w:bookmarkStart w:id="0" w:name="_Toc26383"/>
      <w:bookmarkStart w:id="1" w:name="_Toc22893"/>
      <w:bookmarkStart w:id="2" w:name="_Toc30168"/>
      <w:bookmarkStart w:id="3" w:name="_Toc25801"/>
      <w:bookmarkStart w:id="4" w:name="_Toc23995"/>
      <w:r>
        <w:rPr>
          <w:rFonts w:hint="eastAsia" w:asciiTheme="minorEastAsia" w:hAnsiTheme="minorEastAsia" w:eastAsiaTheme="minorEastAsia" w:cstheme="minorEastAsia"/>
          <w:b/>
          <w:bCs/>
          <w:color w:val="auto"/>
          <w:sz w:val="48"/>
          <w:szCs w:val="21"/>
          <w:lang w:val="en-US" w:eastAsia="zh-CN"/>
        </w:rPr>
        <w:t>江西临川鲁金矿业有限公司</w:t>
      </w:r>
      <w:bookmarkEnd w:id="0"/>
      <w:bookmarkEnd w:id="1"/>
      <w:bookmarkEnd w:id="2"/>
      <w:bookmarkEnd w:id="3"/>
      <w:bookmarkEnd w:id="4"/>
    </w:p>
    <w:p w14:paraId="560ACA9A">
      <w:pPr>
        <w:keepNext w:val="0"/>
        <w:keepLines w:val="0"/>
        <w:pageBreakBefore w:val="0"/>
        <w:wordWrap/>
        <w:overflowPunct/>
        <w:topLinePunct w:val="0"/>
        <w:autoSpaceDE/>
        <w:autoSpaceDN/>
        <w:bidi w:val="0"/>
        <w:spacing w:before="0" w:beforeLines="50" w:after="0" w:afterLines="50" w:line="600" w:lineRule="exact"/>
        <w:jc w:val="center"/>
        <w:outlineLvl w:val="9"/>
        <w:rPr>
          <w:rFonts w:hint="eastAsia" w:asciiTheme="minorEastAsia" w:hAnsiTheme="minorEastAsia" w:eastAsiaTheme="minorEastAsia" w:cstheme="minorEastAsia"/>
          <w:b/>
          <w:bCs/>
          <w:color w:val="auto"/>
          <w:sz w:val="48"/>
          <w:szCs w:val="21"/>
          <w:lang w:val="en-US" w:eastAsia="zh-CN"/>
        </w:rPr>
      </w:pPr>
      <w:bookmarkStart w:id="5" w:name="_Toc25878"/>
      <w:bookmarkStart w:id="6" w:name="_Toc25618"/>
      <w:bookmarkStart w:id="7" w:name="_Toc6706"/>
      <w:bookmarkStart w:id="8" w:name="_Toc23335"/>
      <w:bookmarkStart w:id="9" w:name="_Toc19122"/>
      <w:r>
        <w:rPr>
          <w:rFonts w:hint="eastAsia" w:asciiTheme="minorEastAsia" w:hAnsiTheme="minorEastAsia" w:eastAsiaTheme="minorEastAsia" w:cstheme="minorEastAsia"/>
          <w:b/>
          <w:bCs/>
          <w:color w:val="auto"/>
          <w:sz w:val="48"/>
          <w:szCs w:val="21"/>
          <w:lang w:val="en-US" w:eastAsia="zh-CN"/>
        </w:rPr>
        <w:t>茅排金矿地下开采</w:t>
      </w:r>
      <w:bookmarkEnd w:id="5"/>
      <w:bookmarkEnd w:id="6"/>
      <w:bookmarkEnd w:id="7"/>
      <w:bookmarkEnd w:id="8"/>
      <w:bookmarkEnd w:id="9"/>
    </w:p>
    <w:p w14:paraId="7792DDD8">
      <w:pPr>
        <w:keepNext w:val="0"/>
        <w:keepLines w:val="0"/>
        <w:pageBreakBefore w:val="0"/>
        <w:widowControl/>
        <w:kinsoku/>
        <w:wordWrap/>
        <w:overflowPunct/>
        <w:topLinePunct w:val="0"/>
        <w:autoSpaceDE/>
        <w:autoSpaceDN/>
        <w:bidi w:val="0"/>
        <w:adjustRightInd/>
        <w:snapToGrid/>
        <w:spacing w:before="0" w:beforeLines="50" w:after="0" w:afterLines="50" w:line="600" w:lineRule="exact"/>
        <w:jc w:val="center"/>
        <w:textAlignment w:val="auto"/>
        <w:outlineLvl w:val="9"/>
        <w:rPr>
          <w:rFonts w:hint="eastAsia" w:ascii="宋体" w:hAnsi="宋体" w:eastAsia="宋体" w:cs="宋体"/>
          <w:snapToGrid/>
          <w:color w:val="auto"/>
          <w:kern w:val="2"/>
          <w:sz w:val="48"/>
          <w:szCs w:val="48"/>
          <w:lang w:val="en-US" w:eastAsia="zh-CN" w:bidi="ar-SA"/>
        </w:rPr>
      </w:pPr>
      <w:bookmarkStart w:id="10" w:name="_Toc11529"/>
      <w:bookmarkStart w:id="11" w:name="_Toc2644"/>
      <w:bookmarkStart w:id="12" w:name="_Toc21859"/>
      <w:bookmarkStart w:id="13" w:name="_Toc24309"/>
      <w:bookmarkStart w:id="14" w:name="_Toc17270"/>
      <w:r>
        <w:rPr>
          <w:rFonts w:hint="eastAsia" w:ascii="黑体" w:hAnsi="黑体" w:eastAsia="黑体" w:cs="黑体"/>
          <w:b/>
          <w:bCs/>
          <w:color w:val="auto"/>
          <w:sz w:val="48"/>
          <w:szCs w:val="21"/>
          <w:lang w:val="en-US" w:eastAsia="zh-CN"/>
        </w:rPr>
        <w:t>安全现状评价报告</w:t>
      </w:r>
      <w:bookmarkEnd w:id="10"/>
      <w:bookmarkEnd w:id="11"/>
      <w:bookmarkEnd w:id="12"/>
      <w:bookmarkEnd w:id="13"/>
      <w:bookmarkEnd w:id="14"/>
    </w:p>
    <w:p w14:paraId="40B9EB3A">
      <w:pPr>
        <w:spacing w:line="248" w:lineRule="auto"/>
        <w:rPr>
          <w:rFonts w:ascii="Arial"/>
          <w:color w:val="auto"/>
          <w:sz w:val="21"/>
        </w:rPr>
      </w:pPr>
    </w:p>
    <w:p w14:paraId="4C979E42">
      <w:pPr>
        <w:spacing w:line="248" w:lineRule="auto"/>
        <w:jc w:val="center"/>
        <w:rPr>
          <w:rFonts w:hint="default" w:ascii="Arial" w:eastAsia="宋体"/>
          <w:b/>
          <w:bCs/>
          <w:color w:val="auto"/>
          <w:sz w:val="44"/>
          <w:szCs w:val="44"/>
          <w:lang w:val="en-US" w:eastAsia="zh-CN"/>
        </w:rPr>
      </w:pPr>
    </w:p>
    <w:p w14:paraId="2304DE9A">
      <w:pPr>
        <w:spacing w:line="248" w:lineRule="auto"/>
        <w:rPr>
          <w:rFonts w:ascii="Arial"/>
          <w:color w:val="auto"/>
          <w:sz w:val="21"/>
        </w:rPr>
      </w:pPr>
    </w:p>
    <w:p w14:paraId="68D71455">
      <w:pPr>
        <w:spacing w:line="248" w:lineRule="auto"/>
        <w:rPr>
          <w:rFonts w:ascii="Arial"/>
          <w:color w:val="auto"/>
          <w:sz w:val="21"/>
        </w:rPr>
      </w:pPr>
    </w:p>
    <w:p w14:paraId="234B73B0">
      <w:pPr>
        <w:spacing w:line="248" w:lineRule="auto"/>
        <w:rPr>
          <w:rFonts w:ascii="Arial"/>
          <w:color w:val="auto"/>
          <w:sz w:val="21"/>
        </w:rPr>
      </w:pPr>
    </w:p>
    <w:p w14:paraId="39C2AEBA">
      <w:pPr>
        <w:spacing w:line="248" w:lineRule="auto"/>
        <w:rPr>
          <w:rFonts w:ascii="Arial"/>
          <w:color w:val="auto"/>
          <w:sz w:val="21"/>
        </w:rPr>
      </w:pPr>
    </w:p>
    <w:p w14:paraId="039B3E33">
      <w:pPr>
        <w:spacing w:line="248" w:lineRule="auto"/>
        <w:rPr>
          <w:rFonts w:ascii="Arial"/>
          <w:color w:val="auto"/>
          <w:sz w:val="21"/>
        </w:rPr>
      </w:pPr>
    </w:p>
    <w:p w14:paraId="76FC6A02">
      <w:pPr>
        <w:spacing w:line="248" w:lineRule="auto"/>
        <w:rPr>
          <w:rFonts w:ascii="Arial"/>
          <w:color w:val="auto"/>
          <w:sz w:val="21"/>
        </w:rPr>
      </w:pPr>
    </w:p>
    <w:p w14:paraId="46E7429B">
      <w:pPr>
        <w:spacing w:line="248" w:lineRule="auto"/>
        <w:rPr>
          <w:rFonts w:ascii="Arial"/>
          <w:color w:val="auto"/>
          <w:sz w:val="21"/>
        </w:rPr>
      </w:pPr>
    </w:p>
    <w:p w14:paraId="74D9703D">
      <w:pPr>
        <w:spacing w:line="248" w:lineRule="auto"/>
        <w:rPr>
          <w:rFonts w:ascii="Arial"/>
          <w:color w:val="auto"/>
          <w:sz w:val="21"/>
        </w:rPr>
      </w:pPr>
    </w:p>
    <w:p w14:paraId="2E551955">
      <w:pPr>
        <w:spacing w:line="248" w:lineRule="auto"/>
        <w:rPr>
          <w:rFonts w:ascii="Arial"/>
          <w:color w:val="auto"/>
          <w:sz w:val="21"/>
        </w:rPr>
      </w:pPr>
    </w:p>
    <w:p w14:paraId="4518797D">
      <w:pPr>
        <w:spacing w:line="248" w:lineRule="auto"/>
        <w:rPr>
          <w:rFonts w:ascii="Arial"/>
          <w:color w:val="auto"/>
          <w:sz w:val="21"/>
        </w:rPr>
      </w:pPr>
    </w:p>
    <w:p w14:paraId="46295F77">
      <w:pPr>
        <w:spacing w:line="248" w:lineRule="auto"/>
        <w:rPr>
          <w:rFonts w:ascii="Arial"/>
          <w:color w:val="auto"/>
          <w:sz w:val="21"/>
        </w:rPr>
      </w:pPr>
    </w:p>
    <w:p w14:paraId="2F3EA92F">
      <w:pPr>
        <w:spacing w:line="249" w:lineRule="auto"/>
        <w:rPr>
          <w:rFonts w:ascii="Arial"/>
          <w:color w:val="auto"/>
          <w:sz w:val="21"/>
        </w:rPr>
      </w:pPr>
    </w:p>
    <w:p w14:paraId="101CCC32">
      <w:pPr>
        <w:spacing w:line="249" w:lineRule="auto"/>
        <w:rPr>
          <w:rFonts w:ascii="Arial"/>
          <w:color w:val="auto"/>
          <w:sz w:val="21"/>
        </w:rPr>
      </w:pPr>
    </w:p>
    <w:p w14:paraId="66864A46">
      <w:pPr>
        <w:spacing w:line="249" w:lineRule="auto"/>
        <w:rPr>
          <w:rFonts w:ascii="Arial"/>
          <w:color w:val="auto"/>
          <w:sz w:val="21"/>
        </w:rPr>
      </w:pPr>
    </w:p>
    <w:p w14:paraId="1ACBF2FA">
      <w:pPr>
        <w:spacing w:line="249" w:lineRule="auto"/>
        <w:rPr>
          <w:rFonts w:ascii="Arial"/>
          <w:color w:val="auto"/>
          <w:sz w:val="21"/>
        </w:rPr>
      </w:pPr>
    </w:p>
    <w:p w14:paraId="20B62A25">
      <w:pPr>
        <w:spacing w:line="249" w:lineRule="auto"/>
        <w:rPr>
          <w:rFonts w:ascii="Arial"/>
          <w:color w:val="auto"/>
          <w:sz w:val="21"/>
        </w:rPr>
      </w:pPr>
    </w:p>
    <w:p w14:paraId="70301B8D">
      <w:pPr>
        <w:spacing w:line="249" w:lineRule="auto"/>
        <w:rPr>
          <w:rFonts w:ascii="Arial"/>
          <w:color w:val="auto"/>
          <w:sz w:val="21"/>
        </w:rPr>
      </w:pPr>
    </w:p>
    <w:p w14:paraId="0EDA5D0E">
      <w:pPr>
        <w:spacing w:line="249" w:lineRule="auto"/>
        <w:rPr>
          <w:rFonts w:ascii="Arial"/>
          <w:color w:val="auto"/>
          <w:sz w:val="21"/>
        </w:rPr>
      </w:pPr>
    </w:p>
    <w:p w14:paraId="4B9DAF27">
      <w:pPr>
        <w:spacing w:line="249" w:lineRule="auto"/>
        <w:rPr>
          <w:rFonts w:ascii="Arial"/>
          <w:color w:val="auto"/>
          <w:sz w:val="21"/>
        </w:rPr>
      </w:pPr>
    </w:p>
    <w:p w14:paraId="480DBB1D">
      <w:pPr>
        <w:spacing w:line="249" w:lineRule="auto"/>
        <w:rPr>
          <w:rFonts w:ascii="Arial"/>
          <w:color w:val="auto"/>
          <w:sz w:val="21"/>
        </w:rPr>
      </w:pPr>
    </w:p>
    <w:p w14:paraId="79EDE855">
      <w:pPr>
        <w:spacing w:line="560" w:lineRule="exact"/>
        <w:jc w:val="center"/>
        <w:rPr>
          <w:rFonts w:hint="eastAsia" w:hAnsi="宋体"/>
          <w:b/>
          <w:color w:val="auto"/>
          <w:sz w:val="44"/>
        </w:rPr>
      </w:pPr>
    </w:p>
    <w:p w14:paraId="7F9B501F">
      <w:pPr>
        <w:pStyle w:val="15"/>
        <w:ind w:left="0" w:leftChars="0"/>
        <w:rPr>
          <w:rFonts w:hint="eastAsia" w:hAnsi="宋体"/>
          <w:b/>
          <w:color w:val="auto"/>
          <w:sz w:val="44"/>
        </w:rPr>
      </w:pPr>
    </w:p>
    <w:p w14:paraId="7010A58F">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bCs/>
          <w:color w:val="auto"/>
          <w:sz w:val="44"/>
          <w:szCs w:val="44"/>
        </w:rPr>
      </w:pPr>
      <w:bookmarkStart w:id="15" w:name="_Toc3491"/>
      <w:bookmarkStart w:id="16" w:name="_Toc8005"/>
      <w:bookmarkStart w:id="17" w:name="_Toc3108"/>
      <w:bookmarkStart w:id="18" w:name="_Toc27171"/>
      <w:bookmarkStart w:id="19" w:name="_Toc15536"/>
      <w:r>
        <w:rPr>
          <w:rFonts w:hint="eastAsia" w:ascii="宋体" w:hAnsi="宋体" w:eastAsia="宋体" w:cs="宋体"/>
          <w:b/>
          <w:bCs/>
          <w:color w:val="auto"/>
          <w:sz w:val="44"/>
          <w:szCs w:val="44"/>
        </w:rPr>
        <w:t>江西赣安安全生产科学技术咨询服务中心</w:t>
      </w:r>
      <w:bookmarkEnd w:id="15"/>
      <w:bookmarkEnd w:id="16"/>
      <w:bookmarkEnd w:id="17"/>
      <w:bookmarkEnd w:id="18"/>
      <w:bookmarkEnd w:id="19"/>
    </w:p>
    <w:p w14:paraId="0914AB9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宋体" w:cs="Times New Roman"/>
          <w:b/>
          <w:bCs w:val="0"/>
          <w:snapToGrid/>
          <w:color w:val="auto"/>
          <w:kern w:val="2"/>
          <w:sz w:val="32"/>
          <w:szCs w:val="24"/>
          <w:lang w:val="en-US" w:eastAsia="zh-CN" w:bidi="ar-SA"/>
        </w:rPr>
      </w:pPr>
      <w:bookmarkStart w:id="20" w:name="_Toc23486"/>
      <w:bookmarkStart w:id="21" w:name="_Toc5216"/>
      <w:bookmarkStart w:id="22" w:name="_Toc30625"/>
      <w:bookmarkStart w:id="23" w:name="_Toc2492"/>
      <w:bookmarkStart w:id="24" w:name="_Toc15713"/>
      <w:r>
        <w:rPr>
          <w:rFonts w:hint="default" w:ascii="Times New Roman" w:hAnsi="Times New Roman" w:eastAsia="宋体" w:cs="Times New Roman"/>
          <w:b/>
          <w:bCs w:val="0"/>
          <w:snapToGrid/>
          <w:color w:val="auto"/>
          <w:kern w:val="2"/>
          <w:sz w:val="32"/>
          <w:szCs w:val="24"/>
          <w:lang w:val="en-US" w:eastAsia="zh-CN" w:bidi="ar-SA"/>
        </w:rPr>
        <w:t>APJ-（赣）-002</w:t>
      </w:r>
      <w:bookmarkEnd w:id="20"/>
      <w:bookmarkEnd w:id="21"/>
      <w:bookmarkEnd w:id="22"/>
      <w:bookmarkEnd w:id="23"/>
      <w:bookmarkEnd w:id="24"/>
    </w:p>
    <w:p w14:paraId="5A3EE984">
      <w:pPr>
        <w:widowControl w:val="0"/>
        <w:kinsoku/>
        <w:autoSpaceDE/>
        <w:autoSpaceDN/>
        <w:adjustRightInd/>
        <w:snapToGrid/>
        <w:spacing w:line="560" w:lineRule="exact"/>
        <w:jc w:val="center"/>
        <w:textAlignment w:val="auto"/>
        <w:outlineLvl w:val="9"/>
        <w:rPr>
          <w:rFonts w:hint="eastAsia" w:ascii="宋体" w:hAnsi="宋体" w:eastAsia="Arial" w:cs="宋体"/>
          <w:color w:val="auto"/>
          <w:sz w:val="21"/>
        </w:rPr>
      </w:pPr>
      <w:bookmarkStart w:id="25" w:name="_Toc646"/>
      <w:bookmarkStart w:id="26" w:name="_Toc31115"/>
      <w:r>
        <w:rPr>
          <w:rFonts w:hint="default" w:ascii="Times New Roman" w:hAnsi="Times New Roman" w:eastAsia="宋体" w:cs="Times New Roman"/>
          <w:b/>
          <w:bCs w:val="0"/>
          <w:snapToGrid/>
          <w:color w:val="auto"/>
          <w:kern w:val="2"/>
          <w:sz w:val="32"/>
          <w:szCs w:val="24"/>
          <w:lang w:val="en-US" w:eastAsia="zh-CN" w:bidi="ar-SA"/>
        </w:rPr>
        <w:t>二O二</w:t>
      </w:r>
      <w:r>
        <w:rPr>
          <w:rFonts w:hint="eastAsia" w:ascii="Times New Roman" w:hAnsi="Times New Roman" w:eastAsia="宋体" w:cs="Times New Roman"/>
          <w:b/>
          <w:bCs w:val="0"/>
          <w:snapToGrid/>
          <w:color w:val="auto"/>
          <w:kern w:val="2"/>
          <w:sz w:val="32"/>
          <w:szCs w:val="24"/>
          <w:lang w:val="en-US" w:eastAsia="zh-CN" w:bidi="ar-SA"/>
        </w:rPr>
        <w:t>六</w:t>
      </w:r>
      <w:r>
        <w:rPr>
          <w:rFonts w:hint="default" w:ascii="Times New Roman" w:hAnsi="Times New Roman" w:eastAsia="宋体" w:cs="Times New Roman"/>
          <w:b/>
          <w:bCs w:val="0"/>
          <w:snapToGrid/>
          <w:color w:val="auto"/>
          <w:kern w:val="2"/>
          <w:sz w:val="32"/>
          <w:szCs w:val="24"/>
          <w:lang w:val="en-US" w:eastAsia="zh-CN" w:bidi="ar-SA"/>
        </w:rPr>
        <w:t>年</w:t>
      </w:r>
      <w:r>
        <w:rPr>
          <w:rFonts w:hint="eastAsia" w:ascii="Times New Roman" w:hAnsi="Times New Roman" w:cs="Times New Roman"/>
          <w:b/>
          <w:bCs w:val="0"/>
          <w:snapToGrid/>
          <w:color w:val="auto"/>
          <w:kern w:val="2"/>
          <w:sz w:val="32"/>
          <w:szCs w:val="24"/>
          <w:lang w:val="en-US" w:eastAsia="zh-CN" w:bidi="ar-SA"/>
        </w:rPr>
        <w:t>五</w:t>
      </w:r>
      <w:r>
        <w:rPr>
          <w:rFonts w:hint="default" w:ascii="Times New Roman" w:hAnsi="Times New Roman" w:eastAsia="宋体" w:cs="Times New Roman"/>
          <w:b/>
          <w:bCs w:val="0"/>
          <w:snapToGrid/>
          <w:color w:val="auto"/>
          <w:kern w:val="2"/>
          <w:sz w:val="32"/>
          <w:szCs w:val="24"/>
          <w:lang w:val="en-US" w:eastAsia="zh-CN" w:bidi="ar-SA"/>
        </w:rPr>
        <w:t>月</w:t>
      </w:r>
      <w:r>
        <w:rPr>
          <w:rFonts w:hint="eastAsia" w:ascii="Times New Roman" w:hAnsi="Times New Roman" w:eastAsia="宋体" w:cs="Times New Roman"/>
          <w:b/>
          <w:bCs w:val="0"/>
          <w:snapToGrid/>
          <w:color w:val="auto"/>
          <w:kern w:val="2"/>
          <w:sz w:val="32"/>
          <w:szCs w:val="24"/>
          <w:lang w:val="en-US" w:eastAsia="zh-CN" w:bidi="ar-SA"/>
        </w:rPr>
        <w:t>十</w:t>
      </w:r>
      <w:r>
        <w:rPr>
          <w:rFonts w:hint="eastAsia" w:ascii="Times New Roman" w:hAnsi="Times New Roman" w:cs="Times New Roman"/>
          <w:b/>
          <w:bCs w:val="0"/>
          <w:snapToGrid/>
          <w:color w:val="auto"/>
          <w:kern w:val="2"/>
          <w:sz w:val="32"/>
          <w:szCs w:val="24"/>
          <w:lang w:val="en-US" w:eastAsia="zh-CN" w:bidi="ar-SA"/>
        </w:rPr>
        <w:t>七</w:t>
      </w:r>
      <w:r>
        <w:rPr>
          <w:rFonts w:hint="default" w:ascii="Times New Roman" w:hAnsi="Times New Roman" w:eastAsia="宋体" w:cs="Times New Roman"/>
          <w:b/>
          <w:bCs w:val="0"/>
          <w:snapToGrid/>
          <w:color w:val="auto"/>
          <w:kern w:val="2"/>
          <w:sz w:val="32"/>
          <w:szCs w:val="24"/>
          <w:lang w:val="en-US" w:eastAsia="zh-CN" w:bidi="ar-SA"/>
        </w:rPr>
        <w:t>日</w:t>
      </w:r>
      <w:bookmarkEnd w:id="25"/>
      <w:bookmarkEnd w:id="26"/>
    </w:p>
    <w:p w14:paraId="47BDDE91">
      <w:pPr>
        <w:spacing w:line="323" w:lineRule="auto"/>
        <w:rPr>
          <w:rFonts w:ascii="Arial"/>
          <w:color w:val="auto"/>
          <w:sz w:val="21"/>
        </w:rPr>
      </w:pPr>
    </w:p>
    <w:p w14:paraId="71FBA4C8">
      <w:pPr>
        <w:widowControl w:val="0"/>
        <w:kinsoku/>
        <w:autoSpaceDE/>
        <w:autoSpaceDN/>
        <w:adjustRightInd/>
        <w:snapToGrid/>
        <w:spacing w:line="600" w:lineRule="exact"/>
        <w:jc w:val="both"/>
        <w:textAlignment w:val="auto"/>
        <w:rPr>
          <w:rFonts w:hint="eastAsia" w:ascii="Times New Roman" w:hAnsi="宋体" w:eastAsia="宋体" w:cs="Times New Roman"/>
          <w:b/>
          <w:snapToGrid/>
          <w:color w:val="auto"/>
          <w:kern w:val="2"/>
          <w:sz w:val="36"/>
          <w:szCs w:val="36"/>
          <w:lang w:val="en-US" w:eastAsia="zh-CN" w:bidi="ar-SA"/>
        </w:rPr>
        <w:sectPr>
          <w:headerReference r:id="rId5" w:type="first"/>
          <w:footerReference r:id="rId7" w:type="first"/>
          <w:footerReference r:id="rId6" w:type="default"/>
          <w:pgSz w:w="11906" w:h="16839"/>
          <w:pgMar w:top="1417" w:right="1417" w:bottom="1417" w:left="1417" w:header="850" w:footer="964" w:gutter="0"/>
          <w:pgBorders>
            <w:top w:val="none" w:sz="0" w:space="0"/>
            <w:left w:val="none" w:sz="0" w:space="0"/>
            <w:bottom w:val="none" w:sz="0" w:space="0"/>
            <w:right w:val="none" w:sz="0" w:space="0"/>
          </w:pgBorders>
          <w:pgNumType w:fmt="upperRoman" w:start="1"/>
          <w:cols w:space="0" w:num="1"/>
          <w:rtlGutter w:val="0"/>
          <w:docGrid w:linePitch="0" w:charSpace="0"/>
        </w:sectPr>
      </w:pPr>
    </w:p>
    <w:p w14:paraId="585B97C5">
      <w:pPr>
        <w:widowControl/>
        <w:kinsoku/>
        <w:autoSpaceDE/>
        <w:autoSpaceDN/>
        <w:adjustRightInd/>
        <w:snapToGrid/>
        <w:spacing w:line="240" w:lineRule="auto"/>
        <w:jc w:val="center"/>
        <w:textAlignment w:val="auto"/>
        <w:outlineLvl w:val="9"/>
        <w:rPr>
          <w:rFonts w:hint="eastAsia" w:ascii="宋体" w:hAnsi="宋体" w:eastAsia="宋体" w:cs="宋体"/>
          <w:b/>
          <w:bCs/>
          <w:snapToGrid w:val="0"/>
          <w:color w:val="auto"/>
          <w:kern w:val="0"/>
          <w:sz w:val="32"/>
          <w:szCs w:val="32"/>
          <w:lang w:val="en-US" w:eastAsia="zh-CN" w:bidi="ar-SA"/>
        </w:rPr>
      </w:pPr>
      <w:bookmarkStart w:id="27" w:name="_Toc437"/>
      <w:bookmarkStart w:id="28" w:name="_Toc9025"/>
      <w:bookmarkStart w:id="29" w:name="_Toc10902"/>
      <w:bookmarkStart w:id="30" w:name="_Toc15501"/>
      <w:bookmarkStart w:id="31" w:name="_Toc14821"/>
    </w:p>
    <w:p w14:paraId="35F5D846">
      <w:pPr>
        <w:widowControl/>
        <w:kinsoku/>
        <w:autoSpaceDE/>
        <w:autoSpaceDN/>
        <w:adjustRightInd/>
        <w:snapToGrid/>
        <w:spacing w:line="240" w:lineRule="auto"/>
        <w:jc w:val="center"/>
        <w:textAlignment w:val="auto"/>
        <w:outlineLvl w:val="9"/>
        <w:rPr>
          <w:rFonts w:hint="eastAsia" w:ascii="宋体" w:hAnsi="宋体" w:eastAsia="宋体" w:cs="宋体"/>
          <w:b/>
          <w:bCs/>
          <w:snapToGrid w:val="0"/>
          <w:color w:val="auto"/>
          <w:kern w:val="0"/>
          <w:sz w:val="32"/>
          <w:szCs w:val="32"/>
          <w:lang w:val="en-US" w:eastAsia="zh-CN" w:bidi="ar-SA"/>
        </w:rPr>
      </w:pPr>
    </w:p>
    <w:p w14:paraId="45223C8C">
      <w:pPr>
        <w:widowControl/>
        <w:kinsoku/>
        <w:autoSpaceDE/>
        <w:autoSpaceDN/>
        <w:adjustRightInd/>
        <w:snapToGrid/>
        <w:spacing w:line="240" w:lineRule="auto"/>
        <w:jc w:val="center"/>
        <w:textAlignment w:val="auto"/>
        <w:outlineLvl w:val="9"/>
        <w:rPr>
          <w:rFonts w:hint="eastAsia" w:ascii="宋体" w:hAnsi="宋体" w:eastAsia="宋体" w:cs="宋体"/>
          <w:b/>
          <w:bCs/>
          <w:snapToGrid w:val="0"/>
          <w:color w:val="auto"/>
          <w:kern w:val="0"/>
          <w:sz w:val="32"/>
          <w:szCs w:val="32"/>
          <w:lang w:val="en-US" w:eastAsia="zh-CN" w:bidi="ar-SA"/>
        </w:rPr>
      </w:pPr>
      <w:r>
        <w:rPr>
          <w:rFonts w:hint="eastAsia" w:ascii="宋体" w:hAnsi="宋体" w:eastAsia="宋体" w:cs="宋体"/>
          <w:b/>
          <w:bCs/>
          <w:snapToGrid w:val="0"/>
          <w:color w:val="auto"/>
          <w:kern w:val="0"/>
          <w:sz w:val="32"/>
          <w:szCs w:val="32"/>
          <w:lang w:val="en-US" w:eastAsia="zh-CN" w:bidi="ar-SA"/>
        </w:rPr>
        <w:t>江西临川鲁金矿业有限公司</w:t>
      </w:r>
      <w:bookmarkEnd w:id="27"/>
      <w:bookmarkEnd w:id="28"/>
      <w:bookmarkEnd w:id="29"/>
      <w:bookmarkEnd w:id="30"/>
      <w:bookmarkEnd w:id="31"/>
    </w:p>
    <w:p w14:paraId="7B81606C">
      <w:pPr>
        <w:bidi w:val="0"/>
        <w:jc w:val="center"/>
        <w:rPr>
          <w:rFonts w:hint="eastAsia" w:ascii="宋体" w:hAnsi="宋体" w:eastAsia="宋体" w:cs="宋体"/>
          <w:color w:val="auto"/>
          <w:sz w:val="44"/>
          <w:szCs w:val="44"/>
          <w:lang w:val="en-US" w:eastAsia="zh-CN"/>
        </w:rPr>
      </w:pPr>
      <w:bookmarkStart w:id="32" w:name="_Toc6365"/>
      <w:bookmarkStart w:id="33" w:name="_Toc31354"/>
      <w:r>
        <w:rPr>
          <w:rFonts w:hint="eastAsia" w:ascii="宋体" w:hAnsi="宋体" w:eastAsia="宋体" w:cs="宋体"/>
          <w:b/>
          <w:bCs/>
          <w:color w:val="auto"/>
          <w:sz w:val="32"/>
          <w:szCs w:val="32"/>
          <w:lang w:val="en-US" w:eastAsia="zh-CN"/>
        </w:rPr>
        <w:t>茅排金矿地下开采</w:t>
      </w:r>
      <w:bookmarkEnd w:id="32"/>
      <w:bookmarkEnd w:id="33"/>
    </w:p>
    <w:p w14:paraId="22E95B87">
      <w:pPr>
        <w:bidi w:val="0"/>
        <w:jc w:val="center"/>
        <w:outlineLvl w:val="9"/>
        <w:rPr>
          <w:rFonts w:hint="eastAsia" w:ascii="宋体" w:hAnsi="宋体" w:eastAsia="宋体" w:cs="宋体"/>
          <w:color w:val="auto"/>
          <w:sz w:val="44"/>
          <w:szCs w:val="44"/>
          <w:lang w:val="en-US" w:eastAsia="zh-CN"/>
        </w:rPr>
      </w:pPr>
      <w:bookmarkStart w:id="34" w:name="_Toc27331"/>
      <w:bookmarkStart w:id="35" w:name="_Toc22579"/>
      <w:bookmarkStart w:id="36" w:name="_Toc15743"/>
      <w:bookmarkStart w:id="37" w:name="_Toc15118"/>
      <w:r>
        <w:rPr>
          <w:rFonts w:hint="eastAsia" w:ascii="Times New Roman" w:hAnsi="宋体" w:eastAsia="宋体" w:cs="Times New Roman"/>
          <w:b/>
          <w:snapToGrid/>
          <w:color w:val="auto"/>
          <w:kern w:val="2"/>
          <w:sz w:val="44"/>
          <w:szCs w:val="44"/>
          <w:lang w:val="en-US" w:eastAsia="zh-CN" w:bidi="ar-SA"/>
        </w:rPr>
        <w:t>安全现状评价报告</w:t>
      </w:r>
      <w:bookmarkEnd w:id="34"/>
      <w:bookmarkEnd w:id="35"/>
      <w:bookmarkEnd w:id="36"/>
      <w:bookmarkEnd w:id="37"/>
    </w:p>
    <w:p w14:paraId="6CB0DC99">
      <w:pPr>
        <w:spacing w:line="323" w:lineRule="auto"/>
        <w:rPr>
          <w:rFonts w:ascii="Arial"/>
          <w:color w:val="auto"/>
          <w:sz w:val="21"/>
        </w:rPr>
      </w:pPr>
    </w:p>
    <w:p w14:paraId="1949F6E5">
      <w:pPr>
        <w:spacing w:line="323" w:lineRule="auto"/>
        <w:rPr>
          <w:rFonts w:ascii="Arial"/>
          <w:color w:val="auto"/>
          <w:sz w:val="21"/>
        </w:rPr>
      </w:pPr>
    </w:p>
    <w:p w14:paraId="54DA6719">
      <w:pPr>
        <w:pStyle w:val="15"/>
        <w:rPr>
          <w:color w:val="auto"/>
        </w:rPr>
      </w:pPr>
    </w:p>
    <w:p w14:paraId="51EB3FE3">
      <w:pPr>
        <w:spacing w:line="323" w:lineRule="auto"/>
        <w:rPr>
          <w:rFonts w:ascii="Arial"/>
          <w:color w:val="auto"/>
          <w:sz w:val="21"/>
        </w:rPr>
      </w:pPr>
    </w:p>
    <w:p w14:paraId="1590D91B">
      <w:pPr>
        <w:spacing w:line="323" w:lineRule="auto"/>
        <w:rPr>
          <w:rFonts w:ascii="Arial"/>
          <w:color w:val="auto"/>
          <w:sz w:val="21"/>
        </w:rPr>
      </w:pPr>
    </w:p>
    <w:p w14:paraId="08786B32">
      <w:pPr>
        <w:spacing w:line="323" w:lineRule="auto"/>
        <w:rPr>
          <w:rFonts w:ascii="Arial"/>
          <w:color w:val="auto"/>
          <w:sz w:val="21"/>
        </w:rPr>
      </w:pPr>
    </w:p>
    <w:p w14:paraId="07CD30E3">
      <w:pPr>
        <w:spacing w:line="323" w:lineRule="auto"/>
        <w:rPr>
          <w:rFonts w:ascii="Arial"/>
          <w:color w:val="auto"/>
          <w:sz w:val="21"/>
        </w:rPr>
      </w:pPr>
    </w:p>
    <w:p w14:paraId="5316CE19">
      <w:pPr>
        <w:spacing w:line="323" w:lineRule="auto"/>
        <w:rPr>
          <w:rFonts w:ascii="Arial"/>
          <w:color w:val="auto"/>
          <w:sz w:val="21"/>
        </w:rPr>
      </w:pPr>
    </w:p>
    <w:p w14:paraId="420556F5">
      <w:pPr>
        <w:spacing w:line="259" w:lineRule="auto"/>
        <w:rPr>
          <w:rFonts w:ascii="Arial"/>
          <w:color w:val="auto"/>
          <w:sz w:val="21"/>
        </w:rPr>
      </w:pPr>
    </w:p>
    <w:p w14:paraId="5561F7B0">
      <w:pPr>
        <w:spacing w:line="259" w:lineRule="auto"/>
        <w:rPr>
          <w:rFonts w:ascii="Arial"/>
          <w:color w:val="auto"/>
          <w:sz w:val="21"/>
        </w:rPr>
      </w:pPr>
    </w:p>
    <w:p w14:paraId="669EB6D9">
      <w:pPr>
        <w:spacing w:line="560" w:lineRule="exact"/>
        <w:jc w:val="both"/>
        <w:rPr>
          <w:rFonts w:hint="eastAsia" w:hAnsi="宋体"/>
          <w:color w:val="auto"/>
          <w:sz w:val="28"/>
        </w:rPr>
      </w:pPr>
    </w:p>
    <w:p w14:paraId="194F0FDE">
      <w:pPr>
        <w:spacing w:line="560" w:lineRule="exact"/>
        <w:jc w:val="center"/>
        <w:rPr>
          <w:rFonts w:hint="eastAsia" w:ascii="宋体" w:hAnsi="宋体" w:eastAsia="宋体" w:cs="宋体"/>
          <w:color w:val="auto"/>
          <w:sz w:val="28"/>
          <w:lang w:val="en-US" w:eastAsia="zh-CN"/>
        </w:rPr>
      </w:pPr>
      <w:r>
        <w:rPr>
          <w:rFonts w:hint="eastAsia" w:ascii="宋体" w:hAnsi="宋体" w:eastAsia="宋体" w:cs="宋体"/>
          <w:color w:val="auto"/>
          <w:sz w:val="28"/>
        </w:rPr>
        <w:t>法 人 代 表 人：</w:t>
      </w:r>
      <w:r>
        <w:rPr>
          <w:rFonts w:hint="eastAsia" w:ascii="宋体" w:hAnsi="宋体" w:eastAsia="宋体" w:cs="宋体"/>
          <w:color w:val="auto"/>
          <w:sz w:val="28"/>
          <w:lang w:val="en-US" w:eastAsia="zh-CN"/>
        </w:rPr>
        <w:t>应  宏</w:t>
      </w:r>
    </w:p>
    <w:p w14:paraId="1D95265C">
      <w:pPr>
        <w:spacing w:line="560" w:lineRule="exact"/>
        <w:jc w:val="center"/>
        <w:rPr>
          <w:rFonts w:hint="eastAsia" w:ascii="宋体" w:hAnsi="宋体" w:eastAsia="宋体" w:cs="宋体"/>
          <w:color w:val="auto"/>
          <w:sz w:val="28"/>
        </w:rPr>
      </w:pPr>
      <w:r>
        <w:rPr>
          <w:rFonts w:hint="eastAsia" w:ascii="宋体" w:hAnsi="宋体" w:eastAsia="宋体" w:cs="宋体"/>
          <w:color w:val="auto"/>
          <w:sz w:val="28"/>
        </w:rPr>
        <w:t>技 术 负 责 人：管自强</w:t>
      </w:r>
    </w:p>
    <w:p w14:paraId="0EB6D3B8">
      <w:pPr>
        <w:spacing w:line="560" w:lineRule="exact"/>
        <w:jc w:val="center"/>
        <w:rPr>
          <w:rFonts w:hint="default" w:ascii="宋体" w:hAnsi="宋体" w:eastAsia="宋体" w:cs="宋体"/>
          <w:color w:val="auto"/>
          <w:sz w:val="28"/>
          <w:lang w:val="en-US" w:eastAsia="zh-CN"/>
        </w:rPr>
      </w:pPr>
      <w:r>
        <w:rPr>
          <w:rFonts w:hint="eastAsia" w:ascii="宋体" w:hAnsi="宋体" w:eastAsia="宋体" w:cs="宋体"/>
          <w:color w:val="auto"/>
          <w:sz w:val="28"/>
        </w:rPr>
        <w:t>评价项目负责人：管自强</w:t>
      </w:r>
    </w:p>
    <w:p w14:paraId="4185C611">
      <w:pPr>
        <w:spacing w:line="560" w:lineRule="exact"/>
        <w:jc w:val="center"/>
        <w:rPr>
          <w:rFonts w:hint="eastAsia" w:hAnsi="宋体"/>
          <w:b/>
          <w:color w:val="auto"/>
          <w:sz w:val="24"/>
        </w:rPr>
      </w:pPr>
      <w:r>
        <w:rPr>
          <w:rFonts w:hAnsi="宋体"/>
          <w:b/>
          <w:color w:val="auto"/>
          <w:sz w:val="24"/>
        </w:rPr>
        <w:t xml:space="preserve">    </w:t>
      </w:r>
    </w:p>
    <w:p w14:paraId="34A63CC4">
      <w:pPr>
        <w:spacing w:line="560" w:lineRule="exact"/>
        <w:jc w:val="center"/>
        <w:rPr>
          <w:rFonts w:hAnsi="宋体" w:eastAsia="Times New Roman"/>
          <w:b/>
          <w:color w:val="auto"/>
          <w:sz w:val="24"/>
        </w:rPr>
      </w:pPr>
      <w:r>
        <w:rPr>
          <w:rFonts w:hint="eastAsia" w:ascii="宋体" w:hAnsi="宋体" w:eastAsia="宋体" w:cs="宋体"/>
          <w:b/>
          <w:color w:val="auto"/>
          <w:sz w:val="24"/>
        </w:rPr>
        <w:t>评价报告完成日期：202</w:t>
      </w:r>
      <w:r>
        <w:rPr>
          <w:rFonts w:hint="eastAsia" w:ascii="宋体" w:hAnsi="宋体" w:eastAsia="宋体" w:cs="宋体"/>
          <w:b/>
          <w:color w:val="auto"/>
          <w:sz w:val="24"/>
          <w:lang w:val="en-US" w:eastAsia="zh-CN"/>
        </w:rPr>
        <w:t xml:space="preserve">6 </w:t>
      </w:r>
      <w:r>
        <w:rPr>
          <w:rFonts w:hint="eastAsia" w:ascii="宋体" w:hAnsi="宋体" w:eastAsia="宋体" w:cs="宋体"/>
          <w:b/>
          <w:color w:val="auto"/>
          <w:sz w:val="24"/>
        </w:rPr>
        <w:t>年</w:t>
      </w:r>
      <w:r>
        <w:rPr>
          <w:rFonts w:hint="eastAsia" w:ascii="宋体" w:hAnsi="宋体" w:eastAsia="宋体" w:cs="宋体"/>
          <w:b/>
          <w:color w:val="auto"/>
          <w:sz w:val="24"/>
          <w:lang w:val="en-US" w:eastAsia="zh-CN"/>
        </w:rPr>
        <w:t xml:space="preserve"> 0</w:t>
      </w:r>
      <w:r>
        <w:rPr>
          <w:rFonts w:hint="eastAsia" w:cs="宋体"/>
          <w:b/>
          <w:color w:val="auto"/>
          <w:sz w:val="24"/>
          <w:lang w:val="en-US" w:eastAsia="zh-CN"/>
        </w:rPr>
        <w:t>5</w:t>
      </w:r>
      <w:r>
        <w:rPr>
          <w:rFonts w:hint="eastAsia" w:ascii="宋体" w:hAnsi="宋体" w:eastAsia="宋体" w:cs="宋体"/>
          <w:b/>
          <w:color w:val="auto"/>
          <w:sz w:val="24"/>
        </w:rPr>
        <w:t>月</w:t>
      </w:r>
      <w:r>
        <w:rPr>
          <w:rFonts w:hint="eastAsia" w:ascii="宋体" w:hAnsi="宋体" w:eastAsia="宋体" w:cs="宋体"/>
          <w:b/>
          <w:color w:val="auto"/>
          <w:sz w:val="24"/>
          <w:lang w:val="en-US" w:eastAsia="zh-CN"/>
        </w:rPr>
        <w:t xml:space="preserve"> </w:t>
      </w:r>
      <w:r>
        <w:rPr>
          <w:rFonts w:hint="eastAsia" w:cs="宋体"/>
          <w:b/>
          <w:color w:val="auto"/>
          <w:sz w:val="24"/>
          <w:lang w:val="en-US" w:eastAsia="zh-CN"/>
        </w:rPr>
        <w:t>17</w:t>
      </w:r>
      <w:r>
        <w:rPr>
          <w:rFonts w:hint="eastAsia" w:ascii="宋体" w:hAnsi="宋体" w:eastAsia="宋体" w:cs="宋体"/>
          <w:b/>
          <w:color w:val="auto"/>
          <w:sz w:val="24"/>
          <w:lang w:val="en-US" w:eastAsia="zh-CN"/>
        </w:rPr>
        <w:t xml:space="preserve"> </w:t>
      </w:r>
      <w:r>
        <w:rPr>
          <w:rFonts w:hint="eastAsia" w:ascii="宋体" w:hAnsi="宋体" w:eastAsia="宋体" w:cs="宋体"/>
          <w:b/>
          <w:color w:val="auto"/>
          <w:sz w:val="24"/>
        </w:rPr>
        <w:t>日</w:t>
      </w:r>
    </w:p>
    <w:p w14:paraId="1AF171E4">
      <w:pPr>
        <w:spacing w:line="241" w:lineRule="auto"/>
        <w:rPr>
          <w:rFonts w:ascii="Arial"/>
          <w:color w:val="auto"/>
          <w:sz w:val="21"/>
        </w:rPr>
        <w:sectPr>
          <w:headerReference r:id="rId8" w:type="default"/>
          <w:footerReference r:id="rId9" w:type="default"/>
          <w:pgSz w:w="11906" w:h="16839"/>
          <w:pgMar w:top="1417" w:right="1417" w:bottom="1417" w:left="1417" w:header="850" w:footer="964" w:gutter="0"/>
          <w:pgBorders>
            <w:top w:val="none" w:sz="0" w:space="0"/>
            <w:left w:val="none" w:sz="0" w:space="0"/>
            <w:bottom w:val="none" w:sz="0" w:space="0"/>
            <w:right w:val="none" w:sz="0" w:space="0"/>
          </w:pgBorders>
          <w:pgNumType w:fmt="upperRoman" w:start="1"/>
          <w:cols w:space="0" w:num="1"/>
          <w:rtlGutter w:val="0"/>
          <w:docGrid w:linePitch="0" w:charSpace="0"/>
        </w:sectPr>
      </w:pPr>
    </w:p>
    <w:p w14:paraId="49C29F50">
      <w:pPr>
        <w:widowControl/>
        <w:kinsoku/>
        <w:autoSpaceDE/>
        <w:autoSpaceDN/>
        <w:adjustRightInd/>
        <w:snapToGrid/>
        <w:spacing w:line="240" w:lineRule="auto"/>
        <w:jc w:val="center"/>
        <w:textAlignment w:val="auto"/>
        <w:outlineLvl w:val="9"/>
        <w:rPr>
          <w:rFonts w:hint="eastAsia" w:ascii="宋体" w:hAnsi="宋体" w:eastAsia="宋体" w:cs="宋体"/>
          <w:b w:val="0"/>
          <w:bCs w:val="0"/>
          <w:color w:val="auto"/>
          <w:sz w:val="44"/>
          <w:szCs w:val="44"/>
          <w:lang w:val="en-US" w:eastAsia="zh-CN"/>
        </w:rPr>
      </w:pPr>
      <w:bookmarkStart w:id="38" w:name="_Toc18512"/>
      <w:bookmarkStart w:id="39" w:name="_Toc12571"/>
      <w:bookmarkStart w:id="40" w:name="_Toc3252"/>
      <w:r>
        <w:rPr>
          <w:rFonts w:hint="eastAsia" w:ascii="宋体" w:hAnsi="宋体" w:eastAsia="宋体" w:cs="宋体"/>
          <w:b w:val="0"/>
          <w:bCs w:val="0"/>
          <w:color w:val="auto"/>
          <w:sz w:val="44"/>
          <w:szCs w:val="44"/>
          <w:lang w:val="en-US" w:eastAsia="zh-CN"/>
        </w:rPr>
        <w:t>江西临川鲁金矿业有限公司</w:t>
      </w:r>
      <w:bookmarkEnd w:id="38"/>
      <w:bookmarkEnd w:id="39"/>
      <w:bookmarkEnd w:id="40"/>
    </w:p>
    <w:p w14:paraId="42BA7852">
      <w:pPr>
        <w:widowControl/>
        <w:kinsoku/>
        <w:autoSpaceDE/>
        <w:autoSpaceDN/>
        <w:adjustRightInd/>
        <w:snapToGrid/>
        <w:spacing w:line="240" w:lineRule="auto"/>
        <w:jc w:val="center"/>
        <w:textAlignment w:val="auto"/>
        <w:outlineLvl w:val="9"/>
        <w:rPr>
          <w:rFonts w:hint="eastAsia" w:ascii="宋体" w:hAnsi="宋体" w:eastAsia="宋体" w:cs="宋体"/>
          <w:b w:val="0"/>
          <w:bCs w:val="0"/>
          <w:snapToGrid/>
          <w:color w:val="auto"/>
          <w:kern w:val="2"/>
          <w:sz w:val="44"/>
          <w:szCs w:val="44"/>
          <w:lang w:val="en-US" w:eastAsia="zh-CN" w:bidi="ar-SA"/>
        </w:rPr>
      </w:pPr>
      <w:r>
        <w:rPr>
          <w:rFonts w:hint="eastAsia" w:ascii="宋体" w:hAnsi="宋体" w:eastAsia="宋体" w:cs="宋体"/>
          <w:b w:val="0"/>
          <w:bCs w:val="0"/>
          <w:snapToGrid/>
          <w:color w:val="auto"/>
          <w:kern w:val="2"/>
          <w:sz w:val="44"/>
          <w:szCs w:val="44"/>
          <w:lang w:val="en-US" w:eastAsia="zh-CN" w:bidi="ar-SA"/>
        </w:rPr>
        <w:t>茅排金矿地下开采</w:t>
      </w:r>
    </w:p>
    <w:p w14:paraId="4959D69E">
      <w:pPr>
        <w:bidi w:val="0"/>
        <w:jc w:val="center"/>
        <w:outlineLvl w:val="9"/>
        <w:rPr>
          <w:rFonts w:hint="eastAsia" w:asciiTheme="minorEastAsia" w:hAnsiTheme="minorEastAsia" w:eastAsiaTheme="minorEastAsia" w:cstheme="minorEastAsia"/>
          <w:color w:val="auto"/>
          <w:sz w:val="36"/>
          <w:szCs w:val="36"/>
          <w:lang w:val="en-US" w:eastAsia="zh-CN" w:bidi="ar-SA"/>
        </w:rPr>
      </w:pPr>
      <w:bookmarkStart w:id="41" w:name="_Toc31138"/>
      <w:bookmarkStart w:id="42" w:name="_Toc30833"/>
      <w:bookmarkStart w:id="43" w:name="_Toc24237"/>
    </w:p>
    <w:p w14:paraId="0CBE94DD">
      <w:pPr>
        <w:bidi w:val="0"/>
        <w:jc w:val="center"/>
        <w:outlineLvl w:val="9"/>
        <w:rPr>
          <w:rFonts w:hint="eastAsia" w:asciiTheme="minorEastAsia" w:hAnsiTheme="minorEastAsia" w:eastAsiaTheme="minorEastAsia" w:cstheme="minorEastAsia"/>
          <w:color w:val="auto"/>
          <w:sz w:val="36"/>
          <w:szCs w:val="36"/>
          <w:lang w:val="en-US" w:eastAsia="zh-CN" w:bidi="ar-SA"/>
        </w:rPr>
      </w:pPr>
      <w:r>
        <w:rPr>
          <w:rFonts w:hint="eastAsia" w:asciiTheme="minorEastAsia" w:hAnsiTheme="minorEastAsia" w:eastAsiaTheme="minorEastAsia" w:cstheme="minorEastAsia"/>
          <w:color w:val="auto"/>
          <w:sz w:val="36"/>
          <w:szCs w:val="36"/>
          <w:lang w:val="en-US" w:eastAsia="zh-CN" w:bidi="ar-SA"/>
        </w:rPr>
        <w:t>安全现状评价技术服务承诺书</w:t>
      </w:r>
      <w:bookmarkEnd w:id="41"/>
      <w:bookmarkEnd w:id="42"/>
      <w:bookmarkEnd w:id="43"/>
    </w:p>
    <w:p w14:paraId="44A744DA">
      <w:pPr>
        <w:spacing w:line="317" w:lineRule="auto"/>
        <w:rPr>
          <w:rFonts w:ascii="Arial"/>
          <w:color w:val="auto"/>
          <w:sz w:val="21"/>
        </w:rPr>
      </w:pPr>
    </w:p>
    <w:p w14:paraId="22D58203">
      <w:pPr>
        <w:widowControl/>
        <w:spacing w:line="800" w:lineRule="exact"/>
        <w:ind w:firstLine="640" w:firstLineChars="2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一、在本项目安全评价活动过程中，我单位严格遵守《安全生产法》及相关法律、法规和标准的要求。</w:t>
      </w:r>
    </w:p>
    <w:p w14:paraId="4FC7E3AD">
      <w:pPr>
        <w:widowControl/>
        <w:spacing w:line="800" w:lineRule="exact"/>
        <w:ind w:firstLine="640" w:firstLineChars="2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二、在本项目安全评价活动过程中，我单位作为第三方，未受到任何组织和个人的干预和影响，依法独立开展工作，保证了技术服务活动的客观公正性。</w:t>
      </w:r>
    </w:p>
    <w:p w14:paraId="7AF2E108">
      <w:pPr>
        <w:widowControl/>
        <w:spacing w:line="800" w:lineRule="exact"/>
        <w:ind w:firstLine="640" w:firstLineChars="2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三、我单位按照实事求是的原则，对本项目进行安全评价，确保出具的报告均真实有效，报告所提出的措施具有针对性、有效性和可行性。</w:t>
      </w:r>
    </w:p>
    <w:p w14:paraId="29F6ED00">
      <w:pPr>
        <w:widowControl/>
        <w:spacing w:line="800" w:lineRule="exact"/>
        <w:ind w:firstLine="640" w:firstLineChars="2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 xml:space="preserve">四、我单位对本项目安全评价报告中结论性内容承担法律责任。 </w:t>
      </w:r>
    </w:p>
    <w:p w14:paraId="24DF28B4">
      <w:pPr>
        <w:spacing w:line="242" w:lineRule="auto"/>
        <w:rPr>
          <w:rFonts w:ascii="Arial"/>
          <w:color w:val="auto"/>
          <w:sz w:val="21"/>
        </w:rPr>
      </w:pPr>
    </w:p>
    <w:p w14:paraId="35DC1916">
      <w:pPr>
        <w:spacing w:line="243" w:lineRule="auto"/>
        <w:rPr>
          <w:rFonts w:ascii="Arial"/>
          <w:color w:val="auto"/>
          <w:sz w:val="21"/>
        </w:rPr>
      </w:pPr>
    </w:p>
    <w:p w14:paraId="676B3965">
      <w:pPr>
        <w:widowControl/>
        <w:spacing w:line="800" w:lineRule="exact"/>
        <w:ind w:left="5280" w:hanging="5280" w:hangingChars="1650"/>
        <w:jc w:val="center"/>
        <w:rPr>
          <w:rFonts w:hint="eastAsia" w:ascii="宋体" w:hAnsi="宋体" w:eastAsia="宋体" w:cs="宋体"/>
          <w:color w:val="auto"/>
          <w:kern w:val="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eastAsia="宋体" w:cs="宋体"/>
          <w:color w:val="auto"/>
          <w:kern w:val="0"/>
          <w:sz w:val="32"/>
          <w:szCs w:val="32"/>
          <w:lang w:val="en-US" w:eastAsia="zh-CN"/>
        </w:rPr>
        <w:t xml:space="preserve"> </w:t>
      </w:r>
      <w:r>
        <w:rPr>
          <w:rFonts w:hint="eastAsia" w:ascii="宋体" w:hAnsi="宋体" w:eastAsia="宋体" w:cs="宋体"/>
          <w:color w:val="auto"/>
          <w:kern w:val="0"/>
          <w:sz w:val="32"/>
          <w:szCs w:val="32"/>
        </w:rPr>
        <w:t>江西赣安安全生产科学技术咨询服务中心</w:t>
      </w:r>
    </w:p>
    <w:p w14:paraId="19B6ABD7">
      <w:pPr>
        <w:widowControl/>
        <w:spacing w:line="800" w:lineRule="exact"/>
        <w:jc w:val="center"/>
        <w:rPr>
          <w:color w:val="auto"/>
          <w:kern w:val="0"/>
          <w:sz w:val="32"/>
          <w:szCs w:val="32"/>
        </w:rPr>
      </w:pPr>
      <w:r>
        <w:rPr>
          <w:rFonts w:hint="eastAsia" w:ascii="宋体" w:hAnsi="宋体" w:eastAsia="宋体" w:cs="宋体"/>
          <w:color w:val="auto"/>
          <w:kern w:val="0"/>
          <w:sz w:val="32"/>
          <w:szCs w:val="32"/>
          <w:lang w:val="en-US" w:eastAsia="zh-CN"/>
        </w:rPr>
        <w:t xml:space="preserve">                             </w:t>
      </w:r>
      <w:r>
        <w:rPr>
          <w:rFonts w:hint="eastAsia" w:ascii="Times New Roman" w:hAnsi="Times New Roman" w:eastAsia="宋体" w:cs="Times New Roman"/>
          <w:snapToGrid/>
          <w:color w:val="auto"/>
          <w:kern w:val="0"/>
          <w:sz w:val="32"/>
          <w:szCs w:val="32"/>
          <w:lang w:val="en-US" w:eastAsia="zh-CN" w:bidi="ar-SA"/>
        </w:rPr>
        <w:t>2026年</w:t>
      </w:r>
      <w:r>
        <w:rPr>
          <w:rFonts w:hint="eastAsia" w:ascii="Times New Roman" w:hAnsi="Times New Roman" w:cs="Times New Roman"/>
          <w:snapToGrid/>
          <w:color w:val="auto"/>
          <w:kern w:val="0"/>
          <w:sz w:val="32"/>
          <w:szCs w:val="32"/>
          <w:lang w:val="en-US" w:eastAsia="zh-CN" w:bidi="ar-SA"/>
        </w:rPr>
        <w:t>5</w:t>
      </w:r>
      <w:r>
        <w:rPr>
          <w:rFonts w:hint="eastAsia" w:ascii="Times New Roman" w:hAnsi="Times New Roman" w:eastAsia="宋体" w:cs="Times New Roman"/>
          <w:snapToGrid/>
          <w:color w:val="auto"/>
          <w:kern w:val="0"/>
          <w:sz w:val="32"/>
          <w:szCs w:val="32"/>
          <w:lang w:val="en-US" w:eastAsia="zh-CN" w:bidi="ar-SA"/>
        </w:rPr>
        <w:t>月</w:t>
      </w:r>
      <w:r>
        <w:rPr>
          <w:rFonts w:hint="eastAsia" w:ascii="Times New Roman" w:hAnsi="Times New Roman" w:cs="Times New Roman"/>
          <w:snapToGrid/>
          <w:color w:val="auto"/>
          <w:kern w:val="0"/>
          <w:sz w:val="32"/>
          <w:szCs w:val="32"/>
          <w:lang w:val="en-US" w:eastAsia="zh-CN" w:bidi="ar-SA"/>
        </w:rPr>
        <w:t>17</w:t>
      </w:r>
      <w:r>
        <w:rPr>
          <w:rFonts w:hint="eastAsia" w:ascii="Times New Roman" w:hAnsi="Times New Roman" w:eastAsia="宋体" w:cs="Times New Roman"/>
          <w:snapToGrid/>
          <w:color w:val="auto"/>
          <w:kern w:val="0"/>
          <w:sz w:val="32"/>
          <w:szCs w:val="32"/>
          <w:lang w:val="en-US" w:eastAsia="zh-CN" w:bidi="ar-SA"/>
        </w:rPr>
        <w:t xml:space="preserve">日 </w:t>
      </w:r>
    </w:p>
    <w:p w14:paraId="7CE6D145">
      <w:pPr>
        <w:widowControl/>
        <w:spacing w:line="800" w:lineRule="exact"/>
        <w:ind w:left="5280" w:hanging="5280" w:hangingChars="1650"/>
        <w:jc w:val="center"/>
        <w:rPr>
          <w:rFonts w:ascii="仿宋" w:hAnsi="仿宋" w:eastAsia="仿宋" w:cs="宋体"/>
          <w:color w:val="auto"/>
          <w:kern w:val="0"/>
          <w:sz w:val="32"/>
          <w:szCs w:val="32"/>
        </w:rPr>
        <w:sectPr>
          <w:pgSz w:w="11906" w:h="16839"/>
          <w:pgMar w:top="1417" w:right="1417" w:bottom="1417" w:left="1417" w:header="850" w:footer="964" w:gutter="0"/>
          <w:pgBorders>
            <w:top w:val="none" w:sz="0" w:space="0"/>
            <w:left w:val="none" w:sz="0" w:space="0"/>
            <w:bottom w:val="none" w:sz="0" w:space="0"/>
            <w:right w:val="none" w:sz="0" w:space="0"/>
          </w:pgBorders>
          <w:pgNumType w:fmt="upperRoman"/>
          <w:cols w:space="0" w:num="1"/>
          <w:rtlGutter w:val="0"/>
          <w:docGrid w:linePitch="0" w:charSpace="0"/>
        </w:sectPr>
      </w:pPr>
    </w:p>
    <w:p w14:paraId="47FE0696">
      <w:pPr>
        <w:spacing w:before="41" w:line="209" w:lineRule="auto"/>
        <w:ind w:right="332"/>
        <w:rPr>
          <w:rFonts w:ascii="Arial"/>
          <w:color w:val="auto"/>
          <w:sz w:val="21"/>
        </w:rPr>
      </w:pPr>
    </w:p>
    <w:p w14:paraId="6EE2FC97">
      <w:pPr>
        <w:jc w:val="center"/>
        <w:rPr>
          <w:rFonts w:hint="eastAsia" w:hAnsi="宋体"/>
          <w:b/>
          <w:color w:val="auto"/>
          <w:sz w:val="32"/>
          <w:szCs w:val="32"/>
        </w:rPr>
      </w:pPr>
    </w:p>
    <w:p w14:paraId="7B4B8799">
      <w:pPr>
        <w:ind w:left="0" w:leftChars="0" w:firstLine="0" w:firstLineChars="0"/>
        <w:jc w:val="center"/>
        <w:rPr>
          <w:color w:val="auto"/>
        </w:rPr>
      </w:pPr>
      <w:r>
        <w:rPr>
          <w:rFonts w:hint="eastAsia" w:hAnsi="宋体"/>
          <w:b/>
          <w:color w:val="auto"/>
          <w:sz w:val="32"/>
          <w:szCs w:val="32"/>
        </w:rPr>
        <w:t>评</w:t>
      </w:r>
      <w:r>
        <w:rPr>
          <w:rFonts w:hint="eastAsia"/>
          <w:b/>
          <w:color w:val="auto"/>
          <w:sz w:val="32"/>
          <w:szCs w:val="32"/>
          <w:lang w:val="en-US" w:eastAsia="zh-CN"/>
        </w:rPr>
        <w:t xml:space="preserve"> </w:t>
      </w:r>
      <w:r>
        <w:rPr>
          <w:rFonts w:hint="eastAsia" w:hAnsi="宋体"/>
          <w:b/>
          <w:color w:val="auto"/>
          <w:sz w:val="32"/>
          <w:szCs w:val="32"/>
        </w:rPr>
        <w:t>价</w:t>
      </w:r>
      <w:r>
        <w:rPr>
          <w:rFonts w:hint="eastAsia"/>
          <w:b/>
          <w:color w:val="auto"/>
          <w:sz w:val="32"/>
          <w:szCs w:val="32"/>
          <w:lang w:val="en-US" w:eastAsia="zh-CN"/>
        </w:rPr>
        <w:t xml:space="preserve"> </w:t>
      </w:r>
      <w:r>
        <w:rPr>
          <w:rFonts w:hint="eastAsia" w:hAnsi="宋体"/>
          <w:b/>
          <w:color w:val="auto"/>
          <w:sz w:val="32"/>
          <w:szCs w:val="32"/>
        </w:rPr>
        <w:t>人</w:t>
      </w:r>
      <w:r>
        <w:rPr>
          <w:rFonts w:hint="eastAsia"/>
          <w:b/>
          <w:color w:val="auto"/>
          <w:sz w:val="32"/>
          <w:szCs w:val="32"/>
          <w:lang w:val="en-US" w:eastAsia="zh-CN"/>
        </w:rPr>
        <w:t xml:space="preserve"> </w:t>
      </w:r>
      <w:r>
        <w:rPr>
          <w:rFonts w:hint="eastAsia" w:hAnsi="宋体"/>
          <w:b/>
          <w:color w:val="auto"/>
          <w:sz w:val="32"/>
          <w:szCs w:val="32"/>
        </w:rPr>
        <w:t>员</w:t>
      </w:r>
    </w:p>
    <w:p w14:paraId="31A68A9D">
      <w:pPr>
        <w:rPr>
          <w:color w:val="auto"/>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1290"/>
        <w:gridCol w:w="3018"/>
        <w:gridCol w:w="1564"/>
        <w:gridCol w:w="1301"/>
      </w:tblGrid>
      <w:tr w14:paraId="3685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589" w:type="dxa"/>
            <w:tcBorders>
              <w:top w:val="single" w:color="auto" w:sz="4" w:space="0"/>
              <w:left w:val="single" w:color="auto" w:sz="4" w:space="0"/>
              <w:bottom w:val="single" w:color="auto" w:sz="4" w:space="0"/>
              <w:right w:val="single" w:color="auto" w:sz="4" w:space="0"/>
            </w:tcBorders>
            <w:noWrap w:val="0"/>
            <w:vAlign w:val="center"/>
          </w:tcPr>
          <w:p w14:paraId="75A9942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907DA0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姓  名</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8A2668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证书编号</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E2F46D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从业登记号</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B94420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签</w:t>
            </w:r>
            <w:r>
              <w:rPr>
                <w:rFonts w:hint="eastAsia" w:cs="Times New Roman"/>
                <w:color w:val="auto"/>
                <w:sz w:val="24"/>
                <w:lang w:val="en-US" w:eastAsia="zh-CN"/>
              </w:rPr>
              <w:t xml:space="preserve">  </w:t>
            </w:r>
            <w:r>
              <w:rPr>
                <w:rFonts w:hint="default" w:ascii="Times New Roman" w:hAnsi="Times New Roman" w:eastAsia="宋体" w:cs="Times New Roman"/>
                <w:color w:val="auto"/>
                <w:sz w:val="24"/>
              </w:rPr>
              <w:t>字</w:t>
            </w:r>
          </w:p>
        </w:tc>
      </w:tr>
      <w:tr w14:paraId="0A24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589" w:type="dxa"/>
            <w:tcBorders>
              <w:top w:val="single" w:color="auto" w:sz="4" w:space="0"/>
              <w:left w:val="single" w:color="auto" w:sz="4" w:space="0"/>
              <w:bottom w:val="single" w:color="auto" w:sz="4" w:space="0"/>
              <w:right w:val="single" w:color="auto" w:sz="4" w:space="0"/>
            </w:tcBorders>
            <w:noWrap w:val="0"/>
            <w:vAlign w:val="center"/>
          </w:tcPr>
          <w:p w14:paraId="18661B8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25FA23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EBA5B7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FD0B00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2A178A4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3A88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589" w:type="dxa"/>
            <w:vMerge w:val="restart"/>
            <w:tcBorders>
              <w:top w:val="single" w:color="auto" w:sz="4" w:space="0"/>
              <w:left w:val="single" w:color="auto" w:sz="4" w:space="0"/>
              <w:right w:val="single" w:color="auto" w:sz="4" w:space="0"/>
            </w:tcBorders>
            <w:noWrap w:val="0"/>
            <w:vAlign w:val="center"/>
          </w:tcPr>
          <w:p w14:paraId="2454012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项目组成员</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C802AB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曾华玉</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6047505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0800000000203970</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3AD4615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007037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BD4B74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0FB6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589" w:type="dxa"/>
            <w:vMerge w:val="continue"/>
            <w:tcBorders>
              <w:left w:val="single" w:color="auto" w:sz="4" w:space="0"/>
              <w:right w:val="single" w:color="auto" w:sz="4" w:space="0"/>
            </w:tcBorders>
            <w:noWrap w:val="0"/>
            <w:vAlign w:val="center"/>
          </w:tcPr>
          <w:p w14:paraId="0EF1F7D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56328E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钟志宏</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6DE5A1E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0002944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09BD045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36050002981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ACC08C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7782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589" w:type="dxa"/>
            <w:vMerge w:val="continue"/>
            <w:tcBorders>
              <w:left w:val="single" w:color="auto" w:sz="4" w:space="0"/>
              <w:right w:val="single" w:color="auto" w:sz="4" w:space="0"/>
            </w:tcBorders>
            <w:noWrap w:val="0"/>
            <w:vAlign w:val="center"/>
          </w:tcPr>
          <w:p w14:paraId="338980D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B59DE1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50A9356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71B47B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4088435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6C06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589" w:type="dxa"/>
            <w:vMerge w:val="continue"/>
            <w:tcBorders>
              <w:left w:val="single" w:color="auto" w:sz="4" w:space="0"/>
              <w:right w:val="single" w:color="auto" w:sz="4" w:space="0"/>
            </w:tcBorders>
            <w:noWrap w:val="0"/>
            <w:vAlign w:val="center"/>
          </w:tcPr>
          <w:p w14:paraId="59B0704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12C9FC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黄伯扬</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3DB95CC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auto"/>
                <w:sz w:val="24"/>
                <w:lang w:eastAsia="zh-CN"/>
              </w:rPr>
            </w:pPr>
            <w:r>
              <w:rPr>
                <w:rFonts w:hint="default" w:ascii="Times New Roman" w:hAnsi="Times New Roman" w:cs="Times New Roman"/>
                <w:color w:val="auto"/>
                <w:sz w:val="24"/>
                <w:lang w:val="en-US" w:eastAsia="zh-CN"/>
              </w:rPr>
              <w:t>1</w:t>
            </w:r>
            <w:r>
              <w:rPr>
                <w:rFonts w:hint="default" w:ascii="Times New Roman" w:hAnsi="Times New Roman" w:eastAsia="宋体" w:cs="Times New Roman"/>
                <w:color w:val="auto"/>
                <w:sz w:val="24"/>
              </w:rPr>
              <w:t>800000000</w:t>
            </w:r>
            <w:r>
              <w:rPr>
                <w:rFonts w:hint="default" w:ascii="Times New Roman" w:hAnsi="Times New Roman" w:cs="Times New Roman"/>
                <w:color w:val="auto"/>
                <w:sz w:val="24"/>
                <w:lang w:val="en-US" w:eastAsia="zh-CN"/>
              </w:rPr>
              <w:t>3</w:t>
            </w:r>
            <w:r>
              <w:rPr>
                <w:rFonts w:hint="default" w:ascii="Times New Roman" w:hAnsi="Times New Roman" w:eastAsia="宋体" w:cs="Times New Roman"/>
                <w:color w:val="auto"/>
                <w:sz w:val="24"/>
              </w:rPr>
              <w:t>0</w:t>
            </w:r>
            <w:r>
              <w:rPr>
                <w:rFonts w:hint="default" w:ascii="Times New Roman" w:hAnsi="Times New Roman" w:cs="Times New Roman"/>
                <w:color w:val="auto"/>
                <w:sz w:val="24"/>
                <w:lang w:val="en-US" w:eastAsia="zh-CN"/>
              </w:rPr>
              <w:t>0643</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08CCD5F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cs="Times New Roman"/>
                <w:color w:val="auto"/>
                <w:sz w:val="24"/>
                <w:lang w:val="en-US" w:eastAsia="zh-CN"/>
              </w:rPr>
              <w:t>032737</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2FF1F3C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0B03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589" w:type="dxa"/>
            <w:vMerge w:val="continue"/>
            <w:tcBorders>
              <w:left w:val="single" w:color="auto" w:sz="4" w:space="0"/>
              <w:right w:val="single" w:color="auto" w:sz="4" w:space="0"/>
            </w:tcBorders>
            <w:noWrap w:val="0"/>
            <w:vAlign w:val="center"/>
          </w:tcPr>
          <w:p w14:paraId="3D72A87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14:paraId="1BA21FB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王纪鹏</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2829D51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S01103500011019</w:t>
            </w:r>
            <w:r>
              <w:rPr>
                <w:rFonts w:hint="default" w:ascii="Times New Roman" w:hAnsi="Times New Roman" w:cs="Times New Roman"/>
                <w:color w:val="auto"/>
                <w:sz w:val="24"/>
                <w:lang w:val="en-US" w:eastAsia="zh-CN"/>
              </w:rPr>
              <w:t>2</w:t>
            </w:r>
            <w:r>
              <w:rPr>
                <w:rFonts w:hint="default" w:ascii="Times New Roman" w:hAnsi="Times New Roman" w:eastAsia="宋体" w:cs="Times New Roman"/>
                <w:color w:val="auto"/>
                <w:sz w:val="24"/>
              </w:rPr>
              <w:t>00</w:t>
            </w:r>
            <w:r>
              <w:rPr>
                <w:rFonts w:hint="default" w:ascii="Times New Roman" w:hAnsi="Times New Roman" w:cs="Times New Roman"/>
                <w:color w:val="auto"/>
                <w:sz w:val="24"/>
                <w:lang w:val="en-US" w:eastAsia="zh-CN"/>
              </w:rPr>
              <w:t>155</w:t>
            </w:r>
            <w:r>
              <w:rPr>
                <w:rFonts w:hint="eastAsia" w:cs="Times New Roman"/>
                <w:color w:val="auto"/>
                <w:sz w:val="24"/>
                <w:lang w:val="en-US" w:eastAsia="zh-CN"/>
              </w:rPr>
              <w:t>2</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507731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rPr>
              <w:t>036830</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4083E0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7966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589" w:type="dxa"/>
            <w:tcBorders>
              <w:top w:val="single" w:color="auto" w:sz="4" w:space="0"/>
              <w:left w:val="single" w:color="auto" w:sz="4" w:space="0"/>
              <w:right w:val="single" w:color="auto" w:sz="4" w:space="0"/>
            </w:tcBorders>
            <w:noWrap w:val="0"/>
            <w:vAlign w:val="center"/>
          </w:tcPr>
          <w:p w14:paraId="35B7317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报告编制人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AABBB9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398FE22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5CABFF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4ED18B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11E8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589" w:type="dxa"/>
            <w:tcBorders>
              <w:top w:val="single" w:color="auto" w:sz="4" w:space="0"/>
              <w:left w:val="single" w:color="auto" w:sz="4" w:space="0"/>
              <w:bottom w:val="single" w:color="auto" w:sz="4" w:space="0"/>
              <w:right w:val="single" w:color="auto" w:sz="4" w:space="0"/>
            </w:tcBorders>
            <w:noWrap w:val="0"/>
            <w:vAlign w:val="center"/>
          </w:tcPr>
          <w:p w14:paraId="2A06C23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报告审核人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A2A686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郑  强</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78C28A6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0800000000101605</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C286A6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001851</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63B5590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07F5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589" w:type="dxa"/>
            <w:tcBorders>
              <w:top w:val="single" w:color="auto" w:sz="4" w:space="0"/>
              <w:left w:val="single" w:color="auto" w:sz="4" w:space="0"/>
              <w:bottom w:val="single" w:color="auto" w:sz="4" w:space="0"/>
              <w:right w:val="single" w:color="auto" w:sz="4" w:space="0"/>
            </w:tcBorders>
            <w:noWrap w:val="0"/>
            <w:vAlign w:val="center"/>
          </w:tcPr>
          <w:p w14:paraId="3F48A5C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过程控制负责</w:t>
            </w:r>
            <w:r>
              <w:rPr>
                <w:rFonts w:hint="eastAsia" w:ascii="Times New Roman" w:hAnsi="Times New Roman" w:cs="Times New Roman"/>
                <w:color w:val="auto"/>
                <w:sz w:val="24"/>
                <w:lang w:val="en-US" w:eastAsia="zh-CN"/>
              </w:rPr>
              <w:t>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69A976E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檀廷斌</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0110686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1600000000200717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13FEC48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029648</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3396E4A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r w14:paraId="6490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589" w:type="dxa"/>
            <w:tcBorders>
              <w:top w:val="single" w:color="auto" w:sz="4" w:space="0"/>
              <w:left w:val="single" w:color="auto" w:sz="4" w:space="0"/>
              <w:bottom w:val="single" w:color="auto" w:sz="4" w:space="0"/>
              <w:right w:val="single" w:color="auto" w:sz="4" w:space="0"/>
            </w:tcBorders>
            <w:noWrap w:val="0"/>
            <w:vAlign w:val="center"/>
          </w:tcPr>
          <w:p w14:paraId="3E40E79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技术负责人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CF00B3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李</w:t>
            </w:r>
            <w:r>
              <w:rPr>
                <w:rFonts w:hint="eastAsia" w:ascii="Times New Roman" w:hAnsi="Times New Roman" w:cs="Times New Roman"/>
                <w:color w:val="auto"/>
                <w:sz w:val="24"/>
                <w:lang w:val="en-US" w:eastAsia="zh-CN"/>
              </w:rPr>
              <w:t xml:space="preserve">  </w:t>
            </w:r>
            <w:r>
              <w:rPr>
                <w:rFonts w:hint="default" w:ascii="Times New Roman" w:hAnsi="Times New Roman" w:eastAsia="宋体" w:cs="Times New Roman"/>
                <w:color w:val="auto"/>
                <w:sz w:val="24"/>
              </w:rPr>
              <w:t>彦</w:t>
            </w:r>
          </w:p>
        </w:tc>
        <w:tc>
          <w:tcPr>
            <w:tcW w:w="3018" w:type="dxa"/>
            <w:tcBorders>
              <w:top w:val="single" w:color="auto" w:sz="4" w:space="0"/>
              <w:left w:val="single" w:color="auto" w:sz="4" w:space="0"/>
              <w:bottom w:val="single" w:color="auto" w:sz="4" w:space="0"/>
              <w:right w:val="single" w:color="auto" w:sz="4" w:space="0"/>
            </w:tcBorders>
            <w:noWrap w:val="0"/>
            <w:vAlign w:val="center"/>
          </w:tcPr>
          <w:p w14:paraId="2176FBE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S011053000110191001167</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6D023C3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035879</w:t>
            </w:r>
          </w:p>
        </w:tc>
        <w:tc>
          <w:tcPr>
            <w:tcW w:w="1301" w:type="dxa"/>
            <w:tcBorders>
              <w:top w:val="single" w:color="auto" w:sz="4" w:space="0"/>
              <w:left w:val="single" w:color="auto" w:sz="4" w:space="0"/>
              <w:bottom w:val="single" w:color="auto" w:sz="4" w:space="0"/>
              <w:right w:val="single" w:color="auto" w:sz="4" w:space="0"/>
            </w:tcBorders>
            <w:noWrap w:val="0"/>
            <w:vAlign w:val="center"/>
          </w:tcPr>
          <w:p w14:paraId="0640D1A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auto"/>
                <w:sz w:val="24"/>
              </w:rPr>
            </w:pPr>
          </w:p>
        </w:tc>
      </w:tr>
    </w:tbl>
    <w:p w14:paraId="1CC3D38B">
      <w:pPr>
        <w:pStyle w:val="37"/>
        <w:jc w:val="center"/>
        <w:rPr>
          <w:rFonts w:hint="eastAsia" w:ascii="Times New Roman" w:cs="Times New Roman"/>
          <w:b/>
          <w:color w:val="auto"/>
          <w:kern w:val="2"/>
          <w:sz w:val="32"/>
        </w:rPr>
      </w:pPr>
    </w:p>
    <w:p w14:paraId="1A6F7C57">
      <w:pPr>
        <w:pStyle w:val="37"/>
        <w:jc w:val="center"/>
        <w:rPr>
          <w:rFonts w:hint="eastAsia" w:ascii="Times New Roman" w:cs="Times New Roman"/>
          <w:b/>
          <w:color w:val="auto"/>
          <w:kern w:val="2"/>
          <w:sz w:val="32"/>
        </w:rPr>
      </w:pPr>
    </w:p>
    <w:p w14:paraId="7D004652">
      <w:pPr>
        <w:pStyle w:val="16"/>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720" w:lineRule="exact"/>
        <w:ind w:firstLine="1960" w:firstLineChars="700"/>
        <w:textAlignment w:val="baseline"/>
        <w:rPr>
          <w:rFonts w:hint="default"/>
          <w:color w:val="auto"/>
          <w:sz w:val="28"/>
          <w:szCs w:val="28"/>
          <w:lang w:val="en-US" w:eastAsia="zh-CN"/>
        </w:rPr>
        <w:sectPr>
          <w:pgSz w:w="11906" w:h="16839"/>
          <w:pgMar w:top="1417" w:right="1417" w:bottom="1417" w:left="1417" w:header="850" w:footer="964" w:gutter="0"/>
          <w:pgBorders>
            <w:top w:val="none" w:sz="0" w:space="0"/>
            <w:left w:val="none" w:sz="0" w:space="0"/>
            <w:bottom w:val="none" w:sz="0" w:space="0"/>
            <w:right w:val="none" w:sz="0" w:space="0"/>
          </w:pgBorders>
          <w:pgNumType w:fmt="upperRoman"/>
          <w:cols w:space="0" w:num="1"/>
          <w:rtlGutter w:val="0"/>
          <w:docGrid w:linePitch="0" w:charSpace="0"/>
        </w:sectPr>
      </w:pPr>
    </w:p>
    <w:p w14:paraId="788BD4F3">
      <w:pPr>
        <w:keepNext w:val="0"/>
        <w:keepLines w:val="0"/>
        <w:widowControl w:val="0"/>
        <w:suppressLineNumbers w:val="0"/>
        <w:kinsoku/>
        <w:autoSpaceDE/>
        <w:autoSpaceDN/>
        <w:adjustRightInd/>
        <w:snapToGrid/>
        <w:spacing w:line="600" w:lineRule="exact"/>
        <w:ind w:left="0" w:leftChars="0" w:firstLine="0" w:firstLineChars="0"/>
        <w:jc w:val="center"/>
        <w:textAlignment w:val="auto"/>
        <w:rPr>
          <w:color w:val="auto"/>
        </w:rPr>
      </w:pPr>
      <w:bookmarkStart w:id="44" w:name="_Toc8927"/>
      <w:bookmarkStart w:id="45" w:name="_Toc26146"/>
      <w:bookmarkStart w:id="46" w:name="_Toc6393"/>
      <w:bookmarkStart w:id="47" w:name="_Toc3997"/>
      <w:bookmarkStart w:id="48" w:name="_Toc13945"/>
      <w:r>
        <w:rPr>
          <w:rFonts w:hint="eastAsia" w:ascii="Times New Roman" w:hAnsi="Times New Roman" w:eastAsia="宋体" w:cs="Times New Roman"/>
          <w:b/>
          <w:snapToGrid/>
          <w:color w:val="auto"/>
          <w:kern w:val="2"/>
          <w:sz w:val="28"/>
          <w:szCs w:val="28"/>
          <w:lang w:val="en-US" w:eastAsia="zh-CN" w:bidi="ar-SA"/>
        </w:rPr>
        <w:t>前       言</w:t>
      </w:r>
      <w:bookmarkEnd w:id="44"/>
      <w:bookmarkEnd w:id="45"/>
      <w:bookmarkEnd w:id="46"/>
      <w:bookmarkEnd w:id="47"/>
      <w:bookmarkEnd w:id="48"/>
    </w:p>
    <w:p w14:paraId="51EA317F">
      <w:pPr>
        <w:keepNext w:val="0"/>
        <w:keepLines w:val="0"/>
        <w:pageBreakBefore w:val="0"/>
        <w:widowControl/>
        <w:kinsoku w:val="0"/>
        <w:wordWrap/>
        <w:overflowPunct/>
        <w:topLinePunct w:val="0"/>
        <w:autoSpaceDE w:val="0"/>
        <w:autoSpaceDN w:val="0"/>
        <w:bidi w:val="0"/>
        <w:adjustRightInd w:val="0"/>
        <w:snapToGrid w:val="0"/>
        <w:spacing w:line="560" w:lineRule="exact"/>
        <w:ind w:firstLine="592" w:firstLineChars="200"/>
        <w:jc w:val="left"/>
        <w:textAlignment w:val="baseline"/>
        <w:rPr>
          <w:rFonts w:hint="eastAsia" w:ascii="Times New Roman" w:hAnsi="Times New Roman" w:eastAsia="宋体" w:cs="Times New Roman"/>
          <w:color w:val="auto"/>
          <w:spacing w:val="8"/>
          <w:sz w:val="28"/>
          <w:szCs w:val="28"/>
        </w:rPr>
      </w:pPr>
    </w:p>
    <w:p w14:paraId="05FF00A9">
      <w:pPr>
        <w:keepNext w:val="0"/>
        <w:keepLines w:val="0"/>
        <w:pageBreakBefore w:val="0"/>
        <w:widowControl/>
        <w:kinsoku w:val="0"/>
        <w:wordWrap/>
        <w:overflowPunct/>
        <w:topLinePunct w:val="0"/>
        <w:autoSpaceDE w:val="0"/>
        <w:autoSpaceDN w:val="0"/>
        <w:bidi w:val="0"/>
        <w:adjustRightInd w:val="0"/>
        <w:snapToGrid w:val="0"/>
        <w:spacing w:line="560" w:lineRule="exact"/>
        <w:ind w:firstLine="592" w:firstLineChars="200"/>
        <w:jc w:val="left"/>
        <w:textAlignment w:val="baseline"/>
        <w:rPr>
          <w:rFonts w:hint="eastAsia" w:ascii="Times New Roman" w:hAnsi="Times New Roman" w:eastAsia="宋体" w:cs="Times New Roman"/>
          <w:color w:val="auto"/>
          <w:spacing w:val="8"/>
          <w:sz w:val="28"/>
          <w:szCs w:val="28"/>
          <w:lang w:val="en-US" w:eastAsia="zh-CN"/>
        </w:rPr>
      </w:pPr>
      <w:r>
        <w:rPr>
          <w:rFonts w:hint="eastAsia" w:ascii="Times New Roman" w:hAnsi="Times New Roman" w:eastAsia="宋体" w:cs="Times New Roman"/>
          <w:color w:val="auto"/>
          <w:spacing w:val="8"/>
          <w:sz w:val="28"/>
          <w:szCs w:val="28"/>
        </w:rPr>
        <w:t>江西临川鲁金矿业有限公司</w:t>
      </w:r>
      <w:r>
        <w:rPr>
          <w:rFonts w:hint="eastAsia" w:ascii="Times New Roman" w:hAnsi="Times New Roman" w:eastAsia="宋体" w:cs="Times New Roman"/>
          <w:color w:val="auto"/>
          <w:spacing w:val="8"/>
          <w:sz w:val="28"/>
          <w:szCs w:val="28"/>
          <w:lang w:val="en-US" w:eastAsia="zh-CN"/>
        </w:rPr>
        <w:t>茅排金矿是一家开采金矿的地下矿山，</w:t>
      </w:r>
      <w:r>
        <w:rPr>
          <w:rFonts w:hint="eastAsia" w:ascii="Times New Roman" w:hAnsi="Times New Roman" w:eastAsia="宋体" w:cs="Times New Roman"/>
          <w:color w:val="auto"/>
          <w:spacing w:val="8"/>
          <w:sz w:val="28"/>
          <w:szCs w:val="28"/>
        </w:rPr>
        <w:t>位于江西省抚州市临川区茅排乡</w:t>
      </w:r>
      <w:r>
        <w:rPr>
          <w:rFonts w:hint="eastAsia" w:ascii="Times New Roman" w:hAnsi="Times New Roman" w:eastAsia="宋体" w:cs="Times New Roman"/>
          <w:color w:val="auto"/>
          <w:spacing w:val="8"/>
          <w:sz w:val="28"/>
          <w:szCs w:val="28"/>
          <w:lang w:eastAsia="zh-CN"/>
        </w:rPr>
        <w:t>，</w:t>
      </w:r>
      <w:r>
        <w:rPr>
          <w:rFonts w:hint="eastAsia" w:ascii="Times New Roman" w:hAnsi="Times New Roman" w:eastAsia="宋体" w:cs="Times New Roman"/>
          <w:color w:val="auto"/>
          <w:spacing w:val="8"/>
          <w:sz w:val="28"/>
          <w:szCs w:val="28"/>
          <w:lang w:val="en-US" w:eastAsia="zh-CN"/>
        </w:rPr>
        <w:t>采矿权人为</w:t>
      </w:r>
      <w:r>
        <w:rPr>
          <w:rFonts w:hint="eastAsia" w:ascii="Times New Roman" w:hAnsi="Times New Roman" w:eastAsia="宋体" w:cs="Times New Roman"/>
          <w:color w:val="auto"/>
          <w:spacing w:val="8"/>
          <w:sz w:val="28"/>
          <w:szCs w:val="28"/>
        </w:rPr>
        <w:t>江西临川鲁金矿业有限公司</w:t>
      </w:r>
      <w:r>
        <w:rPr>
          <w:rFonts w:hint="eastAsia" w:ascii="Times New Roman" w:hAnsi="Times New Roman" w:eastAsia="宋体" w:cs="Times New Roman"/>
          <w:color w:val="auto"/>
          <w:spacing w:val="8"/>
          <w:sz w:val="28"/>
          <w:szCs w:val="28"/>
          <w:lang w:eastAsia="zh-CN"/>
        </w:rPr>
        <w:t>，</w:t>
      </w:r>
      <w:r>
        <w:rPr>
          <w:rFonts w:hint="eastAsia" w:ascii="Times New Roman" w:hAnsi="Times New Roman" w:eastAsia="宋体" w:cs="Times New Roman"/>
          <w:color w:val="auto"/>
          <w:spacing w:val="8"/>
          <w:sz w:val="28"/>
          <w:szCs w:val="28"/>
          <w:lang w:val="en-US" w:eastAsia="zh-CN"/>
        </w:rPr>
        <w:t>2025年5月江西省自然资源厅换发了</w:t>
      </w:r>
      <w:r>
        <w:rPr>
          <w:rFonts w:hint="eastAsia" w:ascii="Times New Roman" w:hAnsi="Times New Roman" w:eastAsia="宋体" w:cs="Times New Roman"/>
          <w:color w:val="auto"/>
          <w:spacing w:val="8"/>
          <w:sz w:val="28"/>
          <w:szCs w:val="28"/>
        </w:rPr>
        <w:t>采矿许可证</w:t>
      </w:r>
      <w:r>
        <w:rPr>
          <w:rFonts w:hint="eastAsia" w:ascii="Times New Roman" w:hAnsi="Times New Roman" w:eastAsia="宋体" w:cs="Times New Roman"/>
          <w:color w:val="auto"/>
          <w:spacing w:val="8"/>
          <w:sz w:val="28"/>
          <w:szCs w:val="28"/>
          <w:lang w:val="en-US" w:eastAsia="zh-CN"/>
        </w:rPr>
        <w:t>（证号：</w:t>
      </w:r>
      <w:r>
        <w:rPr>
          <w:rFonts w:hint="eastAsia" w:ascii="Times New Roman" w:hAnsi="Times New Roman" w:eastAsia="宋体" w:cs="Times New Roman"/>
          <w:b w:val="0"/>
          <w:bCs w:val="0"/>
          <w:color w:val="auto"/>
          <w:spacing w:val="-12"/>
          <w:sz w:val="28"/>
          <w:szCs w:val="28"/>
        </w:rPr>
        <w:t>C</w:t>
      </w:r>
      <w:r>
        <w:rPr>
          <w:rFonts w:hint="eastAsia" w:ascii="Times New Roman" w:hAnsi="Times New Roman" w:eastAsia="宋体" w:cs="Times New Roman"/>
          <w:b w:val="0"/>
          <w:bCs w:val="0"/>
          <w:color w:val="auto"/>
          <w:spacing w:val="-24"/>
          <w:sz w:val="28"/>
          <w:szCs w:val="28"/>
        </w:rPr>
        <w:t>3</w:t>
      </w:r>
      <w:r>
        <w:rPr>
          <w:rFonts w:hint="eastAsia" w:ascii="Times New Roman" w:hAnsi="Times New Roman" w:eastAsia="宋体" w:cs="Times New Roman"/>
          <w:b w:val="0"/>
          <w:bCs w:val="0"/>
          <w:color w:val="auto"/>
          <w:spacing w:val="-16"/>
          <w:sz w:val="28"/>
          <w:szCs w:val="28"/>
        </w:rPr>
        <w:t>6</w:t>
      </w:r>
      <w:r>
        <w:rPr>
          <w:rFonts w:hint="eastAsia" w:ascii="Times New Roman" w:hAnsi="Times New Roman" w:eastAsia="宋体" w:cs="Times New Roman"/>
          <w:b w:val="0"/>
          <w:bCs w:val="0"/>
          <w:color w:val="auto"/>
          <w:spacing w:val="-12"/>
          <w:sz w:val="28"/>
          <w:szCs w:val="28"/>
        </w:rPr>
        <w:t>00002009104120039441</w:t>
      </w:r>
      <w:r>
        <w:rPr>
          <w:rFonts w:hint="eastAsia" w:ascii="Times New Roman" w:hAnsi="Times New Roman" w:eastAsia="宋体" w:cs="Times New Roman"/>
          <w:color w:val="auto"/>
          <w:spacing w:val="8"/>
          <w:sz w:val="28"/>
          <w:szCs w:val="28"/>
          <w:lang w:val="en-US" w:eastAsia="zh-CN"/>
        </w:rPr>
        <w:t>）</w:t>
      </w:r>
      <w:r>
        <w:rPr>
          <w:rFonts w:hint="eastAsia" w:ascii="Times New Roman" w:hAnsi="Times New Roman" w:eastAsia="宋体" w:cs="Times New Roman"/>
          <w:color w:val="auto"/>
          <w:spacing w:val="8"/>
          <w:sz w:val="28"/>
          <w:szCs w:val="28"/>
        </w:rPr>
        <w:t>，</w:t>
      </w:r>
      <w:r>
        <w:rPr>
          <w:rFonts w:hint="eastAsia" w:ascii="Times New Roman" w:hAnsi="Times New Roman" w:eastAsia="宋体" w:cs="Times New Roman"/>
          <w:color w:val="auto"/>
          <w:spacing w:val="8"/>
          <w:sz w:val="28"/>
          <w:szCs w:val="28"/>
          <w:lang w:val="en-US" w:eastAsia="zh-CN"/>
        </w:rPr>
        <w:t>有效期限：2025年1月17日-2029年9月17日。</w:t>
      </w:r>
    </w:p>
    <w:p w14:paraId="0E1C1D32">
      <w:pPr>
        <w:bidi w:val="0"/>
        <w:rPr>
          <w:rFonts w:hint="default" w:ascii="Times New Roman" w:hAnsi="Times New Roman" w:eastAsia="宋体" w:cs="Times New Roman"/>
          <w:color w:val="auto"/>
          <w:sz w:val="28"/>
          <w:lang w:val="en-US" w:eastAsia="zh-CN"/>
        </w:rPr>
      </w:pPr>
      <w:r>
        <w:rPr>
          <w:rFonts w:hint="eastAsia" w:ascii="Times New Roman" w:hAnsi="Times New Roman" w:eastAsia="宋体" w:cs="Times New Roman"/>
          <w:color w:val="auto"/>
          <w:sz w:val="28"/>
          <w:lang w:val="en-US" w:eastAsia="zh-CN"/>
        </w:rPr>
        <w:t>江西临川鲁金矿业有限公司茅排金矿开采方式为地下开采，开拓方式为平硐开拓，采用浅孔留矿法进行采矿，矿山+270m中段</w:t>
      </w:r>
      <w:r>
        <w:rPr>
          <w:rFonts w:hint="eastAsia" w:ascii="Times New Roman" w:hAnsi="Times New Roman" w:cs="Times New Roman"/>
          <w:color w:val="auto"/>
          <w:sz w:val="28"/>
          <w:lang w:val="en-US" w:eastAsia="zh-CN"/>
        </w:rPr>
        <w:t>为生产作业中段</w:t>
      </w:r>
      <w:r>
        <w:rPr>
          <w:rFonts w:hint="eastAsia" w:ascii="Times New Roman" w:hAnsi="Times New Roman" w:eastAsia="宋体" w:cs="Times New Roman"/>
          <w:color w:val="auto"/>
          <w:sz w:val="28"/>
          <w:lang w:val="en-US" w:eastAsia="zh-CN"/>
        </w:rPr>
        <w:t>，+320m中段为回风中段，+270m平硐作为主运输平硐，采用矿用四轮汽车运输方式。因该矿采矿许可证于2025年1月17日到期，抚州市自然资源局临川分局2025年1月17日下达《采矿许可证到期停采通知书》（临自然资责停书〔2025〕001号），通知企业自采矿许可证有效期届满之日起，立即停止矿山开采活动。2025年1月至今，该矿处于停止生产状态。</w:t>
      </w:r>
    </w:p>
    <w:p w14:paraId="71681FB1">
      <w:pPr>
        <w:bidi w:val="0"/>
        <w:rPr>
          <w:rFonts w:hint="eastAsia" w:ascii="Times New Roman" w:hAnsi="Times New Roman" w:eastAsia="宋体" w:cs="Times New Roman"/>
          <w:color w:val="auto"/>
          <w:sz w:val="28"/>
          <w:lang w:val="en-US" w:eastAsia="zh-CN"/>
        </w:rPr>
      </w:pPr>
      <w:r>
        <w:rPr>
          <w:rFonts w:hint="eastAsia" w:ascii="Times New Roman" w:hAnsi="Times New Roman" w:eastAsia="宋体" w:cs="Times New Roman"/>
          <w:color w:val="auto"/>
          <w:sz w:val="28"/>
          <w:lang w:val="en-US" w:eastAsia="zh-CN"/>
        </w:rPr>
        <w:t>2023年5月，矿山取得了江西省应急管理厅颁发的安全生产许可证，证书编号：（赣）FM安许证字［2014］M1643号，有效期限：2023年05月07日-2026年05月06日；许可范围：金矿3万吨/年，平硐开拓，+270m中段地下开采。</w:t>
      </w:r>
    </w:p>
    <w:p w14:paraId="4F4EBEA1">
      <w:pPr>
        <w:bidi w:val="0"/>
        <w:rPr>
          <w:rFonts w:hint="eastAsia" w:ascii="Times New Roman" w:hAnsi="Times New Roman" w:eastAsia="宋体" w:cs="Times New Roman"/>
          <w:color w:val="auto"/>
          <w:sz w:val="28"/>
          <w:lang w:val="en-US" w:eastAsia="zh-CN"/>
        </w:rPr>
      </w:pPr>
      <w:r>
        <w:rPr>
          <w:rFonts w:hint="eastAsia" w:ascii="Times New Roman" w:hAnsi="Times New Roman" w:eastAsia="宋体" w:cs="Times New Roman"/>
          <w:color w:val="auto"/>
          <w:sz w:val="28"/>
          <w:lang w:val="en-US" w:eastAsia="zh-CN"/>
        </w:rPr>
        <w:t>根据《中华人名共和国安全生产法》、《安全生产许可证条例》和《非煤矿矿山企业安全生产许可证实施办法》等有关法律、法规的规定，安全生产许可证有效期满需要延期的企业应当于期满前3个月向原安全生产许可证颁发管理机关办理延期手续，且依法进行安全评价。江西临川鲁金矿业有限公司委托江西赣安安全生产科学技术咨询服务中心对其地下开采进行安全现状评价。</w:t>
      </w:r>
    </w:p>
    <w:p w14:paraId="4E994A85">
      <w:pPr>
        <w:bidi w:val="0"/>
        <w:rPr>
          <w:rFonts w:hint="eastAsia" w:ascii="Times New Roman" w:hAnsi="Times New Roman" w:eastAsia="宋体" w:cs="Times New Roman"/>
          <w:color w:val="auto"/>
          <w:sz w:val="28"/>
          <w:lang w:val="en-US" w:eastAsia="zh-CN"/>
        </w:rPr>
      </w:pPr>
    </w:p>
    <w:p w14:paraId="1D83A113">
      <w:pPr>
        <w:bidi w:val="0"/>
        <w:rPr>
          <w:rFonts w:hint="eastAsia" w:ascii="Times New Roman" w:hAnsi="Times New Roman" w:eastAsia="宋体" w:cs="Times New Roman"/>
          <w:color w:val="auto"/>
          <w:sz w:val="28"/>
          <w:lang w:val="en-US" w:eastAsia="zh-CN"/>
        </w:rPr>
      </w:pPr>
      <w:r>
        <w:rPr>
          <w:rFonts w:hint="eastAsia" w:ascii="Times New Roman" w:hAnsi="Times New Roman" w:eastAsia="宋体" w:cs="Times New Roman"/>
          <w:color w:val="auto"/>
          <w:sz w:val="28"/>
          <w:lang w:val="en-US" w:eastAsia="zh-CN"/>
        </w:rPr>
        <w:t>按照《安全评价通则》的要求，我中心评价专家组于</w:t>
      </w:r>
      <w:r>
        <w:rPr>
          <w:rFonts w:hint="eastAsia" w:ascii="Times New Roman" w:hAnsi="Times New Roman" w:eastAsia="宋体" w:cs="Times New Roman"/>
          <w:color w:val="auto"/>
          <w:sz w:val="28"/>
          <w:lang w:val="zh-CN" w:eastAsia="zh-CN"/>
        </w:rPr>
        <w:t>202</w:t>
      </w:r>
      <w:r>
        <w:rPr>
          <w:rFonts w:hint="eastAsia" w:ascii="Times New Roman" w:hAnsi="Times New Roman" w:eastAsia="宋体" w:cs="Times New Roman"/>
          <w:color w:val="auto"/>
          <w:sz w:val="28"/>
          <w:lang w:val="en-US" w:eastAsia="zh-CN"/>
        </w:rPr>
        <w:t>6</w:t>
      </w:r>
      <w:r>
        <w:rPr>
          <w:rFonts w:hint="eastAsia" w:ascii="Times New Roman" w:hAnsi="Times New Roman" w:eastAsia="宋体" w:cs="Times New Roman"/>
          <w:color w:val="auto"/>
          <w:sz w:val="28"/>
          <w:lang w:val="zh-CN" w:eastAsia="zh-CN"/>
        </w:rPr>
        <w:t>年</w:t>
      </w:r>
      <w:r>
        <w:rPr>
          <w:rFonts w:hint="eastAsia" w:ascii="Times New Roman" w:hAnsi="Times New Roman" w:cs="Times New Roman"/>
          <w:color w:val="auto"/>
          <w:sz w:val="28"/>
          <w:lang w:val="en-US" w:eastAsia="zh-CN"/>
        </w:rPr>
        <w:t>2</w:t>
      </w:r>
      <w:r>
        <w:rPr>
          <w:rFonts w:hint="eastAsia" w:ascii="Times New Roman" w:hAnsi="Times New Roman" w:eastAsia="宋体" w:cs="Times New Roman"/>
          <w:color w:val="auto"/>
          <w:sz w:val="28"/>
          <w:lang w:val="zh-CN" w:eastAsia="zh-CN"/>
        </w:rPr>
        <w:t>月</w:t>
      </w:r>
      <w:r>
        <w:rPr>
          <w:rFonts w:hint="eastAsia" w:ascii="Times New Roman" w:hAnsi="Times New Roman" w:cs="Times New Roman"/>
          <w:color w:val="auto"/>
          <w:sz w:val="28"/>
          <w:lang w:val="en-US" w:eastAsia="zh-CN"/>
        </w:rPr>
        <w:t>3</w:t>
      </w:r>
      <w:r>
        <w:rPr>
          <w:rFonts w:hint="eastAsia" w:ascii="Times New Roman" w:hAnsi="Times New Roman" w:eastAsia="宋体" w:cs="Times New Roman"/>
          <w:color w:val="auto"/>
          <w:sz w:val="28"/>
          <w:lang w:val="en-US" w:eastAsia="zh-CN"/>
        </w:rPr>
        <w:t>日对该矿进行现场调研，收集</w:t>
      </w:r>
      <w:r>
        <w:rPr>
          <w:rFonts w:hint="eastAsia" w:ascii="Times New Roman" w:hAnsi="Times New Roman" w:cs="Times New Roman"/>
          <w:color w:val="auto"/>
          <w:sz w:val="28"/>
          <w:lang w:val="en-US" w:eastAsia="zh-CN"/>
        </w:rPr>
        <w:t>了</w:t>
      </w:r>
      <w:r>
        <w:rPr>
          <w:rFonts w:hint="eastAsia" w:ascii="Times New Roman" w:hAnsi="Times New Roman" w:eastAsia="宋体" w:cs="Times New Roman"/>
          <w:color w:val="auto"/>
          <w:sz w:val="28"/>
          <w:lang w:val="en-US" w:eastAsia="zh-CN"/>
        </w:rPr>
        <w:t>有关法律法规、技术标准、矿山设计资料、安全技术与安全管理措施资料和矿山现状资料。根据该矿的生产工艺特点和环境条件，针对矿山生产运行过程中设备、设施、安全装置实际情况和管理状况的调查分析，定性、定量地分析其生产过程中存在的危险、有害因素，确定其危险度，对其安全生产现状况作出客观的评价，对存在的问题提出合理可行的安全对策措施及建议，在此基础上编制本评价报告，作为企业取得安全生产许可证延期换证的技术依据之一。</w:t>
      </w:r>
    </w:p>
    <w:p w14:paraId="2C96FE73">
      <w:pPr>
        <w:bidi w:val="0"/>
        <w:rPr>
          <w:rFonts w:hint="eastAsia" w:ascii="Times New Roman" w:hAnsi="Times New Roman" w:eastAsia="宋体" w:cs="Times New Roman"/>
          <w:color w:val="auto"/>
          <w:sz w:val="28"/>
          <w:lang w:val="en-US" w:eastAsia="zh-CN"/>
        </w:rPr>
      </w:pPr>
      <w:r>
        <w:rPr>
          <w:rFonts w:hint="eastAsia"/>
          <w:color w:val="auto"/>
        </w:rPr>
        <w:t>在评价过程中得到了</w:t>
      </w:r>
      <w:r>
        <w:rPr>
          <w:rFonts w:hint="eastAsia" w:ascii="Times New Roman" w:hAnsi="Times New Roman" w:eastAsia="宋体" w:cs="Times New Roman"/>
          <w:color w:val="auto"/>
          <w:spacing w:val="8"/>
          <w:sz w:val="28"/>
          <w:szCs w:val="28"/>
        </w:rPr>
        <w:t>江西临川鲁金矿业有限公司</w:t>
      </w:r>
      <w:r>
        <w:rPr>
          <w:rFonts w:hint="eastAsia"/>
          <w:color w:val="auto"/>
        </w:rPr>
        <w:t>领导、安全生产管理人员及员工的大力支持，在此表示感谢！</w:t>
      </w:r>
    </w:p>
    <w:p w14:paraId="49403358">
      <w:pPr>
        <w:bidi w:val="0"/>
        <w:rPr>
          <w:rFonts w:hint="eastAsia" w:ascii="Times New Roman" w:hAnsi="Times New Roman" w:eastAsia="宋体" w:cs="Times New Roman"/>
          <w:color w:val="auto"/>
          <w:sz w:val="28"/>
          <w:lang w:val="en-US" w:eastAsia="zh-CN"/>
        </w:rPr>
      </w:pPr>
    </w:p>
    <w:p w14:paraId="16F4B26C">
      <w:pPr>
        <w:bidi w:val="0"/>
        <w:rPr>
          <w:rFonts w:hint="eastAsia" w:ascii="宋体" w:hAnsi="宋体" w:eastAsia="宋体" w:cs="Times New Roman"/>
          <w:color w:val="auto"/>
          <w:lang w:val="en-US" w:eastAsia="zh-CN"/>
        </w:rPr>
      </w:pPr>
    </w:p>
    <w:p w14:paraId="29F3ED16">
      <w:pPr>
        <w:bidi w:val="0"/>
        <w:rPr>
          <w:rFonts w:hint="eastAsia" w:ascii="宋体" w:hAnsi="宋体" w:eastAsia="宋体" w:cs="Times New Roman"/>
          <w:color w:val="auto"/>
          <w:lang w:val="en-US" w:eastAsia="zh-CN"/>
        </w:rPr>
      </w:pPr>
    </w:p>
    <w:p w14:paraId="1BE7056F">
      <w:pPr>
        <w:bidi w:val="0"/>
        <w:rPr>
          <w:rFonts w:hint="eastAsia" w:ascii="宋体" w:hAnsi="宋体" w:eastAsia="宋体" w:cs="Times New Roman"/>
          <w:color w:val="auto"/>
          <w:lang w:val="en-US" w:eastAsia="zh-CN"/>
        </w:rPr>
      </w:pPr>
    </w:p>
    <w:p w14:paraId="3E5F553F">
      <w:pPr>
        <w:pStyle w:val="17"/>
        <w:rPr>
          <w:rFonts w:hint="eastAsia" w:ascii="宋体" w:hAnsi="宋体" w:eastAsia="宋体" w:cs="Times New Roman"/>
          <w:color w:val="auto"/>
          <w:lang w:val="en-US" w:eastAsia="zh-CN"/>
        </w:rPr>
      </w:pPr>
    </w:p>
    <w:p w14:paraId="5033D042">
      <w:pPr>
        <w:pStyle w:val="17"/>
        <w:rPr>
          <w:rFonts w:hint="eastAsia" w:ascii="宋体" w:hAnsi="宋体" w:eastAsia="宋体" w:cs="Times New Roman"/>
          <w:color w:val="auto"/>
          <w:lang w:val="en-US" w:eastAsia="zh-CN"/>
        </w:rPr>
      </w:pPr>
    </w:p>
    <w:p w14:paraId="433FE478">
      <w:pPr>
        <w:pStyle w:val="17"/>
        <w:rPr>
          <w:rFonts w:hint="eastAsia" w:ascii="宋体" w:hAnsi="宋体" w:eastAsia="宋体" w:cs="Times New Roman"/>
          <w:color w:val="auto"/>
          <w:lang w:val="en-US" w:eastAsia="zh-CN"/>
        </w:rPr>
      </w:pPr>
    </w:p>
    <w:p w14:paraId="6DD62446">
      <w:pPr>
        <w:pStyle w:val="17"/>
        <w:rPr>
          <w:rFonts w:hint="eastAsia" w:ascii="宋体" w:hAnsi="宋体" w:eastAsia="宋体" w:cs="Times New Roman"/>
          <w:color w:val="auto"/>
          <w:lang w:val="en-US" w:eastAsia="zh-CN"/>
        </w:rPr>
      </w:pPr>
    </w:p>
    <w:p w14:paraId="6298C073">
      <w:pPr>
        <w:pStyle w:val="17"/>
        <w:rPr>
          <w:rFonts w:hint="eastAsia" w:ascii="宋体" w:hAnsi="宋体" w:eastAsia="宋体" w:cs="Times New Roman"/>
          <w:color w:val="auto"/>
          <w:lang w:val="en-US" w:eastAsia="zh-CN"/>
        </w:rPr>
      </w:pPr>
    </w:p>
    <w:p w14:paraId="5CB322C5">
      <w:pPr>
        <w:pStyle w:val="17"/>
        <w:rPr>
          <w:rFonts w:hint="eastAsia" w:ascii="宋体" w:hAnsi="宋体" w:eastAsia="宋体" w:cs="Times New Roman"/>
          <w:color w:val="auto"/>
          <w:lang w:val="en-US" w:eastAsia="zh-CN"/>
        </w:rPr>
      </w:pPr>
    </w:p>
    <w:p w14:paraId="126E0BBE">
      <w:pPr>
        <w:pStyle w:val="17"/>
        <w:rPr>
          <w:rFonts w:hint="eastAsia" w:ascii="宋体" w:hAnsi="宋体" w:eastAsia="宋体" w:cs="Times New Roman"/>
          <w:color w:val="auto"/>
          <w:lang w:val="en-US" w:eastAsia="zh-CN"/>
        </w:rPr>
      </w:pPr>
    </w:p>
    <w:p w14:paraId="038131FC">
      <w:pPr>
        <w:pStyle w:val="17"/>
        <w:rPr>
          <w:rFonts w:hint="eastAsia" w:ascii="宋体" w:hAnsi="宋体" w:eastAsia="宋体" w:cs="Times New Roman"/>
          <w:color w:val="auto"/>
          <w:lang w:val="en-US" w:eastAsia="zh-CN"/>
        </w:rPr>
      </w:pPr>
    </w:p>
    <w:p w14:paraId="4D24DBAC">
      <w:pPr>
        <w:pStyle w:val="17"/>
        <w:rPr>
          <w:rFonts w:hint="eastAsia" w:ascii="宋体" w:hAnsi="宋体" w:eastAsia="宋体" w:cs="Times New Roman"/>
          <w:color w:val="auto"/>
          <w:lang w:val="en-US" w:eastAsia="zh-CN"/>
        </w:rPr>
      </w:pPr>
    </w:p>
    <w:p w14:paraId="64D8FBFB">
      <w:pPr>
        <w:pStyle w:val="17"/>
        <w:rPr>
          <w:rFonts w:hint="eastAsia" w:ascii="宋体" w:hAnsi="宋体" w:eastAsia="宋体" w:cs="Times New Roman"/>
          <w:color w:val="auto"/>
          <w:lang w:val="en-US" w:eastAsia="zh-CN"/>
        </w:rPr>
      </w:pPr>
    </w:p>
    <w:p w14:paraId="0B23D85B">
      <w:pPr>
        <w:pStyle w:val="17"/>
        <w:rPr>
          <w:rFonts w:hint="eastAsia" w:ascii="宋体" w:hAnsi="宋体" w:eastAsia="宋体" w:cs="Times New Roman"/>
          <w:color w:val="auto"/>
          <w:lang w:val="en-US" w:eastAsia="zh-CN"/>
        </w:rPr>
      </w:pPr>
    </w:p>
    <w:p w14:paraId="7E469097">
      <w:pPr>
        <w:bidi w:val="0"/>
        <w:rPr>
          <w:rFonts w:hint="eastAsia" w:ascii="宋体" w:hAnsi="宋体" w:eastAsia="宋体" w:cs="Times New Roman"/>
          <w:color w:val="auto"/>
          <w:lang w:val="en-US" w:eastAsia="zh-CN"/>
        </w:rPr>
      </w:pPr>
    </w:p>
    <w:p w14:paraId="4E214B55">
      <w:pPr>
        <w:bidi w:val="0"/>
        <w:rPr>
          <w:rFonts w:hint="eastAsia" w:ascii="宋体" w:hAnsi="宋体" w:eastAsia="宋体" w:cs="宋体"/>
          <w:b/>
          <w:bCs/>
          <w:color w:val="auto"/>
          <w:spacing w:val="4"/>
          <w:sz w:val="28"/>
          <w:szCs w:val="28"/>
          <w:lang w:val="en-US" w:eastAsia="zh-CN"/>
        </w:rPr>
      </w:pPr>
      <w:r>
        <w:rPr>
          <w:rFonts w:hint="eastAsia" w:ascii="宋体" w:hAnsi="宋体" w:eastAsia="宋体" w:cs="宋体"/>
          <w:b/>
          <w:bCs/>
          <w:color w:val="auto"/>
          <w:spacing w:val="4"/>
          <w:sz w:val="28"/>
          <w:szCs w:val="28"/>
        </w:rPr>
        <w:t>关键词：地下开采   安全   现状评</w:t>
      </w:r>
      <w:r>
        <w:rPr>
          <w:rFonts w:hint="eastAsia" w:ascii="宋体" w:hAnsi="宋体" w:eastAsia="宋体" w:cs="宋体"/>
          <w:b/>
          <w:bCs/>
          <w:color w:val="auto"/>
          <w:spacing w:val="4"/>
          <w:sz w:val="28"/>
          <w:szCs w:val="28"/>
          <w:lang w:val="en-US" w:eastAsia="zh-CN"/>
        </w:rPr>
        <w:t>价</w:t>
      </w:r>
    </w:p>
    <w:p w14:paraId="73D671D0">
      <w:pPr>
        <w:spacing w:before="124" w:line="190" w:lineRule="auto"/>
        <w:ind w:left="32"/>
        <w:rPr>
          <w:rFonts w:hint="eastAsia" w:ascii="宋体" w:hAnsi="宋体" w:eastAsia="宋体" w:cs="宋体"/>
          <w:b/>
          <w:bCs/>
          <w:color w:val="auto"/>
          <w:spacing w:val="11"/>
          <w:sz w:val="28"/>
          <w:szCs w:val="28"/>
          <w14:textOutline w14:w="316" w14:cap="flat" w14:cmpd="sng">
            <w14:solidFill>
              <w14:srgbClr w14:val="000000"/>
            </w14:solidFill>
            <w14:prstDash w14:val="solid"/>
            <w14:miter w14:val="0"/>
          </w14:textOutline>
        </w:rPr>
      </w:pPr>
    </w:p>
    <w:p w14:paraId="7E779A64">
      <w:pPr>
        <w:spacing w:line="244" w:lineRule="auto"/>
        <w:rPr>
          <w:rFonts w:ascii="Arial" w:hAnsi="Arial" w:eastAsia="Arial" w:cs="Arial"/>
          <w:snapToGrid w:val="0"/>
          <w:color w:val="auto"/>
          <w:kern w:val="0"/>
          <w:sz w:val="21"/>
          <w:szCs w:val="21"/>
        </w:rPr>
        <w:sectPr>
          <w:pgSz w:w="11906" w:h="16839"/>
          <w:pgMar w:top="1417" w:right="1417" w:bottom="1417" w:left="1417" w:header="850" w:footer="964" w:gutter="0"/>
          <w:pgBorders>
            <w:top w:val="none" w:sz="0" w:space="0"/>
            <w:left w:val="none" w:sz="0" w:space="0"/>
            <w:bottom w:val="none" w:sz="0" w:space="0"/>
            <w:right w:val="none" w:sz="0" w:space="0"/>
          </w:pgBorders>
          <w:pgNumType w:fmt="upperRoman"/>
          <w:cols w:space="0" w:num="1"/>
          <w:rtlGutter w:val="0"/>
          <w:docGrid w:linePitch="0" w:charSpace="0"/>
        </w:sectPr>
      </w:pPr>
    </w:p>
    <w:p w14:paraId="101461F8">
      <w:pPr>
        <w:pStyle w:val="25"/>
        <w:keepNext w:val="0"/>
        <w:keepLines w:val="0"/>
        <w:pageBreakBefore w:val="0"/>
        <w:widowControl/>
        <w:wordWrap/>
        <w:overflowPunct/>
        <w:topLinePunct w:val="0"/>
        <w:autoSpaceDE/>
        <w:autoSpaceDN/>
        <w:bidi w:val="0"/>
        <w:spacing w:before="0" w:beforeLines="0" w:after="0" w:afterLines="0" w:line="360" w:lineRule="exact"/>
        <w:ind w:left="0" w:leftChars="0" w:right="0" w:rightChars="0" w:firstLine="0" w:firstLineChars="0"/>
        <w:jc w:val="center"/>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目</w:t>
      </w:r>
      <w:r>
        <w:rPr>
          <w:rFonts w:hint="eastAsia" w:asciiTheme="minorEastAsia" w:hAnsiTheme="minorEastAsia" w:eastAsiaTheme="minorEastAsia" w:cstheme="minorEastAsia"/>
          <w:b/>
          <w:bCs/>
          <w:color w:val="auto"/>
          <w:sz w:val="24"/>
          <w:szCs w:val="24"/>
          <w:lang w:val="en-US" w:eastAsia="zh-CN"/>
        </w:rPr>
        <w:t xml:space="preserve">   </w:t>
      </w:r>
      <w:r>
        <w:rPr>
          <w:rFonts w:hint="eastAsia" w:asciiTheme="minorEastAsia" w:hAnsiTheme="minorEastAsia" w:eastAsiaTheme="minorEastAsia" w:cstheme="minorEastAsia"/>
          <w:b/>
          <w:bCs/>
          <w:color w:val="auto"/>
          <w:sz w:val="24"/>
          <w:szCs w:val="24"/>
        </w:rPr>
        <w:t>录</w:t>
      </w:r>
    </w:p>
    <w:p w14:paraId="76829D12">
      <w:pPr>
        <w:pStyle w:val="14"/>
        <w:keepNext w:val="0"/>
        <w:keepLines w:val="0"/>
        <w:pageBreakBefore w:val="0"/>
        <w:widowControl/>
        <w:tabs>
          <w:tab w:val="right" w:leader="dot" w:pos="9072"/>
        </w:tabs>
        <w:wordWrap/>
        <w:overflowPunct/>
        <w:topLinePunct w:val="0"/>
        <w:autoSpaceDE/>
        <w:autoSpaceDN/>
        <w:bidi w:val="0"/>
        <w:spacing w:line="360" w:lineRule="exact"/>
        <w:rPr>
          <w:rFonts w:hint="eastAsia" w:asciiTheme="minorEastAsia" w:hAnsiTheme="minorEastAsia" w:eastAsiaTheme="minorEastAsia" w:cstheme="minorEastAsia"/>
          <w:b/>
          <w:bCs/>
          <w:color w:val="auto"/>
          <w:sz w:val="24"/>
          <w:szCs w:val="24"/>
        </w:rPr>
      </w:pPr>
    </w:p>
    <w:p w14:paraId="73737315">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
          <w:bCs/>
          <w:color w:val="auto"/>
          <w:sz w:val="24"/>
          <w:szCs w:val="24"/>
        </w:rPr>
        <w:fldChar w:fldCharType="begin"/>
      </w:r>
      <w:r>
        <w:rPr>
          <w:rFonts w:hint="eastAsia" w:asciiTheme="minorEastAsia" w:hAnsiTheme="minorEastAsia" w:eastAsiaTheme="minorEastAsia" w:cstheme="minorEastAsia"/>
          <w:b/>
          <w:bCs/>
          <w:color w:val="auto"/>
          <w:sz w:val="24"/>
          <w:szCs w:val="24"/>
        </w:rPr>
        <w:instrText xml:space="preserve">TOC \o "1-3" \h \u </w:instrText>
      </w:r>
      <w:r>
        <w:rPr>
          <w:rFonts w:hint="eastAsia" w:asciiTheme="minorEastAsia" w:hAnsiTheme="minorEastAsia" w:eastAsiaTheme="minorEastAsia" w:cstheme="minorEastAsia"/>
          <w:b/>
          <w:bCs/>
          <w:color w:val="auto"/>
          <w:sz w:val="24"/>
          <w:szCs w:val="24"/>
        </w:rPr>
        <w:fldChar w:fldCharType="separate"/>
      </w: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_Toc24955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1 评价目的与依据</w:t>
      </w:r>
      <w:r>
        <w:rPr>
          <w:color w:val="auto"/>
          <w:sz w:val="24"/>
          <w:szCs w:val="24"/>
        </w:rPr>
        <w:tab/>
      </w:r>
      <w:r>
        <w:rPr>
          <w:color w:val="auto"/>
          <w:sz w:val="24"/>
          <w:szCs w:val="24"/>
        </w:rPr>
        <w:fldChar w:fldCharType="begin"/>
      </w:r>
      <w:r>
        <w:rPr>
          <w:color w:val="auto"/>
          <w:sz w:val="24"/>
          <w:szCs w:val="24"/>
        </w:rPr>
        <w:instrText xml:space="preserve"> PAGEREF _Toc24955 \h </w:instrText>
      </w:r>
      <w:r>
        <w:rPr>
          <w:color w:val="auto"/>
          <w:sz w:val="24"/>
          <w:szCs w:val="24"/>
        </w:rPr>
        <w:fldChar w:fldCharType="separate"/>
      </w:r>
      <w:r>
        <w:rPr>
          <w:color w:val="auto"/>
          <w:sz w:val="24"/>
          <w:szCs w:val="24"/>
        </w:rPr>
        <w:t>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C0F63D1">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_Toc8666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1.1 评价对象和范围</w:t>
      </w:r>
      <w:r>
        <w:rPr>
          <w:color w:val="auto"/>
          <w:sz w:val="24"/>
          <w:szCs w:val="24"/>
        </w:rPr>
        <w:tab/>
      </w:r>
      <w:r>
        <w:rPr>
          <w:color w:val="auto"/>
          <w:sz w:val="24"/>
          <w:szCs w:val="24"/>
        </w:rPr>
        <w:fldChar w:fldCharType="begin"/>
      </w:r>
      <w:r>
        <w:rPr>
          <w:color w:val="auto"/>
          <w:sz w:val="24"/>
          <w:szCs w:val="24"/>
        </w:rPr>
        <w:instrText xml:space="preserve"> PAGEREF _Toc8666 \h </w:instrText>
      </w:r>
      <w:r>
        <w:rPr>
          <w:color w:val="auto"/>
          <w:sz w:val="24"/>
          <w:szCs w:val="24"/>
        </w:rPr>
        <w:fldChar w:fldCharType="separate"/>
      </w:r>
      <w:r>
        <w:rPr>
          <w:color w:val="auto"/>
          <w:sz w:val="24"/>
          <w:szCs w:val="24"/>
        </w:rPr>
        <w:t>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F2854E1">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_Toc326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1.2 评价目的和内容</w:t>
      </w:r>
      <w:r>
        <w:rPr>
          <w:color w:val="auto"/>
          <w:sz w:val="24"/>
          <w:szCs w:val="24"/>
        </w:rPr>
        <w:tab/>
      </w:r>
      <w:r>
        <w:rPr>
          <w:color w:val="auto"/>
          <w:sz w:val="24"/>
          <w:szCs w:val="24"/>
        </w:rPr>
        <w:fldChar w:fldCharType="begin"/>
      </w:r>
      <w:r>
        <w:rPr>
          <w:color w:val="auto"/>
          <w:sz w:val="24"/>
          <w:szCs w:val="24"/>
        </w:rPr>
        <w:instrText xml:space="preserve"> PAGEREF _Toc326 \h </w:instrText>
      </w:r>
      <w:r>
        <w:rPr>
          <w:color w:val="auto"/>
          <w:sz w:val="24"/>
          <w:szCs w:val="24"/>
        </w:rPr>
        <w:fldChar w:fldCharType="separate"/>
      </w:r>
      <w:r>
        <w:rPr>
          <w:color w:val="auto"/>
          <w:sz w:val="24"/>
          <w:szCs w:val="24"/>
        </w:rPr>
        <w:t>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7EAEBB7">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_Toc16598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1.2.1 评价目的</w:t>
      </w:r>
      <w:r>
        <w:rPr>
          <w:color w:val="auto"/>
          <w:sz w:val="24"/>
          <w:szCs w:val="24"/>
        </w:rPr>
        <w:tab/>
      </w:r>
      <w:r>
        <w:rPr>
          <w:color w:val="auto"/>
          <w:sz w:val="24"/>
          <w:szCs w:val="24"/>
        </w:rPr>
        <w:fldChar w:fldCharType="begin"/>
      </w:r>
      <w:r>
        <w:rPr>
          <w:color w:val="auto"/>
          <w:sz w:val="24"/>
          <w:szCs w:val="24"/>
        </w:rPr>
        <w:instrText xml:space="preserve"> PAGEREF _Toc16598 \h </w:instrText>
      </w:r>
      <w:r>
        <w:rPr>
          <w:color w:val="auto"/>
          <w:sz w:val="24"/>
          <w:szCs w:val="24"/>
        </w:rPr>
        <w:fldChar w:fldCharType="separate"/>
      </w:r>
      <w:r>
        <w:rPr>
          <w:color w:val="auto"/>
          <w:sz w:val="24"/>
          <w:szCs w:val="24"/>
        </w:rPr>
        <w:t>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A8981ED">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_Toc27224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1.2.2 评价内容</w:t>
      </w:r>
      <w:r>
        <w:rPr>
          <w:color w:val="auto"/>
          <w:sz w:val="24"/>
          <w:szCs w:val="24"/>
        </w:rPr>
        <w:tab/>
      </w:r>
      <w:r>
        <w:rPr>
          <w:color w:val="auto"/>
          <w:sz w:val="24"/>
          <w:szCs w:val="24"/>
        </w:rPr>
        <w:fldChar w:fldCharType="begin"/>
      </w:r>
      <w:r>
        <w:rPr>
          <w:color w:val="auto"/>
          <w:sz w:val="24"/>
          <w:szCs w:val="24"/>
        </w:rPr>
        <w:instrText xml:space="preserve"> PAGEREF _Toc27224 \h </w:instrText>
      </w:r>
      <w:r>
        <w:rPr>
          <w:color w:val="auto"/>
          <w:sz w:val="24"/>
          <w:szCs w:val="24"/>
        </w:rPr>
        <w:fldChar w:fldCharType="separate"/>
      </w:r>
      <w:r>
        <w:rPr>
          <w:color w:val="auto"/>
          <w:sz w:val="24"/>
          <w:szCs w:val="24"/>
        </w:rPr>
        <w:t>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A14AD79">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_Toc28717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1.3 评价依据</w:t>
      </w:r>
      <w:r>
        <w:rPr>
          <w:color w:val="auto"/>
          <w:sz w:val="24"/>
          <w:szCs w:val="24"/>
        </w:rPr>
        <w:tab/>
      </w:r>
      <w:r>
        <w:rPr>
          <w:color w:val="auto"/>
          <w:sz w:val="24"/>
          <w:szCs w:val="24"/>
        </w:rPr>
        <w:fldChar w:fldCharType="begin"/>
      </w:r>
      <w:r>
        <w:rPr>
          <w:color w:val="auto"/>
          <w:sz w:val="24"/>
          <w:szCs w:val="24"/>
        </w:rPr>
        <w:instrText xml:space="preserve"> PAGEREF _Toc28717 \h </w:instrText>
      </w:r>
      <w:r>
        <w:rPr>
          <w:color w:val="auto"/>
          <w:sz w:val="24"/>
          <w:szCs w:val="24"/>
        </w:rPr>
        <w:fldChar w:fldCharType="separate"/>
      </w:r>
      <w:r>
        <w:rPr>
          <w:color w:val="auto"/>
          <w:sz w:val="24"/>
          <w:szCs w:val="24"/>
        </w:rPr>
        <w:t>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6153DE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_Toc26321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1.3.1 法律、法规</w:t>
      </w:r>
      <w:r>
        <w:rPr>
          <w:color w:val="auto"/>
          <w:sz w:val="24"/>
          <w:szCs w:val="24"/>
        </w:rPr>
        <w:tab/>
      </w:r>
      <w:r>
        <w:rPr>
          <w:color w:val="auto"/>
          <w:sz w:val="24"/>
          <w:szCs w:val="24"/>
        </w:rPr>
        <w:fldChar w:fldCharType="begin"/>
      </w:r>
      <w:r>
        <w:rPr>
          <w:color w:val="auto"/>
          <w:sz w:val="24"/>
          <w:szCs w:val="24"/>
        </w:rPr>
        <w:instrText xml:space="preserve"> PAGEREF _Toc26321 \h </w:instrText>
      </w:r>
      <w:r>
        <w:rPr>
          <w:color w:val="auto"/>
          <w:sz w:val="24"/>
          <w:szCs w:val="24"/>
        </w:rPr>
        <w:fldChar w:fldCharType="separate"/>
      </w:r>
      <w:r>
        <w:rPr>
          <w:color w:val="auto"/>
          <w:sz w:val="24"/>
          <w:szCs w:val="24"/>
        </w:rPr>
        <w:t>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C2D156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_Toc31983 </w:instrText>
      </w:r>
      <w:r>
        <w:rPr>
          <w:rFonts w:hint="eastAsia" w:asciiTheme="minorEastAsia" w:hAnsiTheme="minorEastAsia" w:eastAsiaTheme="minorEastAsia" w:cstheme="minorEastAsia"/>
          <w:bCs/>
          <w:color w:val="auto"/>
          <w:sz w:val="24"/>
          <w:szCs w:val="24"/>
        </w:rPr>
        <w:fldChar w:fldCharType="separate"/>
      </w:r>
      <w:r>
        <w:rPr>
          <w:rFonts w:hint="eastAsia"/>
          <w:bCs/>
          <w:color w:val="auto"/>
          <w:sz w:val="24"/>
          <w:szCs w:val="24"/>
          <w:lang w:val="en-US" w:eastAsia="zh-CN"/>
        </w:rPr>
        <w:t>1.3.2行政法规</w:t>
      </w:r>
      <w:r>
        <w:rPr>
          <w:color w:val="auto"/>
          <w:sz w:val="24"/>
          <w:szCs w:val="24"/>
        </w:rPr>
        <w:tab/>
      </w:r>
      <w:r>
        <w:rPr>
          <w:color w:val="auto"/>
          <w:sz w:val="24"/>
          <w:szCs w:val="24"/>
        </w:rPr>
        <w:fldChar w:fldCharType="begin"/>
      </w:r>
      <w:r>
        <w:rPr>
          <w:color w:val="auto"/>
          <w:sz w:val="24"/>
          <w:szCs w:val="24"/>
        </w:rPr>
        <w:instrText xml:space="preserve"> PAGEREF _Toc31983 \h </w:instrText>
      </w:r>
      <w:r>
        <w:rPr>
          <w:color w:val="auto"/>
          <w:sz w:val="24"/>
          <w:szCs w:val="24"/>
        </w:rPr>
        <w:fldChar w:fldCharType="separate"/>
      </w:r>
      <w:r>
        <w:rPr>
          <w:color w:val="auto"/>
          <w:sz w:val="24"/>
          <w:szCs w:val="24"/>
        </w:rPr>
        <w:t>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F94DB4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_Toc21799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rPr>
        <w:t>1.3.</w:t>
      </w:r>
      <w:r>
        <w:rPr>
          <w:rFonts w:hint="eastAsia"/>
          <w:color w:val="auto"/>
          <w:sz w:val="24"/>
          <w:szCs w:val="24"/>
          <w:lang w:val="en-US" w:eastAsia="zh-CN"/>
        </w:rPr>
        <w:t>3</w:t>
      </w:r>
      <w:r>
        <w:rPr>
          <w:rFonts w:hint="eastAsia"/>
          <w:color w:val="auto"/>
          <w:sz w:val="24"/>
          <w:szCs w:val="24"/>
          <w:lang w:eastAsia="zh-CN"/>
        </w:rPr>
        <w:t>部门规章</w:t>
      </w:r>
      <w:r>
        <w:rPr>
          <w:color w:val="auto"/>
          <w:sz w:val="24"/>
          <w:szCs w:val="24"/>
        </w:rPr>
        <w:tab/>
      </w:r>
      <w:r>
        <w:rPr>
          <w:color w:val="auto"/>
          <w:sz w:val="24"/>
          <w:szCs w:val="24"/>
        </w:rPr>
        <w:fldChar w:fldCharType="begin"/>
      </w:r>
      <w:r>
        <w:rPr>
          <w:color w:val="auto"/>
          <w:sz w:val="24"/>
          <w:szCs w:val="24"/>
        </w:rPr>
        <w:instrText xml:space="preserve"> PAGEREF _Toc21799 \h </w:instrText>
      </w:r>
      <w:r>
        <w:rPr>
          <w:color w:val="auto"/>
          <w:sz w:val="24"/>
          <w:szCs w:val="24"/>
        </w:rPr>
        <w:fldChar w:fldCharType="separate"/>
      </w:r>
      <w:r>
        <w:rPr>
          <w:color w:val="auto"/>
          <w:sz w:val="24"/>
          <w:szCs w:val="24"/>
        </w:rPr>
        <w:t>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DD1A79C">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_Toc1394 </w:instrText>
      </w:r>
      <w:r>
        <w:rPr>
          <w:rFonts w:hint="eastAsia" w:asciiTheme="minorEastAsia" w:hAnsiTheme="minorEastAsia" w:eastAsiaTheme="minorEastAsia" w:cstheme="minorEastAsia"/>
          <w:bCs/>
          <w:color w:val="auto"/>
          <w:sz w:val="24"/>
          <w:szCs w:val="24"/>
        </w:rPr>
        <w:fldChar w:fldCharType="separate"/>
      </w:r>
      <w:r>
        <w:rPr>
          <w:rFonts w:hint="eastAsia"/>
          <w:bCs/>
          <w:color w:val="auto"/>
          <w:sz w:val="24"/>
          <w:szCs w:val="24"/>
          <w:lang w:val="en-US" w:eastAsia="zh-CN"/>
        </w:rPr>
        <w:t>1.3.4地方性法规</w:t>
      </w:r>
      <w:r>
        <w:rPr>
          <w:color w:val="auto"/>
          <w:sz w:val="24"/>
          <w:szCs w:val="24"/>
        </w:rPr>
        <w:tab/>
      </w:r>
      <w:r>
        <w:rPr>
          <w:color w:val="auto"/>
          <w:sz w:val="24"/>
          <w:szCs w:val="24"/>
        </w:rPr>
        <w:fldChar w:fldCharType="begin"/>
      </w:r>
      <w:r>
        <w:rPr>
          <w:color w:val="auto"/>
          <w:sz w:val="24"/>
          <w:szCs w:val="24"/>
        </w:rPr>
        <w:instrText xml:space="preserve"> PAGEREF _Toc1394 \h </w:instrText>
      </w:r>
      <w:r>
        <w:rPr>
          <w:color w:val="auto"/>
          <w:sz w:val="24"/>
          <w:szCs w:val="24"/>
        </w:rPr>
        <w:fldChar w:fldCharType="separate"/>
      </w:r>
      <w:r>
        <w:rPr>
          <w:color w:val="auto"/>
          <w:sz w:val="24"/>
          <w:szCs w:val="24"/>
        </w:rPr>
        <w:t>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B4DDD7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_Toc20574 </w:instrText>
      </w:r>
      <w:r>
        <w:rPr>
          <w:rFonts w:hint="eastAsia" w:asciiTheme="minorEastAsia" w:hAnsiTheme="minorEastAsia" w:eastAsiaTheme="minorEastAsia" w:cstheme="minorEastAsia"/>
          <w:bCs/>
          <w:color w:val="auto"/>
          <w:sz w:val="24"/>
          <w:szCs w:val="24"/>
        </w:rPr>
        <w:fldChar w:fldCharType="separate"/>
      </w:r>
      <w:r>
        <w:rPr>
          <w:rFonts w:hint="eastAsia"/>
          <w:bCs/>
          <w:color w:val="auto"/>
          <w:sz w:val="24"/>
          <w:szCs w:val="24"/>
          <w:lang w:val="en-US" w:eastAsia="zh-CN"/>
        </w:rPr>
        <w:t>1.3.5地方政府规章</w:t>
      </w:r>
      <w:r>
        <w:rPr>
          <w:color w:val="auto"/>
          <w:sz w:val="24"/>
          <w:szCs w:val="24"/>
        </w:rPr>
        <w:tab/>
      </w:r>
      <w:r>
        <w:rPr>
          <w:color w:val="auto"/>
          <w:sz w:val="24"/>
          <w:szCs w:val="24"/>
        </w:rPr>
        <w:fldChar w:fldCharType="begin"/>
      </w:r>
      <w:r>
        <w:rPr>
          <w:color w:val="auto"/>
          <w:sz w:val="24"/>
          <w:szCs w:val="24"/>
        </w:rPr>
        <w:instrText xml:space="preserve"> PAGEREF _Toc20574 \h </w:instrText>
      </w:r>
      <w:r>
        <w:rPr>
          <w:color w:val="auto"/>
          <w:sz w:val="24"/>
          <w:szCs w:val="24"/>
        </w:rPr>
        <w:fldChar w:fldCharType="separate"/>
      </w:r>
      <w:r>
        <w:rPr>
          <w:color w:val="auto"/>
          <w:sz w:val="24"/>
          <w:szCs w:val="24"/>
        </w:rPr>
        <w:t>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7ADE357">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_Toc22051 </w:instrText>
      </w:r>
      <w:r>
        <w:rPr>
          <w:rFonts w:hint="eastAsia" w:asciiTheme="minorEastAsia" w:hAnsiTheme="minorEastAsia" w:eastAsiaTheme="minorEastAsia" w:cstheme="minorEastAsia"/>
          <w:bCs/>
          <w:color w:val="auto"/>
          <w:sz w:val="24"/>
          <w:szCs w:val="24"/>
        </w:rPr>
        <w:fldChar w:fldCharType="separate"/>
      </w:r>
      <w:r>
        <w:rPr>
          <w:rFonts w:hint="eastAsia"/>
          <w:bCs/>
          <w:color w:val="auto"/>
          <w:sz w:val="24"/>
          <w:szCs w:val="24"/>
          <w:lang w:val="en-US" w:eastAsia="zh-CN"/>
        </w:rPr>
        <w:t>1.3.6规范性文件</w:t>
      </w:r>
      <w:r>
        <w:rPr>
          <w:color w:val="auto"/>
          <w:sz w:val="24"/>
          <w:szCs w:val="24"/>
        </w:rPr>
        <w:tab/>
      </w:r>
      <w:r>
        <w:rPr>
          <w:color w:val="auto"/>
          <w:sz w:val="24"/>
          <w:szCs w:val="24"/>
        </w:rPr>
        <w:fldChar w:fldCharType="begin"/>
      </w:r>
      <w:r>
        <w:rPr>
          <w:color w:val="auto"/>
          <w:sz w:val="24"/>
          <w:szCs w:val="24"/>
        </w:rPr>
        <w:instrText xml:space="preserve"> PAGEREF _Toc22051 \h </w:instrText>
      </w:r>
      <w:r>
        <w:rPr>
          <w:color w:val="auto"/>
          <w:sz w:val="24"/>
          <w:szCs w:val="24"/>
        </w:rPr>
        <w:fldChar w:fldCharType="separate"/>
      </w:r>
      <w:r>
        <w:rPr>
          <w:color w:val="auto"/>
          <w:sz w:val="24"/>
          <w:szCs w:val="24"/>
        </w:rPr>
        <w:t>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EA76EC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_Toc4642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1.3.</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 xml:space="preserve"> 标准、规范</w:t>
      </w:r>
      <w:r>
        <w:rPr>
          <w:color w:val="auto"/>
          <w:sz w:val="24"/>
          <w:szCs w:val="24"/>
        </w:rPr>
        <w:tab/>
      </w:r>
      <w:r>
        <w:rPr>
          <w:color w:val="auto"/>
          <w:sz w:val="24"/>
          <w:szCs w:val="24"/>
        </w:rPr>
        <w:fldChar w:fldCharType="begin"/>
      </w:r>
      <w:r>
        <w:rPr>
          <w:color w:val="auto"/>
          <w:sz w:val="24"/>
          <w:szCs w:val="24"/>
        </w:rPr>
        <w:instrText xml:space="preserve"> PAGEREF _Toc4642 \h </w:instrText>
      </w:r>
      <w:r>
        <w:rPr>
          <w:color w:val="auto"/>
          <w:sz w:val="24"/>
          <w:szCs w:val="24"/>
        </w:rPr>
        <w:fldChar w:fldCharType="separate"/>
      </w:r>
      <w:r>
        <w:rPr>
          <w:color w:val="auto"/>
          <w:sz w:val="24"/>
          <w:szCs w:val="24"/>
        </w:rPr>
        <w:t>10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2958B54">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_Toc13166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1.3.8 其他依据和主要技术资料</w:t>
      </w:r>
      <w:r>
        <w:rPr>
          <w:color w:val="auto"/>
          <w:sz w:val="24"/>
          <w:szCs w:val="24"/>
        </w:rPr>
        <w:tab/>
      </w:r>
      <w:r>
        <w:rPr>
          <w:color w:val="auto"/>
          <w:sz w:val="24"/>
          <w:szCs w:val="24"/>
        </w:rPr>
        <w:fldChar w:fldCharType="begin"/>
      </w:r>
      <w:r>
        <w:rPr>
          <w:color w:val="auto"/>
          <w:sz w:val="24"/>
          <w:szCs w:val="24"/>
        </w:rPr>
        <w:instrText xml:space="preserve"> PAGEREF _Toc13166 \h </w:instrText>
      </w:r>
      <w:r>
        <w:rPr>
          <w:color w:val="auto"/>
          <w:sz w:val="24"/>
          <w:szCs w:val="24"/>
        </w:rPr>
        <w:fldChar w:fldCharType="separate"/>
      </w:r>
      <w:r>
        <w:rPr>
          <w:color w:val="auto"/>
          <w:sz w:val="24"/>
          <w:szCs w:val="24"/>
        </w:rPr>
        <w:t>13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8071476">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_Toc22565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1.4 评价程序</w:t>
      </w:r>
      <w:r>
        <w:rPr>
          <w:color w:val="auto"/>
          <w:sz w:val="24"/>
          <w:szCs w:val="24"/>
        </w:rPr>
        <w:tab/>
      </w:r>
      <w:r>
        <w:rPr>
          <w:color w:val="auto"/>
          <w:sz w:val="24"/>
          <w:szCs w:val="24"/>
        </w:rPr>
        <w:fldChar w:fldCharType="begin"/>
      </w:r>
      <w:r>
        <w:rPr>
          <w:color w:val="auto"/>
          <w:sz w:val="24"/>
          <w:szCs w:val="24"/>
        </w:rPr>
        <w:instrText xml:space="preserve"> PAGEREF _Toc22565 \h </w:instrText>
      </w:r>
      <w:r>
        <w:rPr>
          <w:color w:val="auto"/>
          <w:sz w:val="24"/>
          <w:szCs w:val="24"/>
        </w:rPr>
        <w:fldChar w:fldCharType="separate"/>
      </w:r>
      <w:r>
        <w:rPr>
          <w:color w:val="auto"/>
          <w:sz w:val="24"/>
          <w:szCs w:val="24"/>
        </w:rPr>
        <w:t>14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DE121E0">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_Toc30434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rPr>
        <w:t xml:space="preserve">2 </w:t>
      </w:r>
      <w:r>
        <w:rPr>
          <w:rFonts w:hint="eastAsia"/>
          <w:color w:val="auto"/>
          <w:sz w:val="24"/>
          <w:szCs w:val="24"/>
          <w:lang w:val="en-US" w:eastAsia="zh-CN"/>
        </w:rPr>
        <w:t>评价</w:t>
      </w:r>
      <w:r>
        <w:rPr>
          <w:rFonts w:hint="eastAsia"/>
          <w:color w:val="auto"/>
          <w:sz w:val="24"/>
          <w:szCs w:val="24"/>
        </w:rPr>
        <w:t>项目概况</w:t>
      </w:r>
      <w:r>
        <w:rPr>
          <w:color w:val="auto"/>
          <w:sz w:val="24"/>
          <w:szCs w:val="24"/>
        </w:rPr>
        <w:tab/>
      </w:r>
      <w:r>
        <w:rPr>
          <w:color w:val="auto"/>
          <w:sz w:val="24"/>
          <w:szCs w:val="24"/>
        </w:rPr>
        <w:fldChar w:fldCharType="begin"/>
      </w:r>
      <w:r>
        <w:rPr>
          <w:color w:val="auto"/>
          <w:sz w:val="24"/>
          <w:szCs w:val="24"/>
        </w:rPr>
        <w:instrText xml:space="preserve"> PAGEREF _Toc30434 \h </w:instrText>
      </w:r>
      <w:r>
        <w:rPr>
          <w:color w:val="auto"/>
          <w:sz w:val="24"/>
          <w:szCs w:val="24"/>
        </w:rPr>
        <w:fldChar w:fldCharType="separate"/>
      </w:r>
      <w:r>
        <w:rPr>
          <w:color w:val="auto"/>
          <w:sz w:val="24"/>
          <w:szCs w:val="24"/>
        </w:rPr>
        <w:t>15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307678D">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_Toc16371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 企业概况</w:t>
      </w:r>
      <w:r>
        <w:rPr>
          <w:color w:val="auto"/>
          <w:sz w:val="24"/>
          <w:szCs w:val="24"/>
        </w:rPr>
        <w:tab/>
      </w:r>
      <w:r>
        <w:rPr>
          <w:color w:val="auto"/>
          <w:sz w:val="24"/>
          <w:szCs w:val="24"/>
        </w:rPr>
        <w:fldChar w:fldCharType="begin"/>
      </w:r>
      <w:r>
        <w:rPr>
          <w:color w:val="auto"/>
          <w:sz w:val="24"/>
          <w:szCs w:val="24"/>
        </w:rPr>
        <w:instrText xml:space="preserve"> PAGEREF _Toc16371 \h </w:instrText>
      </w:r>
      <w:r>
        <w:rPr>
          <w:color w:val="auto"/>
          <w:sz w:val="24"/>
          <w:szCs w:val="24"/>
        </w:rPr>
        <w:fldChar w:fldCharType="separate"/>
      </w:r>
      <w:r>
        <w:rPr>
          <w:color w:val="auto"/>
          <w:sz w:val="24"/>
          <w:szCs w:val="24"/>
        </w:rPr>
        <w:t>15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D7644B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_Toc20755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 历史沿革及经济类型</w:t>
      </w:r>
      <w:r>
        <w:rPr>
          <w:color w:val="auto"/>
          <w:sz w:val="24"/>
          <w:szCs w:val="24"/>
        </w:rPr>
        <w:tab/>
      </w:r>
      <w:r>
        <w:rPr>
          <w:color w:val="auto"/>
          <w:sz w:val="24"/>
          <w:szCs w:val="24"/>
        </w:rPr>
        <w:fldChar w:fldCharType="begin"/>
      </w:r>
      <w:r>
        <w:rPr>
          <w:color w:val="auto"/>
          <w:sz w:val="24"/>
          <w:szCs w:val="24"/>
        </w:rPr>
        <w:instrText xml:space="preserve"> PAGEREF _Toc20755 \h </w:instrText>
      </w:r>
      <w:r>
        <w:rPr>
          <w:color w:val="auto"/>
          <w:sz w:val="24"/>
          <w:szCs w:val="24"/>
        </w:rPr>
        <w:fldChar w:fldCharType="separate"/>
      </w:r>
      <w:r>
        <w:rPr>
          <w:color w:val="auto"/>
          <w:sz w:val="24"/>
          <w:szCs w:val="24"/>
        </w:rPr>
        <w:t>15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598CE19">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_Toc1063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2.1.2 机构设置及人员配备</w:t>
      </w:r>
      <w:r>
        <w:rPr>
          <w:color w:val="auto"/>
          <w:sz w:val="24"/>
          <w:szCs w:val="24"/>
        </w:rPr>
        <w:tab/>
      </w:r>
      <w:r>
        <w:rPr>
          <w:color w:val="auto"/>
          <w:sz w:val="24"/>
          <w:szCs w:val="24"/>
        </w:rPr>
        <w:fldChar w:fldCharType="begin"/>
      </w:r>
      <w:r>
        <w:rPr>
          <w:color w:val="auto"/>
          <w:sz w:val="24"/>
          <w:szCs w:val="24"/>
        </w:rPr>
        <w:instrText xml:space="preserve"> PAGEREF _Toc1063 \h </w:instrText>
      </w:r>
      <w:r>
        <w:rPr>
          <w:color w:val="auto"/>
          <w:sz w:val="24"/>
          <w:szCs w:val="24"/>
        </w:rPr>
        <w:fldChar w:fldCharType="separate"/>
      </w:r>
      <w:r>
        <w:rPr>
          <w:color w:val="auto"/>
          <w:sz w:val="24"/>
          <w:szCs w:val="24"/>
        </w:rPr>
        <w:t>16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9D33C1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_Toc30016 </w:instrText>
      </w:r>
      <w:r>
        <w:rPr>
          <w:rFonts w:hint="eastAsia" w:asciiTheme="minorEastAsia" w:hAnsiTheme="minorEastAsia" w:eastAsiaTheme="minorEastAsia" w:cstheme="minorEastAsia"/>
          <w:bCs/>
          <w:color w:val="auto"/>
          <w:sz w:val="24"/>
          <w:szCs w:val="24"/>
        </w:rPr>
        <w:fldChar w:fldCharType="separate"/>
      </w:r>
      <w:r>
        <w:rPr>
          <w:rFonts w:hint="eastAsia" w:eastAsia="宋体" w:cs="Times New Roman"/>
          <w:color w:val="auto"/>
          <w:sz w:val="24"/>
          <w:szCs w:val="24"/>
          <w:lang w:val="en-US" w:eastAsia="zh-CN"/>
        </w:rPr>
        <w:t>2.1.3 企业证照证件情况</w:t>
      </w:r>
      <w:r>
        <w:rPr>
          <w:color w:val="auto"/>
          <w:sz w:val="24"/>
          <w:szCs w:val="24"/>
        </w:rPr>
        <w:tab/>
      </w:r>
      <w:r>
        <w:rPr>
          <w:color w:val="auto"/>
          <w:sz w:val="24"/>
          <w:szCs w:val="24"/>
        </w:rPr>
        <w:fldChar w:fldCharType="begin"/>
      </w:r>
      <w:r>
        <w:rPr>
          <w:color w:val="auto"/>
          <w:sz w:val="24"/>
          <w:szCs w:val="24"/>
        </w:rPr>
        <w:instrText xml:space="preserve"> PAGEREF _Toc30016 \h </w:instrText>
      </w:r>
      <w:r>
        <w:rPr>
          <w:color w:val="auto"/>
          <w:sz w:val="24"/>
          <w:szCs w:val="24"/>
        </w:rPr>
        <w:fldChar w:fldCharType="separate"/>
      </w:r>
      <w:r>
        <w:rPr>
          <w:color w:val="auto"/>
          <w:sz w:val="24"/>
          <w:szCs w:val="24"/>
        </w:rPr>
        <w:t>16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CDA5686">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_Toc2536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2.1.4 其它独立生产系统</w:t>
      </w:r>
      <w:r>
        <w:rPr>
          <w:color w:val="auto"/>
          <w:sz w:val="24"/>
          <w:szCs w:val="24"/>
        </w:rPr>
        <w:tab/>
      </w:r>
      <w:r>
        <w:rPr>
          <w:color w:val="auto"/>
          <w:sz w:val="24"/>
          <w:szCs w:val="24"/>
        </w:rPr>
        <w:fldChar w:fldCharType="begin"/>
      </w:r>
      <w:r>
        <w:rPr>
          <w:color w:val="auto"/>
          <w:sz w:val="24"/>
          <w:szCs w:val="24"/>
        </w:rPr>
        <w:instrText xml:space="preserve"> PAGEREF _Toc2536 \h </w:instrText>
      </w:r>
      <w:r>
        <w:rPr>
          <w:color w:val="auto"/>
          <w:sz w:val="24"/>
          <w:szCs w:val="24"/>
        </w:rPr>
        <w:fldChar w:fldCharType="separate"/>
      </w:r>
      <w:r>
        <w:rPr>
          <w:color w:val="auto"/>
          <w:sz w:val="24"/>
          <w:szCs w:val="24"/>
        </w:rPr>
        <w:t>17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1B7F73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_Toc16204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2.1.5 矿区开采范围</w:t>
      </w:r>
      <w:r>
        <w:rPr>
          <w:color w:val="auto"/>
          <w:sz w:val="24"/>
          <w:szCs w:val="24"/>
        </w:rPr>
        <w:tab/>
      </w:r>
      <w:r>
        <w:rPr>
          <w:color w:val="auto"/>
          <w:sz w:val="24"/>
          <w:szCs w:val="24"/>
        </w:rPr>
        <w:fldChar w:fldCharType="begin"/>
      </w:r>
      <w:r>
        <w:rPr>
          <w:color w:val="auto"/>
          <w:sz w:val="24"/>
          <w:szCs w:val="24"/>
        </w:rPr>
        <w:instrText xml:space="preserve"> PAGEREF _Toc16204 \h </w:instrText>
      </w:r>
      <w:r>
        <w:rPr>
          <w:color w:val="auto"/>
          <w:sz w:val="24"/>
          <w:szCs w:val="24"/>
        </w:rPr>
        <w:fldChar w:fldCharType="separate"/>
      </w:r>
      <w:r>
        <w:rPr>
          <w:color w:val="auto"/>
          <w:sz w:val="24"/>
          <w:szCs w:val="24"/>
        </w:rPr>
        <w:t>18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80B571C">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_Toc888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 xml:space="preserve">2.1.6 </w:t>
      </w:r>
      <w:r>
        <w:rPr>
          <w:rFonts w:hint="eastAsia" w:ascii="宋体" w:hAnsi="宋体" w:eastAsia="宋体" w:cs="宋体"/>
          <w:bCs w:val="0"/>
          <w:color w:val="auto"/>
          <w:kern w:val="0"/>
          <w:sz w:val="24"/>
          <w:szCs w:val="24"/>
          <w:lang w:val="en-US" w:eastAsia="zh-CN"/>
        </w:rPr>
        <w:t>工作制度、生产规模、</w:t>
      </w:r>
      <w:r>
        <w:rPr>
          <w:rFonts w:hint="eastAsia" w:ascii="宋体" w:hAnsi="宋体" w:eastAsia="宋体" w:cs="宋体"/>
          <w:color w:val="auto"/>
          <w:sz w:val="24"/>
          <w:szCs w:val="24"/>
          <w:lang w:val="en-US" w:eastAsia="zh-CN"/>
        </w:rPr>
        <w:t>服务年限</w:t>
      </w:r>
      <w:r>
        <w:rPr>
          <w:color w:val="auto"/>
          <w:sz w:val="24"/>
          <w:szCs w:val="24"/>
        </w:rPr>
        <w:tab/>
      </w:r>
      <w:r>
        <w:rPr>
          <w:color w:val="auto"/>
          <w:sz w:val="24"/>
          <w:szCs w:val="24"/>
        </w:rPr>
        <w:fldChar w:fldCharType="begin"/>
      </w:r>
      <w:r>
        <w:rPr>
          <w:color w:val="auto"/>
          <w:sz w:val="24"/>
          <w:szCs w:val="24"/>
        </w:rPr>
        <w:instrText xml:space="preserve"> PAGEREF _Toc888 \h </w:instrText>
      </w:r>
      <w:r>
        <w:rPr>
          <w:color w:val="auto"/>
          <w:sz w:val="24"/>
          <w:szCs w:val="24"/>
        </w:rPr>
        <w:fldChar w:fldCharType="separate"/>
      </w:r>
      <w:r>
        <w:rPr>
          <w:color w:val="auto"/>
          <w:sz w:val="24"/>
          <w:szCs w:val="24"/>
        </w:rPr>
        <w:t>18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70E539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_Toc3737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2.1.7 外包施工企业情况</w:t>
      </w:r>
      <w:r>
        <w:rPr>
          <w:color w:val="auto"/>
          <w:sz w:val="24"/>
          <w:szCs w:val="24"/>
        </w:rPr>
        <w:tab/>
      </w:r>
      <w:r>
        <w:rPr>
          <w:color w:val="auto"/>
          <w:sz w:val="24"/>
          <w:szCs w:val="24"/>
        </w:rPr>
        <w:fldChar w:fldCharType="begin"/>
      </w:r>
      <w:r>
        <w:rPr>
          <w:color w:val="auto"/>
          <w:sz w:val="24"/>
          <w:szCs w:val="24"/>
        </w:rPr>
        <w:instrText xml:space="preserve"> PAGEREF _Toc3737 \h </w:instrText>
      </w:r>
      <w:r>
        <w:rPr>
          <w:color w:val="auto"/>
          <w:sz w:val="24"/>
          <w:szCs w:val="24"/>
        </w:rPr>
        <w:fldChar w:fldCharType="separate"/>
      </w:r>
      <w:r>
        <w:rPr>
          <w:color w:val="auto"/>
          <w:sz w:val="24"/>
          <w:szCs w:val="24"/>
        </w:rPr>
        <w:t>19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D046FC0">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_Toc6204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2.2  矿区行政区划 、地理位置及交通</w:t>
      </w:r>
      <w:r>
        <w:rPr>
          <w:color w:val="auto"/>
          <w:sz w:val="24"/>
          <w:szCs w:val="24"/>
        </w:rPr>
        <w:tab/>
      </w:r>
      <w:r>
        <w:rPr>
          <w:color w:val="auto"/>
          <w:sz w:val="24"/>
          <w:szCs w:val="24"/>
        </w:rPr>
        <w:fldChar w:fldCharType="begin"/>
      </w:r>
      <w:r>
        <w:rPr>
          <w:color w:val="auto"/>
          <w:sz w:val="24"/>
          <w:szCs w:val="24"/>
        </w:rPr>
        <w:instrText xml:space="preserve"> PAGEREF _Toc6204 \h </w:instrText>
      </w:r>
      <w:r>
        <w:rPr>
          <w:color w:val="auto"/>
          <w:sz w:val="24"/>
          <w:szCs w:val="24"/>
        </w:rPr>
        <w:fldChar w:fldCharType="separate"/>
      </w:r>
      <w:r>
        <w:rPr>
          <w:color w:val="auto"/>
          <w:sz w:val="24"/>
          <w:szCs w:val="24"/>
        </w:rPr>
        <w:t>19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245465E">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_Toc9332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2.3 周边环境</w:t>
      </w:r>
      <w:r>
        <w:rPr>
          <w:color w:val="auto"/>
          <w:sz w:val="24"/>
          <w:szCs w:val="24"/>
        </w:rPr>
        <w:tab/>
      </w:r>
      <w:r>
        <w:rPr>
          <w:color w:val="auto"/>
          <w:sz w:val="24"/>
          <w:szCs w:val="24"/>
        </w:rPr>
        <w:fldChar w:fldCharType="begin"/>
      </w:r>
      <w:r>
        <w:rPr>
          <w:color w:val="auto"/>
          <w:sz w:val="24"/>
          <w:szCs w:val="24"/>
        </w:rPr>
        <w:instrText xml:space="preserve"> PAGEREF _Toc9332 \h </w:instrText>
      </w:r>
      <w:r>
        <w:rPr>
          <w:color w:val="auto"/>
          <w:sz w:val="24"/>
          <w:szCs w:val="24"/>
        </w:rPr>
        <w:fldChar w:fldCharType="separate"/>
      </w:r>
      <w:r>
        <w:rPr>
          <w:color w:val="auto"/>
          <w:sz w:val="24"/>
          <w:szCs w:val="24"/>
        </w:rPr>
        <w:t>20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A1F9888">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_Toc17879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2.4 自然环境概况</w:t>
      </w:r>
      <w:r>
        <w:rPr>
          <w:color w:val="auto"/>
          <w:sz w:val="24"/>
          <w:szCs w:val="24"/>
        </w:rPr>
        <w:tab/>
      </w:r>
      <w:r>
        <w:rPr>
          <w:color w:val="auto"/>
          <w:sz w:val="24"/>
          <w:szCs w:val="24"/>
        </w:rPr>
        <w:fldChar w:fldCharType="begin"/>
      </w:r>
      <w:r>
        <w:rPr>
          <w:color w:val="auto"/>
          <w:sz w:val="24"/>
          <w:szCs w:val="24"/>
        </w:rPr>
        <w:instrText xml:space="preserve"> PAGEREF _Toc17879 \h </w:instrText>
      </w:r>
      <w:r>
        <w:rPr>
          <w:color w:val="auto"/>
          <w:sz w:val="24"/>
          <w:szCs w:val="24"/>
        </w:rPr>
        <w:fldChar w:fldCharType="separate"/>
      </w:r>
      <w:r>
        <w:rPr>
          <w:color w:val="auto"/>
          <w:sz w:val="24"/>
          <w:szCs w:val="24"/>
        </w:rPr>
        <w:t>21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6DAED4B">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_Toc2875 </w:instrText>
      </w:r>
      <w:r>
        <w:rPr>
          <w:rFonts w:hint="eastAsia" w:asciiTheme="minorEastAsia" w:hAnsiTheme="minorEastAsia" w:eastAsiaTheme="minorEastAsia" w:cstheme="minorEastAsia"/>
          <w:bCs/>
          <w:color w:val="auto"/>
          <w:sz w:val="24"/>
          <w:szCs w:val="24"/>
        </w:rPr>
        <w:fldChar w:fldCharType="separate"/>
      </w:r>
      <w:r>
        <w:rPr>
          <w:rFonts w:hint="default"/>
          <w:color w:val="auto"/>
          <w:sz w:val="24"/>
          <w:szCs w:val="24"/>
        </w:rPr>
        <w:t>2.</w:t>
      </w:r>
      <w:r>
        <w:rPr>
          <w:rFonts w:hint="eastAsia"/>
          <w:color w:val="auto"/>
          <w:sz w:val="24"/>
          <w:szCs w:val="24"/>
          <w:lang w:val="en-US" w:eastAsia="zh-CN"/>
        </w:rPr>
        <w:t>5</w:t>
      </w:r>
      <w:r>
        <w:rPr>
          <w:rFonts w:hint="default"/>
          <w:color w:val="auto"/>
          <w:sz w:val="24"/>
          <w:szCs w:val="24"/>
          <w:lang w:val="en-US" w:eastAsia="zh-CN"/>
        </w:rPr>
        <w:t xml:space="preserve"> </w:t>
      </w:r>
      <w:r>
        <w:rPr>
          <w:rFonts w:hint="default"/>
          <w:color w:val="auto"/>
          <w:sz w:val="24"/>
          <w:szCs w:val="24"/>
        </w:rPr>
        <w:t>地震烈度</w:t>
      </w:r>
      <w:r>
        <w:rPr>
          <w:color w:val="auto"/>
          <w:sz w:val="24"/>
          <w:szCs w:val="24"/>
        </w:rPr>
        <w:tab/>
      </w:r>
      <w:r>
        <w:rPr>
          <w:color w:val="auto"/>
          <w:sz w:val="24"/>
          <w:szCs w:val="24"/>
        </w:rPr>
        <w:fldChar w:fldCharType="begin"/>
      </w:r>
      <w:r>
        <w:rPr>
          <w:color w:val="auto"/>
          <w:sz w:val="24"/>
          <w:szCs w:val="24"/>
        </w:rPr>
        <w:instrText xml:space="preserve"> PAGEREF _Toc2875 \h </w:instrText>
      </w:r>
      <w:r>
        <w:rPr>
          <w:color w:val="auto"/>
          <w:sz w:val="24"/>
          <w:szCs w:val="24"/>
        </w:rPr>
        <w:fldChar w:fldCharType="separate"/>
      </w:r>
      <w:r>
        <w:rPr>
          <w:color w:val="auto"/>
          <w:sz w:val="24"/>
          <w:szCs w:val="24"/>
        </w:rPr>
        <w:t>22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3774F0E">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_Toc2901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2.6 矿山地质概况</w:t>
      </w:r>
      <w:r>
        <w:rPr>
          <w:color w:val="auto"/>
          <w:sz w:val="24"/>
          <w:szCs w:val="24"/>
        </w:rPr>
        <w:tab/>
      </w:r>
      <w:r>
        <w:rPr>
          <w:color w:val="auto"/>
          <w:sz w:val="24"/>
          <w:szCs w:val="24"/>
        </w:rPr>
        <w:fldChar w:fldCharType="begin"/>
      </w:r>
      <w:r>
        <w:rPr>
          <w:color w:val="auto"/>
          <w:sz w:val="24"/>
          <w:szCs w:val="24"/>
        </w:rPr>
        <w:instrText xml:space="preserve"> PAGEREF _Toc2901 \h </w:instrText>
      </w:r>
      <w:r>
        <w:rPr>
          <w:color w:val="auto"/>
          <w:sz w:val="24"/>
          <w:szCs w:val="24"/>
        </w:rPr>
        <w:fldChar w:fldCharType="separate"/>
      </w:r>
      <w:r>
        <w:rPr>
          <w:color w:val="auto"/>
          <w:sz w:val="24"/>
          <w:szCs w:val="24"/>
        </w:rPr>
        <w:t>22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CE848D7">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_Toc29544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2.6.1 矿区地质概况</w:t>
      </w:r>
      <w:r>
        <w:rPr>
          <w:color w:val="auto"/>
          <w:sz w:val="24"/>
          <w:szCs w:val="24"/>
        </w:rPr>
        <w:tab/>
      </w:r>
      <w:r>
        <w:rPr>
          <w:color w:val="auto"/>
          <w:sz w:val="24"/>
          <w:szCs w:val="24"/>
        </w:rPr>
        <w:fldChar w:fldCharType="begin"/>
      </w:r>
      <w:r>
        <w:rPr>
          <w:color w:val="auto"/>
          <w:sz w:val="24"/>
          <w:szCs w:val="24"/>
        </w:rPr>
        <w:instrText xml:space="preserve"> PAGEREF _Toc29544 \h </w:instrText>
      </w:r>
      <w:r>
        <w:rPr>
          <w:color w:val="auto"/>
          <w:sz w:val="24"/>
          <w:szCs w:val="24"/>
        </w:rPr>
        <w:fldChar w:fldCharType="separate"/>
      </w:r>
      <w:r>
        <w:rPr>
          <w:color w:val="auto"/>
          <w:sz w:val="24"/>
          <w:szCs w:val="24"/>
        </w:rPr>
        <w:t>22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E8A0585">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_Toc7706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2.6.2 矿床地质特征</w:t>
      </w:r>
      <w:r>
        <w:rPr>
          <w:color w:val="auto"/>
          <w:sz w:val="24"/>
          <w:szCs w:val="24"/>
        </w:rPr>
        <w:tab/>
      </w:r>
      <w:r>
        <w:rPr>
          <w:color w:val="auto"/>
          <w:sz w:val="24"/>
          <w:szCs w:val="24"/>
        </w:rPr>
        <w:fldChar w:fldCharType="begin"/>
      </w:r>
      <w:r>
        <w:rPr>
          <w:color w:val="auto"/>
          <w:sz w:val="24"/>
          <w:szCs w:val="24"/>
        </w:rPr>
        <w:instrText xml:space="preserve"> PAGEREF _Toc7706 \h </w:instrText>
      </w:r>
      <w:r>
        <w:rPr>
          <w:color w:val="auto"/>
          <w:sz w:val="24"/>
          <w:szCs w:val="24"/>
        </w:rPr>
        <w:fldChar w:fldCharType="separate"/>
      </w:r>
      <w:r>
        <w:rPr>
          <w:color w:val="auto"/>
          <w:sz w:val="24"/>
          <w:szCs w:val="24"/>
        </w:rPr>
        <w:t>24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CBA5F9E">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_Toc11431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2.6.3 水文地质概况</w:t>
      </w:r>
      <w:r>
        <w:rPr>
          <w:color w:val="auto"/>
          <w:sz w:val="24"/>
          <w:szCs w:val="24"/>
        </w:rPr>
        <w:tab/>
      </w:r>
      <w:r>
        <w:rPr>
          <w:color w:val="auto"/>
          <w:sz w:val="24"/>
          <w:szCs w:val="24"/>
        </w:rPr>
        <w:fldChar w:fldCharType="begin"/>
      </w:r>
      <w:r>
        <w:rPr>
          <w:color w:val="auto"/>
          <w:sz w:val="24"/>
          <w:szCs w:val="24"/>
        </w:rPr>
        <w:instrText xml:space="preserve"> PAGEREF _Toc11431 \h </w:instrText>
      </w:r>
      <w:r>
        <w:rPr>
          <w:color w:val="auto"/>
          <w:sz w:val="24"/>
          <w:szCs w:val="24"/>
        </w:rPr>
        <w:fldChar w:fldCharType="separate"/>
      </w:r>
      <w:r>
        <w:rPr>
          <w:color w:val="auto"/>
          <w:sz w:val="24"/>
          <w:szCs w:val="24"/>
        </w:rPr>
        <w:t>25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9BD215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_Toc26848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2.6.4 工程地质概况</w:t>
      </w:r>
      <w:r>
        <w:rPr>
          <w:color w:val="auto"/>
          <w:sz w:val="24"/>
          <w:szCs w:val="24"/>
        </w:rPr>
        <w:tab/>
      </w:r>
      <w:r>
        <w:rPr>
          <w:color w:val="auto"/>
          <w:sz w:val="24"/>
          <w:szCs w:val="24"/>
        </w:rPr>
        <w:fldChar w:fldCharType="begin"/>
      </w:r>
      <w:r>
        <w:rPr>
          <w:color w:val="auto"/>
          <w:sz w:val="24"/>
          <w:szCs w:val="24"/>
        </w:rPr>
        <w:instrText xml:space="preserve"> PAGEREF _Toc26848 \h </w:instrText>
      </w:r>
      <w:r>
        <w:rPr>
          <w:color w:val="auto"/>
          <w:sz w:val="24"/>
          <w:szCs w:val="24"/>
        </w:rPr>
        <w:fldChar w:fldCharType="separate"/>
      </w:r>
      <w:r>
        <w:rPr>
          <w:color w:val="auto"/>
          <w:sz w:val="24"/>
          <w:szCs w:val="24"/>
        </w:rPr>
        <w:t>26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FE82D8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_Toc5129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2.6.5 环境地质概况</w:t>
      </w:r>
      <w:r>
        <w:rPr>
          <w:color w:val="auto"/>
          <w:sz w:val="24"/>
          <w:szCs w:val="24"/>
        </w:rPr>
        <w:tab/>
      </w:r>
      <w:r>
        <w:rPr>
          <w:color w:val="auto"/>
          <w:sz w:val="24"/>
          <w:szCs w:val="24"/>
        </w:rPr>
        <w:fldChar w:fldCharType="begin"/>
      </w:r>
      <w:r>
        <w:rPr>
          <w:color w:val="auto"/>
          <w:sz w:val="24"/>
          <w:szCs w:val="24"/>
        </w:rPr>
        <w:instrText xml:space="preserve"> PAGEREF _Toc5129 \h </w:instrText>
      </w:r>
      <w:r>
        <w:rPr>
          <w:color w:val="auto"/>
          <w:sz w:val="24"/>
          <w:szCs w:val="24"/>
        </w:rPr>
        <w:fldChar w:fldCharType="separate"/>
      </w:r>
      <w:r>
        <w:rPr>
          <w:color w:val="auto"/>
          <w:sz w:val="24"/>
          <w:szCs w:val="24"/>
        </w:rPr>
        <w:t>26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ABDC77D">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_Toc27846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2.7 矿山设计简介</w:t>
      </w:r>
      <w:r>
        <w:rPr>
          <w:color w:val="auto"/>
          <w:sz w:val="24"/>
          <w:szCs w:val="24"/>
        </w:rPr>
        <w:tab/>
      </w:r>
      <w:r>
        <w:rPr>
          <w:color w:val="auto"/>
          <w:sz w:val="24"/>
          <w:szCs w:val="24"/>
        </w:rPr>
        <w:fldChar w:fldCharType="begin"/>
      </w:r>
      <w:r>
        <w:rPr>
          <w:color w:val="auto"/>
          <w:sz w:val="24"/>
          <w:szCs w:val="24"/>
        </w:rPr>
        <w:instrText xml:space="preserve"> PAGEREF _Toc27846 \h </w:instrText>
      </w:r>
      <w:r>
        <w:rPr>
          <w:color w:val="auto"/>
          <w:sz w:val="24"/>
          <w:szCs w:val="24"/>
        </w:rPr>
        <w:fldChar w:fldCharType="separate"/>
      </w:r>
      <w:r>
        <w:rPr>
          <w:color w:val="auto"/>
          <w:sz w:val="24"/>
          <w:szCs w:val="24"/>
        </w:rPr>
        <w:t>26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16FA77A">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_Toc9942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2.7.1 开采初步设计简介</w:t>
      </w:r>
      <w:r>
        <w:rPr>
          <w:color w:val="auto"/>
          <w:sz w:val="24"/>
          <w:szCs w:val="24"/>
        </w:rPr>
        <w:tab/>
      </w:r>
      <w:r>
        <w:rPr>
          <w:color w:val="auto"/>
          <w:sz w:val="24"/>
          <w:szCs w:val="24"/>
        </w:rPr>
        <w:fldChar w:fldCharType="begin"/>
      </w:r>
      <w:r>
        <w:rPr>
          <w:color w:val="auto"/>
          <w:sz w:val="24"/>
          <w:szCs w:val="24"/>
        </w:rPr>
        <w:instrText xml:space="preserve"> PAGEREF _Toc9942 \h </w:instrText>
      </w:r>
      <w:r>
        <w:rPr>
          <w:color w:val="auto"/>
          <w:sz w:val="24"/>
          <w:szCs w:val="24"/>
        </w:rPr>
        <w:fldChar w:fldCharType="separate"/>
      </w:r>
      <w:r>
        <w:rPr>
          <w:color w:val="auto"/>
          <w:sz w:val="24"/>
          <w:szCs w:val="24"/>
        </w:rPr>
        <w:t>26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86473DE">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_Toc29439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2.7.2 设计变更简介</w:t>
      </w:r>
      <w:r>
        <w:rPr>
          <w:color w:val="auto"/>
          <w:sz w:val="24"/>
          <w:szCs w:val="24"/>
        </w:rPr>
        <w:tab/>
      </w:r>
      <w:r>
        <w:rPr>
          <w:color w:val="auto"/>
          <w:sz w:val="24"/>
          <w:szCs w:val="24"/>
        </w:rPr>
        <w:fldChar w:fldCharType="begin"/>
      </w:r>
      <w:r>
        <w:rPr>
          <w:color w:val="auto"/>
          <w:sz w:val="24"/>
          <w:szCs w:val="24"/>
        </w:rPr>
        <w:instrText xml:space="preserve"> PAGEREF _Toc29439 \h </w:instrText>
      </w:r>
      <w:r>
        <w:rPr>
          <w:color w:val="auto"/>
          <w:sz w:val="24"/>
          <w:szCs w:val="24"/>
        </w:rPr>
        <w:fldChar w:fldCharType="separate"/>
      </w:r>
      <w:r>
        <w:rPr>
          <w:color w:val="auto"/>
          <w:sz w:val="24"/>
          <w:szCs w:val="24"/>
        </w:rPr>
        <w:t>28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40715CB">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_Toc2540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2.8上一轮许可情况</w:t>
      </w:r>
      <w:r>
        <w:rPr>
          <w:color w:val="auto"/>
          <w:sz w:val="24"/>
          <w:szCs w:val="24"/>
        </w:rPr>
        <w:tab/>
      </w:r>
      <w:r>
        <w:rPr>
          <w:color w:val="auto"/>
          <w:sz w:val="24"/>
          <w:szCs w:val="24"/>
        </w:rPr>
        <w:fldChar w:fldCharType="begin"/>
      </w:r>
      <w:r>
        <w:rPr>
          <w:color w:val="auto"/>
          <w:sz w:val="24"/>
          <w:szCs w:val="24"/>
        </w:rPr>
        <w:instrText xml:space="preserve"> PAGEREF _Toc2540 \h </w:instrText>
      </w:r>
      <w:r>
        <w:rPr>
          <w:color w:val="auto"/>
          <w:sz w:val="24"/>
          <w:szCs w:val="24"/>
        </w:rPr>
        <w:fldChar w:fldCharType="separate"/>
      </w:r>
      <w:r>
        <w:rPr>
          <w:color w:val="auto"/>
          <w:sz w:val="24"/>
          <w:szCs w:val="24"/>
        </w:rPr>
        <w:t>29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B7F93FD">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_Toc21403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2.9 矿区总平面布置</w:t>
      </w:r>
      <w:r>
        <w:rPr>
          <w:color w:val="auto"/>
          <w:sz w:val="24"/>
          <w:szCs w:val="24"/>
        </w:rPr>
        <w:tab/>
      </w:r>
      <w:r>
        <w:rPr>
          <w:color w:val="auto"/>
          <w:sz w:val="24"/>
          <w:szCs w:val="24"/>
        </w:rPr>
        <w:fldChar w:fldCharType="begin"/>
      </w:r>
      <w:r>
        <w:rPr>
          <w:color w:val="auto"/>
          <w:sz w:val="24"/>
          <w:szCs w:val="24"/>
        </w:rPr>
        <w:instrText xml:space="preserve"> PAGEREF _Toc21403 \h </w:instrText>
      </w:r>
      <w:r>
        <w:rPr>
          <w:color w:val="auto"/>
          <w:sz w:val="24"/>
          <w:szCs w:val="24"/>
        </w:rPr>
        <w:fldChar w:fldCharType="separate"/>
      </w:r>
      <w:r>
        <w:rPr>
          <w:color w:val="auto"/>
          <w:sz w:val="24"/>
          <w:szCs w:val="24"/>
        </w:rPr>
        <w:t>30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D8C32BF">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_Toc2330 </w:instrText>
      </w:r>
      <w:r>
        <w:rPr>
          <w:rFonts w:hint="eastAsia" w:asciiTheme="minorEastAsia" w:hAnsiTheme="minorEastAsia" w:eastAsiaTheme="minorEastAsia" w:cstheme="minorEastAsia"/>
          <w:bCs/>
          <w:color w:val="auto"/>
          <w:sz w:val="24"/>
          <w:szCs w:val="24"/>
        </w:rPr>
        <w:fldChar w:fldCharType="separate"/>
      </w:r>
      <w:r>
        <w:rPr>
          <w:rFonts w:hint="eastAsia" w:ascii="Arial" w:hAnsi="Arial" w:eastAsia="宋体" w:cs="宋体"/>
          <w:color w:val="auto"/>
          <w:sz w:val="24"/>
          <w:szCs w:val="24"/>
          <w:lang w:val="en-US" w:eastAsia="zh-CN"/>
        </w:rPr>
        <w:t>2.</w:t>
      </w:r>
      <w:r>
        <w:rPr>
          <w:rFonts w:hint="eastAsia" w:eastAsia="宋体" w:cs="宋体"/>
          <w:color w:val="auto"/>
          <w:sz w:val="24"/>
          <w:szCs w:val="24"/>
          <w:lang w:val="en-US" w:eastAsia="zh-CN"/>
        </w:rPr>
        <w:t>10</w:t>
      </w:r>
      <w:r>
        <w:rPr>
          <w:rFonts w:hint="eastAsia" w:ascii="Arial" w:hAnsi="Arial" w:eastAsia="宋体" w:cs="宋体"/>
          <w:color w:val="auto"/>
          <w:sz w:val="24"/>
          <w:szCs w:val="24"/>
          <w:lang w:val="en-US" w:eastAsia="zh-CN"/>
        </w:rPr>
        <w:t xml:space="preserve"> 主要生产及辅助系统</w:t>
      </w:r>
      <w:r>
        <w:rPr>
          <w:color w:val="auto"/>
          <w:sz w:val="24"/>
          <w:szCs w:val="24"/>
        </w:rPr>
        <w:tab/>
      </w:r>
      <w:r>
        <w:rPr>
          <w:color w:val="auto"/>
          <w:sz w:val="24"/>
          <w:szCs w:val="24"/>
        </w:rPr>
        <w:fldChar w:fldCharType="begin"/>
      </w:r>
      <w:r>
        <w:rPr>
          <w:color w:val="auto"/>
          <w:sz w:val="24"/>
          <w:szCs w:val="24"/>
        </w:rPr>
        <w:instrText xml:space="preserve"> PAGEREF _Toc2330 \h </w:instrText>
      </w:r>
      <w:r>
        <w:rPr>
          <w:color w:val="auto"/>
          <w:sz w:val="24"/>
          <w:szCs w:val="24"/>
        </w:rPr>
        <w:fldChar w:fldCharType="separate"/>
      </w:r>
      <w:r>
        <w:rPr>
          <w:color w:val="auto"/>
          <w:sz w:val="24"/>
          <w:szCs w:val="24"/>
        </w:rPr>
        <w:t>31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9F7D0D6">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_Toc14120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bCs w:val="0"/>
          <w:snapToGrid w:val="0"/>
          <w:color w:val="auto"/>
          <w:kern w:val="0"/>
          <w:sz w:val="24"/>
          <w:szCs w:val="24"/>
          <w:lang w:val="en-US" w:eastAsia="zh-CN" w:bidi="ar-SA"/>
        </w:rPr>
        <w:t>2.10.1 矿山开采现状</w:t>
      </w:r>
      <w:r>
        <w:rPr>
          <w:color w:val="auto"/>
          <w:sz w:val="24"/>
          <w:szCs w:val="24"/>
        </w:rPr>
        <w:tab/>
      </w:r>
      <w:r>
        <w:rPr>
          <w:color w:val="auto"/>
          <w:sz w:val="24"/>
          <w:szCs w:val="24"/>
        </w:rPr>
        <w:fldChar w:fldCharType="begin"/>
      </w:r>
      <w:r>
        <w:rPr>
          <w:color w:val="auto"/>
          <w:sz w:val="24"/>
          <w:szCs w:val="24"/>
        </w:rPr>
        <w:instrText xml:space="preserve"> PAGEREF _Toc14120 \h </w:instrText>
      </w:r>
      <w:r>
        <w:rPr>
          <w:color w:val="auto"/>
          <w:sz w:val="24"/>
          <w:szCs w:val="24"/>
        </w:rPr>
        <w:fldChar w:fldCharType="separate"/>
      </w:r>
      <w:r>
        <w:rPr>
          <w:color w:val="auto"/>
          <w:sz w:val="24"/>
          <w:szCs w:val="24"/>
        </w:rPr>
        <w:t>31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E8413A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_Toc28361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 xml:space="preserve"> 开拓系统</w:t>
      </w:r>
      <w:r>
        <w:rPr>
          <w:color w:val="auto"/>
          <w:sz w:val="24"/>
          <w:szCs w:val="24"/>
        </w:rPr>
        <w:tab/>
      </w:r>
      <w:r>
        <w:rPr>
          <w:color w:val="auto"/>
          <w:sz w:val="24"/>
          <w:szCs w:val="24"/>
        </w:rPr>
        <w:fldChar w:fldCharType="begin"/>
      </w:r>
      <w:r>
        <w:rPr>
          <w:color w:val="auto"/>
          <w:sz w:val="24"/>
          <w:szCs w:val="24"/>
        </w:rPr>
        <w:instrText xml:space="preserve"> PAGEREF _Toc28361 \h </w:instrText>
      </w:r>
      <w:r>
        <w:rPr>
          <w:color w:val="auto"/>
          <w:sz w:val="24"/>
          <w:szCs w:val="24"/>
        </w:rPr>
        <w:fldChar w:fldCharType="separate"/>
      </w:r>
      <w:r>
        <w:rPr>
          <w:color w:val="auto"/>
          <w:sz w:val="24"/>
          <w:szCs w:val="24"/>
        </w:rPr>
        <w:t>31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FAEF4E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_Toc14903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2.10.3 采矿方法和回采工艺</w:t>
      </w:r>
      <w:r>
        <w:rPr>
          <w:color w:val="auto"/>
          <w:sz w:val="24"/>
          <w:szCs w:val="24"/>
        </w:rPr>
        <w:tab/>
      </w:r>
      <w:r>
        <w:rPr>
          <w:color w:val="auto"/>
          <w:sz w:val="24"/>
          <w:szCs w:val="24"/>
        </w:rPr>
        <w:fldChar w:fldCharType="begin"/>
      </w:r>
      <w:r>
        <w:rPr>
          <w:color w:val="auto"/>
          <w:sz w:val="24"/>
          <w:szCs w:val="24"/>
        </w:rPr>
        <w:instrText xml:space="preserve"> PAGEREF _Toc14903 \h </w:instrText>
      </w:r>
      <w:r>
        <w:rPr>
          <w:color w:val="auto"/>
          <w:sz w:val="24"/>
          <w:szCs w:val="24"/>
        </w:rPr>
        <w:fldChar w:fldCharType="separate"/>
      </w:r>
      <w:r>
        <w:rPr>
          <w:color w:val="auto"/>
          <w:sz w:val="24"/>
          <w:szCs w:val="24"/>
        </w:rPr>
        <w:t>32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45DDF4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_Toc6632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2.10.4 安全出口</w:t>
      </w:r>
      <w:r>
        <w:rPr>
          <w:color w:val="auto"/>
          <w:sz w:val="24"/>
          <w:szCs w:val="24"/>
        </w:rPr>
        <w:tab/>
      </w:r>
      <w:r>
        <w:rPr>
          <w:color w:val="auto"/>
          <w:sz w:val="24"/>
          <w:szCs w:val="24"/>
        </w:rPr>
        <w:fldChar w:fldCharType="begin"/>
      </w:r>
      <w:r>
        <w:rPr>
          <w:color w:val="auto"/>
          <w:sz w:val="24"/>
          <w:szCs w:val="24"/>
        </w:rPr>
        <w:instrText xml:space="preserve"> PAGEREF _Toc6632 \h </w:instrText>
      </w:r>
      <w:r>
        <w:rPr>
          <w:color w:val="auto"/>
          <w:sz w:val="24"/>
          <w:szCs w:val="24"/>
        </w:rPr>
        <w:fldChar w:fldCharType="separate"/>
      </w:r>
      <w:r>
        <w:rPr>
          <w:color w:val="auto"/>
          <w:sz w:val="24"/>
          <w:szCs w:val="24"/>
        </w:rPr>
        <w:t>33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3C484B5">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_Toc10772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.5 运输系统</w:t>
      </w:r>
      <w:r>
        <w:rPr>
          <w:color w:val="auto"/>
          <w:sz w:val="24"/>
          <w:szCs w:val="24"/>
        </w:rPr>
        <w:tab/>
      </w:r>
      <w:r>
        <w:rPr>
          <w:color w:val="auto"/>
          <w:sz w:val="24"/>
          <w:szCs w:val="24"/>
        </w:rPr>
        <w:fldChar w:fldCharType="begin"/>
      </w:r>
      <w:r>
        <w:rPr>
          <w:color w:val="auto"/>
          <w:sz w:val="24"/>
          <w:szCs w:val="24"/>
        </w:rPr>
        <w:instrText xml:space="preserve"> PAGEREF _Toc10772 \h </w:instrText>
      </w:r>
      <w:r>
        <w:rPr>
          <w:color w:val="auto"/>
          <w:sz w:val="24"/>
          <w:szCs w:val="24"/>
        </w:rPr>
        <w:fldChar w:fldCharType="separate"/>
      </w:r>
      <w:r>
        <w:rPr>
          <w:color w:val="auto"/>
          <w:sz w:val="24"/>
          <w:szCs w:val="24"/>
        </w:rPr>
        <w:t>34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D95C654">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_Toc3122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 xml:space="preserve"> 通风、防尘系统</w:t>
      </w:r>
      <w:r>
        <w:rPr>
          <w:color w:val="auto"/>
          <w:sz w:val="24"/>
          <w:szCs w:val="24"/>
        </w:rPr>
        <w:tab/>
      </w:r>
      <w:r>
        <w:rPr>
          <w:color w:val="auto"/>
          <w:sz w:val="24"/>
          <w:szCs w:val="24"/>
        </w:rPr>
        <w:fldChar w:fldCharType="begin"/>
      </w:r>
      <w:r>
        <w:rPr>
          <w:color w:val="auto"/>
          <w:sz w:val="24"/>
          <w:szCs w:val="24"/>
        </w:rPr>
        <w:instrText xml:space="preserve"> PAGEREF _Toc3122 \h </w:instrText>
      </w:r>
      <w:r>
        <w:rPr>
          <w:color w:val="auto"/>
          <w:sz w:val="24"/>
          <w:szCs w:val="24"/>
        </w:rPr>
        <w:fldChar w:fldCharType="separate"/>
      </w:r>
      <w:r>
        <w:rPr>
          <w:color w:val="auto"/>
          <w:sz w:val="24"/>
          <w:szCs w:val="24"/>
        </w:rPr>
        <w:t>34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90D038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_Toc15567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 xml:space="preserve"> 供电系统</w:t>
      </w:r>
      <w:r>
        <w:rPr>
          <w:color w:val="auto"/>
          <w:sz w:val="24"/>
          <w:szCs w:val="24"/>
        </w:rPr>
        <w:tab/>
      </w:r>
      <w:r>
        <w:rPr>
          <w:color w:val="auto"/>
          <w:sz w:val="24"/>
          <w:szCs w:val="24"/>
        </w:rPr>
        <w:fldChar w:fldCharType="begin"/>
      </w:r>
      <w:r>
        <w:rPr>
          <w:color w:val="auto"/>
          <w:sz w:val="24"/>
          <w:szCs w:val="24"/>
        </w:rPr>
        <w:instrText xml:space="preserve"> PAGEREF _Toc15567 \h </w:instrText>
      </w:r>
      <w:r>
        <w:rPr>
          <w:color w:val="auto"/>
          <w:sz w:val="24"/>
          <w:szCs w:val="24"/>
        </w:rPr>
        <w:fldChar w:fldCharType="separate"/>
      </w:r>
      <w:r>
        <w:rPr>
          <w:color w:val="auto"/>
          <w:sz w:val="24"/>
          <w:szCs w:val="24"/>
        </w:rPr>
        <w:t>35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197631D">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_Toc5147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bCs w:val="0"/>
          <w:color w:val="auto"/>
          <w:sz w:val="24"/>
          <w:szCs w:val="24"/>
          <w:lang w:val="en-US" w:eastAsia="zh-CN"/>
        </w:rPr>
        <w:t>2.</w:t>
      </w:r>
      <w:r>
        <w:rPr>
          <w:rFonts w:hint="eastAsia" w:ascii="宋体" w:hAnsi="宋体" w:cs="宋体"/>
          <w:bCs w:val="0"/>
          <w:color w:val="auto"/>
          <w:sz w:val="24"/>
          <w:szCs w:val="24"/>
          <w:lang w:val="en-US" w:eastAsia="zh-CN"/>
        </w:rPr>
        <w:t>10</w:t>
      </w:r>
      <w:r>
        <w:rPr>
          <w:rFonts w:hint="eastAsia" w:ascii="宋体" w:hAnsi="宋体" w:eastAsia="宋体" w:cs="宋体"/>
          <w:bCs w:val="0"/>
          <w:color w:val="auto"/>
          <w:sz w:val="24"/>
          <w:szCs w:val="24"/>
          <w:lang w:val="en-US" w:eastAsia="zh-CN"/>
        </w:rPr>
        <w:t>.</w:t>
      </w:r>
      <w:r>
        <w:rPr>
          <w:rFonts w:hint="eastAsia" w:ascii="宋体" w:hAnsi="宋体" w:cs="宋体"/>
          <w:bCs w:val="0"/>
          <w:color w:val="auto"/>
          <w:sz w:val="24"/>
          <w:szCs w:val="24"/>
          <w:lang w:val="en-US" w:eastAsia="zh-CN"/>
        </w:rPr>
        <w:t>8</w:t>
      </w:r>
      <w:r>
        <w:rPr>
          <w:rFonts w:hint="eastAsia" w:ascii="宋体" w:hAnsi="宋体" w:eastAsia="宋体" w:cs="宋体"/>
          <w:bCs w:val="0"/>
          <w:color w:val="auto"/>
          <w:sz w:val="24"/>
          <w:szCs w:val="24"/>
          <w:lang w:val="en-US" w:eastAsia="zh-CN"/>
        </w:rPr>
        <w:t xml:space="preserve"> 防、排水系统</w:t>
      </w:r>
      <w:r>
        <w:rPr>
          <w:color w:val="auto"/>
          <w:sz w:val="24"/>
          <w:szCs w:val="24"/>
        </w:rPr>
        <w:tab/>
      </w:r>
      <w:r>
        <w:rPr>
          <w:color w:val="auto"/>
          <w:sz w:val="24"/>
          <w:szCs w:val="24"/>
        </w:rPr>
        <w:fldChar w:fldCharType="begin"/>
      </w:r>
      <w:r>
        <w:rPr>
          <w:color w:val="auto"/>
          <w:sz w:val="24"/>
          <w:szCs w:val="24"/>
        </w:rPr>
        <w:instrText xml:space="preserve"> PAGEREF _Toc5147 \h </w:instrText>
      </w:r>
      <w:r>
        <w:rPr>
          <w:color w:val="auto"/>
          <w:sz w:val="24"/>
          <w:szCs w:val="24"/>
        </w:rPr>
        <w:fldChar w:fldCharType="separate"/>
      </w:r>
      <w:r>
        <w:rPr>
          <w:color w:val="auto"/>
          <w:sz w:val="24"/>
          <w:szCs w:val="24"/>
        </w:rPr>
        <w:t>36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28AF1D5">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_Toc28576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9</w:t>
      </w:r>
      <w:r>
        <w:rPr>
          <w:rFonts w:hint="eastAsia" w:ascii="宋体" w:hAnsi="宋体" w:eastAsia="宋体" w:cs="宋体"/>
          <w:color w:val="auto"/>
          <w:sz w:val="24"/>
          <w:szCs w:val="24"/>
          <w:lang w:val="en-US" w:eastAsia="zh-CN"/>
        </w:rPr>
        <w:t xml:space="preserve"> 供水系统</w:t>
      </w:r>
      <w:r>
        <w:rPr>
          <w:rFonts w:hint="eastAsia" w:ascii="宋体" w:hAnsi="宋体" w:cs="宋体"/>
          <w:color w:val="auto"/>
          <w:sz w:val="24"/>
          <w:szCs w:val="24"/>
          <w:lang w:val="en-US" w:eastAsia="zh-CN"/>
        </w:rPr>
        <w:t>及消防</w:t>
      </w:r>
      <w:r>
        <w:rPr>
          <w:color w:val="auto"/>
          <w:sz w:val="24"/>
          <w:szCs w:val="24"/>
        </w:rPr>
        <w:tab/>
      </w:r>
      <w:r>
        <w:rPr>
          <w:color w:val="auto"/>
          <w:sz w:val="24"/>
          <w:szCs w:val="24"/>
        </w:rPr>
        <w:fldChar w:fldCharType="begin"/>
      </w:r>
      <w:r>
        <w:rPr>
          <w:color w:val="auto"/>
          <w:sz w:val="24"/>
          <w:szCs w:val="24"/>
        </w:rPr>
        <w:instrText xml:space="preserve"> PAGEREF _Toc28576 \h </w:instrText>
      </w:r>
      <w:r>
        <w:rPr>
          <w:color w:val="auto"/>
          <w:sz w:val="24"/>
          <w:szCs w:val="24"/>
        </w:rPr>
        <w:fldChar w:fldCharType="separate"/>
      </w:r>
      <w:r>
        <w:rPr>
          <w:color w:val="auto"/>
          <w:sz w:val="24"/>
          <w:szCs w:val="24"/>
        </w:rPr>
        <w:t>36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946363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_Toc27629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 xml:space="preserve"> 供气系统</w:t>
      </w:r>
      <w:r>
        <w:rPr>
          <w:color w:val="auto"/>
          <w:sz w:val="24"/>
          <w:szCs w:val="24"/>
        </w:rPr>
        <w:tab/>
      </w:r>
      <w:r>
        <w:rPr>
          <w:color w:val="auto"/>
          <w:sz w:val="24"/>
          <w:szCs w:val="24"/>
        </w:rPr>
        <w:fldChar w:fldCharType="begin"/>
      </w:r>
      <w:r>
        <w:rPr>
          <w:color w:val="auto"/>
          <w:sz w:val="24"/>
          <w:szCs w:val="24"/>
        </w:rPr>
        <w:instrText xml:space="preserve"> PAGEREF _Toc27629 \h </w:instrText>
      </w:r>
      <w:r>
        <w:rPr>
          <w:color w:val="auto"/>
          <w:sz w:val="24"/>
          <w:szCs w:val="24"/>
        </w:rPr>
        <w:fldChar w:fldCharType="separate"/>
      </w:r>
      <w:r>
        <w:rPr>
          <w:color w:val="auto"/>
          <w:sz w:val="24"/>
          <w:szCs w:val="24"/>
        </w:rPr>
        <w:t>37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7A4E9E7">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_Toc9788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 xml:space="preserve"> 民用爆破物品储存库</w:t>
      </w:r>
      <w:r>
        <w:rPr>
          <w:color w:val="auto"/>
          <w:sz w:val="24"/>
          <w:szCs w:val="24"/>
        </w:rPr>
        <w:tab/>
      </w:r>
      <w:r>
        <w:rPr>
          <w:color w:val="auto"/>
          <w:sz w:val="24"/>
          <w:szCs w:val="24"/>
        </w:rPr>
        <w:fldChar w:fldCharType="begin"/>
      </w:r>
      <w:r>
        <w:rPr>
          <w:color w:val="auto"/>
          <w:sz w:val="24"/>
          <w:szCs w:val="24"/>
        </w:rPr>
        <w:instrText xml:space="preserve"> PAGEREF _Toc9788 \h </w:instrText>
      </w:r>
      <w:r>
        <w:rPr>
          <w:color w:val="auto"/>
          <w:sz w:val="24"/>
          <w:szCs w:val="24"/>
        </w:rPr>
        <w:fldChar w:fldCharType="separate"/>
      </w:r>
      <w:r>
        <w:rPr>
          <w:color w:val="auto"/>
          <w:sz w:val="24"/>
          <w:szCs w:val="24"/>
        </w:rPr>
        <w:t>37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FF7E244">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_Toc26202 </w:instrText>
      </w:r>
      <w:r>
        <w:rPr>
          <w:rFonts w:hint="eastAsia" w:asciiTheme="minorEastAsia" w:hAnsiTheme="minorEastAsia" w:eastAsiaTheme="minorEastAsia" w:cstheme="minorEastAsia"/>
          <w:bCs/>
          <w:color w:val="auto"/>
          <w:sz w:val="24"/>
          <w:szCs w:val="24"/>
        </w:rPr>
        <w:fldChar w:fldCharType="separate"/>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 xml:space="preserve"> 废石场</w:t>
      </w:r>
      <w:r>
        <w:rPr>
          <w:color w:val="auto"/>
          <w:sz w:val="24"/>
          <w:szCs w:val="24"/>
        </w:rPr>
        <w:tab/>
      </w:r>
      <w:r>
        <w:rPr>
          <w:color w:val="auto"/>
          <w:sz w:val="24"/>
          <w:szCs w:val="24"/>
        </w:rPr>
        <w:fldChar w:fldCharType="begin"/>
      </w:r>
      <w:r>
        <w:rPr>
          <w:color w:val="auto"/>
          <w:sz w:val="24"/>
          <w:szCs w:val="24"/>
        </w:rPr>
        <w:instrText xml:space="preserve"> PAGEREF _Toc26202 \h </w:instrText>
      </w:r>
      <w:r>
        <w:rPr>
          <w:color w:val="auto"/>
          <w:sz w:val="24"/>
          <w:szCs w:val="24"/>
        </w:rPr>
        <w:fldChar w:fldCharType="separate"/>
      </w:r>
      <w:r>
        <w:rPr>
          <w:color w:val="auto"/>
          <w:sz w:val="24"/>
          <w:szCs w:val="24"/>
        </w:rPr>
        <w:t>38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3C58FBE">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_Toc8913 </w:instrText>
      </w:r>
      <w:r>
        <w:rPr>
          <w:rFonts w:hint="eastAsia" w:asciiTheme="minorEastAsia" w:hAnsiTheme="minorEastAsia" w:eastAsiaTheme="minorEastAsia" w:cstheme="minorEastAsia"/>
          <w:bCs/>
          <w:color w:val="auto"/>
          <w:sz w:val="24"/>
          <w:szCs w:val="24"/>
        </w:rPr>
        <w:fldChar w:fldCharType="separate"/>
      </w:r>
      <w:r>
        <w:rPr>
          <w:rFonts w:hint="eastAsia" w:asciiTheme="majorEastAsia" w:hAnsiTheme="majorEastAsia" w:eastAsiaTheme="majorEastAsia" w:cstheme="majorEastAsia"/>
          <w:color w:val="auto"/>
          <w:sz w:val="24"/>
          <w:szCs w:val="24"/>
          <w:lang w:val="en-US" w:eastAsia="zh-CN"/>
        </w:rPr>
        <w:t>2.10.13 安全避险“六大系统”</w:t>
      </w:r>
      <w:r>
        <w:rPr>
          <w:color w:val="auto"/>
          <w:sz w:val="24"/>
          <w:szCs w:val="24"/>
        </w:rPr>
        <w:tab/>
      </w:r>
      <w:r>
        <w:rPr>
          <w:color w:val="auto"/>
          <w:sz w:val="24"/>
          <w:szCs w:val="24"/>
        </w:rPr>
        <w:fldChar w:fldCharType="begin"/>
      </w:r>
      <w:r>
        <w:rPr>
          <w:color w:val="auto"/>
          <w:sz w:val="24"/>
          <w:szCs w:val="24"/>
        </w:rPr>
        <w:instrText xml:space="preserve"> PAGEREF _Toc8913 \h </w:instrText>
      </w:r>
      <w:r>
        <w:rPr>
          <w:color w:val="auto"/>
          <w:sz w:val="24"/>
          <w:szCs w:val="24"/>
        </w:rPr>
        <w:fldChar w:fldCharType="separate"/>
      </w:r>
      <w:r>
        <w:rPr>
          <w:color w:val="auto"/>
          <w:sz w:val="24"/>
          <w:szCs w:val="24"/>
        </w:rPr>
        <w:t>38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226D076">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_Toc22820 </w:instrText>
      </w:r>
      <w:r>
        <w:rPr>
          <w:rFonts w:hint="eastAsia" w:asciiTheme="minorEastAsia" w:hAnsiTheme="minorEastAsia" w:eastAsiaTheme="minorEastAsia" w:cstheme="minorEastAsia"/>
          <w:bCs/>
          <w:color w:val="auto"/>
          <w:sz w:val="24"/>
          <w:szCs w:val="24"/>
        </w:rPr>
        <w:fldChar w:fldCharType="separate"/>
      </w:r>
      <w:r>
        <w:rPr>
          <w:rFonts w:hint="eastAsia" w:ascii="Times New Roman" w:hAnsi="Times New Roman" w:eastAsia="宋体" w:cs="Times New Roman"/>
          <w:bCs/>
          <w:color w:val="auto"/>
          <w:sz w:val="24"/>
          <w:szCs w:val="24"/>
          <w:lang w:val="en-US" w:eastAsia="zh-CN"/>
        </w:rPr>
        <w:t>2.10.14 矿山主要设备</w:t>
      </w:r>
      <w:r>
        <w:rPr>
          <w:color w:val="auto"/>
          <w:sz w:val="24"/>
          <w:szCs w:val="24"/>
        </w:rPr>
        <w:tab/>
      </w:r>
      <w:r>
        <w:rPr>
          <w:color w:val="auto"/>
          <w:sz w:val="24"/>
          <w:szCs w:val="24"/>
        </w:rPr>
        <w:fldChar w:fldCharType="begin"/>
      </w:r>
      <w:r>
        <w:rPr>
          <w:color w:val="auto"/>
          <w:sz w:val="24"/>
          <w:szCs w:val="24"/>
        </w:rPr>
        <w:instrText xml:space="preserve"> PAGEREF _Toc22820 \h </w:instrText>
      </w:r>
      <w:r>
        <w:rPr>
          <w:color w:val="auto"/>
          <w:sz w:val="24"/>
          <w:szCs w:val="24"/>
        </w:rPr>
        <w:fldChar w:fldCharType="separate"/>
      </w:r>
      <w:r>
        <w:rPr>
          <w:color w:val="auto"/>
          <w:sz w:val="24"/>
          <w:szCs w:val="24"/>
        </w:rPr>
        <w:t>39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B76F877">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_Toc3189 </w:instrText>
      </w:r>
      <w:r>
        <w:rPr>
          <w:rFonts w:hint="eastAsia" w:asciiTheme="minorEastAsia" w:hAnsiTheme="minorEastAsia" w:eastAsiaTheme="minorEastAsia" w:cstheme="minorEastAsia"/>
          <w:bCs/>
          <w:color w:val="auto"/>
          <w:sz w:val="24"/>
          <w:szCs w:val="24"/>
        </w:rPr>
        <w:fldChar w:fldCharType="separate"/>
      </w:r>
      <w:r>
        <w:rPr>
          <w:rFonts w:hint="eastAsia" w:ascii="Arial" w:hAnsi="Arial" w:eastAsia="宋体" w:cs="宋体"/>
          <w:snapToGrid w:val="0"/>
          <w:color w:val="auto"/>
          <w:kern w:val="0"/>
          <w:sz w:val="24"/>
          <w:szCs w:val="24"/>
          <w:lang w:val="en-US" w:eastAsia="zh-CN" w:bidi="ar-SA"/>
        </w:rPr>
        <w:t>2.</w:t>
      </w:r>
      <w:r>
        <w:rPr>
          <w:rFonts w:hint="eastAsia" w:cs="宋体"/>
          <w:snapToGrid w:val="0"/>
          <w:color w:val="auto"/>
          <w:kern w:val="0"/>
          <w:sz w:val="24"/>
          <w:szCs w:val="24"/>
          <w:lang w:val="en-US" w:eastAsia="zh-CN" w:bidi="ar-SA"/>
        </w:rPr>
        <w:t xml:space="preserve">11 </w:t>
      </w:r>
      <w:r>
        <w:rPr>
          <w:rFonts w:hint="eastAsia" w:ascii="Arial" w:hAnsi="Arial" w:eastAsia="宋体" w:cs="宋体"/>
          <w:snapToGrid w:val="0"/>
          <w:color w:val="auto"/>
          <w:kern w:val="0"/>
          <w:sz w:val="24"/>
          <w:szCs w:val="24"/>
          <w:lang w:val="en-US" w:eastAsia="zh-CN" w:bidi="ar-SA"/>
        </w:rPr>
        <w:t>安全管理</w:t>
      </w:r>
      <w:r>
        <w:rPr>
          <w:color w:val="auto"/>
          <w:sz w:val="24"/>
          <w:szCs w:val="24"/>
        </w:rPr>
        <w:tab/>
      </w:r>
      <w:r>
        <w:rPr>
          <w:color w:val="auto"/>
          <w:sz w:val="24"/>
          <w:szCs w:val="24"/>
        </w:rPr>
        <w:fldChar w:fldCharType="begin"/>
      </w:r>
      <w:r>
        <w:rPr>
          <w:color w:val="auto"/>
          <w:sz w:val="24"/>
          <w:szCs w:val="24"/>
        </w:rPr>
        <w:instrText xml:space="preserve"> PAGEREF _Toc3189 \h </w:instrText>
      </w:r>
      <w:r>
        <w:rPr>
          <w:color w:val="auto"/>
          <w:sz w:val="24"/>
          <w:szCs w:val="24"/>
        </w:rPr>
        <w:fldChar w:fldCharType="separate"/>
      </w:r>
      <w:r>
        <w:rPr>
          <w:color w:val="auto"/>
          <w:sz w:val="24"/>
          <w:szCs w:val="24"/>
        </w:rPr>
        <w:t>40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39089E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_Toc25431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2.11.1 安全管理机构及人员配备</w:t>
      </w:r>
      <w:r>
        <w:rPr>
          <w:color w:val="auto"/>
          <w:sz w:val="24"/>
          <w:szCs w:val="24"/>
        </w:rPr>
        <w:tab/>
      </w:r>
      <w:r>
        <w:rPr>
          <w:color w:val="auto"/>
          <w:sz w:val="24"/>
          <w:szCs w:val="24"/>
        </w:rPr>
        <w:fldChar w:fldCharType="begin"/>
      </w:r>
      <w:r>
        <w:rPr>
          <w:color w:val="auto"/>
          <w:sz w:val="24"/>
          <w:szCs w:val="24"/>
        </w:rPr>
        <w:instrText xml:space="preserve"> PAGEREF _Toc25431 \h </w:instrText>
      </w:r>
      <w:r>
        <w:rPr>
          <w:color w:val="auto"/>
          <w:sz w:val="24"/>
          <w:szCs w:val="24"/>
        </w:rPr>
        <w:fldChar w:fldCharType="separate"/>
      </w:r>
      <w:r>
        <w:rPr>
          <w:color w:val="auto"/>
          <w:sz w:val="24"/>
          <w:szCs w:val="24"/>
        </w:rPr>
        <w:t>40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32CF22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_Toc28963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2.11.2 “五职”矿长</w:t>
      </w:r>
      <w:r>
        <w:rPr>
          <w:color w:val="auto"/>
          <w:sz w:val="24"/>
          <w:szCs w:val="24"/>
        </w:rPr>
        <w:tab/>
      </w:r>
      <w:r>
        <w:rPr>
          <w:color w:val="auto"/>
          <w:sz w:val="24"/>
          <w:szCs w:val="24"/>
        </w:rPr>
        <w:fldChar w:fldCharType="begin"/>
      </w:r>
      <w:r>
        <w:rPr>
          <w:color w:val="auto"/>
          <w:sz w:val="24"/>
          <w:szCs w:val="24"/>
        </w:rPr>
        <w:instrText xml:space="preserve"> PAGEREF _Toc28963 \h </w:instrText>
      </w:r>
      <w:r>
        <w:rPr>
          <w:color w:val="auto"/>
          <w:sz w:val="24"/>
          <w:szCs w:val="24"/>
        </w:rPr>
        <w:fldChar w:fldCharType="separate"/>
      </w:r>
      <w:r>
        <w:rPr>
          <w:color w:val="auto"/>
          <w:sz w:val="24"/>
          <w:szCs w:val="24"/>
        </w:rPr>
        <w:t>40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EE7DBB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_Toc8598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2.11.3 工程技术人员配备</w:t>
      </w:r>
      <w:r>
        <w:rPr>
          <w:color w:val="auto"/>
          <w:sz w:val="24"/>
          <w:szCs w:val="24"/>
        </w:rPr>
        <w:tab/>
      </w:r>
      <w:r>
        <w:rPr>
          <w:color w:val="auto"/>
          <w:sz w:val="24"/>
          <w:szCs w:val="24"/>
        </w:rPr>
        <w:fldChar w:fldCharType="begin"/>
      </w:r>
      <w:r>
        <w:rPr>
          <w:color w:val="auto"/>
          <w:sz w:val="24"/>
          <w:szCs w:val="24"/>
        </w:rPr>
        <w:instrText xml:space="preserve"> PAGEREF _Toc8598 \h </w:instrText>
      </w:r>
      <w:r>
        <w:rPr>
          <w:color w:val="auto"/>
          <w:sz w:val="24"/>
          <w:szCs w:val="24"/>
        </w:rPr>
        <w:fldChar w:fldCharType="separate"/>
      </w:r>
      <w:r>
        <w:rPr>
          <w:color w:val="auto"/>
          <w:sz w:val="24"/>
          <w:szCs w:val="24"/>
        </w:rPr>
        <w:t>41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8194DCC">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_Toc3877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2.11.4 安全生产管理制度</w:t>
      </w:r>
      <w:r>
        <w:rPr>
          <w:color w:val="auto"/>
          <w:sz w:val="24"/>
          <w:szCs w:val="24"/>
        </w:rPr>
        <w:tab/>
      </w:r>
      <w:r>
        <w:rPr>
          <w:color w:val="auto"/>
          <w:sz w:val="24"/>
          <w:szCs w:val="24"/>
        </w:rPr>
        <w:fldChar w:fldCharType="begin"/>
      </w:r>
      <w:r>
        <w:rPr>
          <w:color w:val="auto"/>
          <w:sz w:val="24"/>
          <w:szCs w:val="24"/>
        </w:rPr>
        <w:instrText xml:space="preserve"> PAGEREF _Toc3877 \h </w:instrText>
      </w:r>
      <w:r>
        <w:rPr>
          <w:color w:val="auto"/>
          <w:sz w:val="24"/>
          <w:szCs w:val="24"/>
        </w:rPr>
        <w:fldChar w:fldCharType="separate"/>
      </w:r>
      <w:r>
        <w:rPr>
          <w:color w:val="auto"/>
          <w:sz w:val="24"/>
          <w:szCs w:val="24"/>
        </w:rPr>
        <w:t>41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75CEA7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_Toc25717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2.11.5 应急管理</w:t>
      </w:r>
      <w:r>
        <w:rPr>
          <w:color w:val="auto"/>
          <w:sz w:val="24"/>
          <w:szCs w:val="24"/>
        </w:rPr>
        <w:tab/>
      </w:r>
      <w:r>
        <w:rPr>
          <w:color w:val="auto"/>
          <w:sz w:val="24"/>
          <w:szCs w:val="24"/>
        </w:rPr>
        <w:fldChar w:fldCharType="begin"/>
      </w:r>
      <w:r>
        <w:rPr>
          <w:color w:val="auto"/>
          <w:sz w:val="24"/>
          <w:szCs w:val="24"/>
        </w:rPr>
        <w:instrText xml:space="preserve"> PAGEREF _Toc25717 \h </w:instrText>
      </w:r>
      <w:r>
        <w:rPr>
          <w:color w:val="auto"/>
          <w:sz w:val="24"/>
          <w:szCs w:val="24"/>
        </w:rPr>
        <w:fldChar w:fldCharType="separate"/>
      </w:r>
      <w:r>
        <w:rPr>
          <w:color w:val="auto"/>
          <w:sz w:val="24"/>
          <w:szCs w:val="24"/>
        </w:rPr>
        <w:t>42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22946F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_Toc31363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2.11.6 安全教育培训</w:t>
      </w:r>
      <w:r>
        <w:rPr>
          <w:color w:val="auto"/>
          <w:sz w:val="24"/>
          <w:szCs w:val="24"/>
        </w:rPr>
        <w:tab/>
      </w:r>
      <w:r>
        <w:rPr>
          <w:color w:val="auto"/>
          <w:sz w:val="24"/>
          <w:szCs w:val="24"/>
        </w:rPr>
        <w:fldChar w:fldCharType="begin"/>
      </w:r>
      <w:r>
        <w:rPr>
          <w:color w:val="auto"/>
          <w:sz w:val="24"/>
          <w:szCs w:val="24"/>
        </w:rPr>
        <w:instrText xml:space="preserve"> PAGEREF _Toc31363 \h </w:instrText>
      </w:r>
      <w:r>
        <w:rPr>
          <w:color w:val="auto"/>
          <w:sz w:val="24"/>
          <w:szCs w:val="24"/>
        </w:rPr>
        <w:fldChar w:fldCharType="separate"/>
      </w:r>
      <w:r>
        <w:rPr>
          <w:color w:val="auto"/>
          <w:sz w:val="24"/>
          <w:szCs w:val="24"/>
        </w:rPr>
        <w:t>43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1B3896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_Toc26253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2.11.7 安全措施费用</w:t>
      </w:r>
      <w:r>
        <w:rPr>
          <w:color w:val="auto"/>
          <w:sz w:val="24"/>
          <w:szCs w:val="24"/>
        </w:rPr>
        <w:tab/>
      </w:r>
      <w:r>
        <w:rPr>
          <w:color w:val="auto"/>
          <w:sz w:val="24"/>
          <w:szCs w:val="24"/>
        </w:rPr>
        <w:fldChar w:fldCharType="begin"/>
      </w:r>
      <w:r>
        <w:rPr>
          <w:color w:val="auto"/>
          <w:sz w:val="24"/>
          <w:szCs w:val="24"/>
        </w:rPr>
        <w:instrText xml:space="preserve"> PAGEREF _Toc26253 \h </w:instrText>
      </w:r>
      <w:r>
        <w:rPr>
          <w:color w:val="auto"/>
          <w:sz w:val="24"/>
          <w:szCs w:val="24"/>
        </w:rPr>
        <w:fldChar w:fldCharType="separate"/>
      </w:r>
      <w:r>
        <w:rPr>
          <w:color w:val="auto"/>
          <w:sz w:val="24"/>
          <w:szCs w:val="24"/>
        </w:rPr>
        <w:t>43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DCC0CD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_Toc1856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2.11.8 工伤保险和安全生产责任保险</w:t>
      </w:r>
      <w:r>
        <w:rPr>
          <w:color w:val="auto"/>
          <w:sz w:val="24"/>
          <w:szCs w:val="24"/>
        </w:rPr>
        <w:tab/>
      </w:r>
      <w:r>
        <w:rPr>
          <w:color w:val="auto"/>
          <w:sz w:val="24"/>
          <w:szCs w:val="24"/>
        </w:rPr>
        <w:fldChar w:fldCharType="begin"/>
      </w:r>
      <w:r>
        <w:rPr>
          <w:color w:val="auto"/>
          <w:sz w:val="24"/>
          <w:szCs w:val="24"/>
        </w:rPr>
        <w:instrText xml:space="preserve"> PAGEREF _Toc1856 \h </w:instrText>
      </w:r>
      <w:r>
        <w:rPr>
          <w:color w:val="auto"/>
          <w:sz w:val="24"/>
          <w:szCs w:val="24"/>
        </w:rPr>
        <w:fldChar w:fldCharType="separate"/>
      </w:r>
      <w:r>
        <w:rPr>
          <w:color w:val="auto"/>
          <w:sz w:val="24"/>
          <w:szCs w:val="24"/>
        </w:rPr>
        <w:t>43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D0F0624">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_Toc26724 </w:instrText>
      </w:r>
      <w:r>
        <w:rPr>
          <w:rFonts w:hint="eastAsia" w:asciiTheme="minorEastAsia" w:hAnsiTheme="minorEastAsia" w:eastAsiaTheme="minorEastAsia" w:cstheme="minorEastAsia"/>
          <w:bCs/>
          <w:color w:val="auto"/>
          <w:sz w:val="24"/>
          <w:szCs w:val="24"/>
        </w:rPr>
        <w:fldChar w:fldCharType="separate"/>
      </w:r>
      <w:r>
        <w:rPr>
          <w:rFonts w:hint="eastAsia" w:eastAsia="宋体"/>
          <w:color w:val="auto"/>
          <w:sz w:val="24"/>
          <w:szCs w:val="24"/>
          <w:lang w:val="en-US" w:eastAsia="zh-CN"/>
        </w:rPr>
        <w:t>2.11.9 安全生产标准化运行</w:t>
      </w:r>
      <w:r>
        <w:rPr>
          <w:color w:val="auto"/>
          <w:sz w:val="24"/>
          <w:szCs w:val="24"/>
        </w:rPr>
        <w:tab/>
      </w:r>
      <w:r>
        <w:rPr>
          <w:color w:val="auto"/>
          <w:sz w:val="24"/>
          <w:szCs w:val="24"/>
        </w:rPr>
        <w:fldChar w:fldCharType="begin"/>
      </w:r>
      <w:r>
        <w:rPr>
          <w:color w:val="auto"/>
          <w:sz w:val="24"/>
          <w:szCs w:val="24"/>
        </w:rPr>
        <w:instrText xml:space="preserve"> PAGEREF _Toc26724 \h </w:instrText>
      </w:r>
      <w:r>
        <w:rPr>
          <w:color w:val="auto"/>
          <w:sz w:val="24"/>
          <w:szCs w:val="24"/>
        </w:rPr>
        <w:fldChar w:fldCharType="separate"/>
      </w:r>
      <w:r>
        <w:rPr>
          <w:color w:val="auto"/>
          <w:sz w:val="24"/>
          <w:szCs w:val="24"/>
        </w:rPr>
        <w:t>44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FEF8E1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_Toc26158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2.11.10 安全风险分级管控和隐患排查治理</w:t>
      </w:r>
      <w:r>
        <w:rPr>
          <w:color w:val="auto"/>
          <w:sz w:val="24"/>
          <w:szCs w:val="24"/>
        </w:rPr>
        <w:tab/>
      </w:r>
      <w:r>
        <w:rPr>
          <w:color w:val="auto"/>
          <w:sz w:val="24"/>
          <w:szCs w:val="24"/>
        </w:rPr>
        <w:fldChar w:fldCharType="begin"/>
      </w:r>
      <w:r>
        <w:rPr>
          <w:color w:val="auto"/>
          <w:sz w:val="24"/>
          <w:szCs w:val="24"/>
        </w:rPr>
        <w:instrText xml:space="preserve"> PAGEREF _Toc26158 \h </w:instrText>
      </w:r>
      <w:r>
        <w:rPr>
          <w:color w:val="auto"/>
          <w:sz w:val="24"/>
          <w:szCs w:val="24"/>
        </w:rPr>
        <w:fldChar w:fldCharType="separate"/>
      </w:r>
      <w:r>
        <w:rPr>
          <w:color w:val="auto"/>
          <w:sz w:val="24"/>
          <w:szCs w:val="24"/>
        </w:rPr>
        <w:t>44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2C9343D">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_Toc2141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2.11.11生产安全事故情况</w:t>
      </w:r>
      <w:r>
        <w:rPr>
          <w:color w:val="auto"/>
          <w:sz w:val="24"/>
          <w:szCs w:val="24"/>
        </w:rPr>
        <w:tab/>
      </w:r>
      <w:r>
        <w:rPr>
          <w:color w:val="auto"/>
          <w:sz w:val="24"/>
          <w:szCs w:val="24"/>
        </w:rPr>
        <w:fldChar w:fldCharType="begin"/>
      </w:r>
      <w:r>
        <w:rPr>
          <w:color w:val="auto"/>
          <w:sz w:val="24"/>
          <w:szCs w:val="24"/>
        </w:rPr>
        <w:instrText xml:space="preserve"> PAGEREF _Toc2141 \h </w:instrText>
      </w:r>
      <w:r>
        <w:rPr>
          <w:color w:val="auto"/>
          <w:sz w:val="24"/>
          <w:szCs w:val="24"/>
        </w:rPr>
        <w:fldChar w:fldCharType="separate"/>
      </w:r>
      <w:r>
        <w:rPr>
          <w:color w:val="auto"/>
          <w:sz w:val="24"/>
          <w:szCs w:val="24"/>
        </w:rPr>
        <w:t>44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FAA072C">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_Toc4504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2.12 隐蔽致灾因素普查治理情况</w:t>
      </w:r>
      <w:r>
        <w:rPr>
          <w:color w:val="auto"/>
          <w:sz w:val="24"/>
          <w:szCs w:val="24"/>
        </w:rPr>
        <w:tab/>
      </w:r>
      <w:r>
        <w:rPr>
          <w:color w:val="auto"/>
          <w:sz w:val="24"/>
          <w:szCs w:val="24"/>
        </w:rPr>
        <w:fldChar w:fldCharType="begin"/>
      </w:r>
      <w:r>
        <w:rPr>
          <w:color w:val="auto"/>
          <w:sz w:val="24"/>
          <w:szCs w:val="24"/>
        </w:rPr>
        <w:instrText xml:space="preserve"> PAGEREF _Toc4504 \h </w:instrText>
      </w:r>
      <w:r>
        <w:rPr>
          <w:color w:val="auto"/>
          <w:sz w:val="24"/>
          <w:szCs w:val="24"/>
        </w:rPr>
        <w:fldChar w:fldCharType="separate"/>
      </w:r>
      <w:r>
        <w:rPr>
          <w:color w:val="auto"/>
          <w:sz w:val="24"/>
          <w:szCs w:val="24"/>
        </w:rPr>
        <w:t>45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148506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_Toc8004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2.12.1 隐蔽致灾因素普查方法</w:t>
      </w:r>
      <w:r>
        <w:rPr>
          <w:color w:val="auto"/>
          <w:sz w:val="24"/>
          <w:szCs w:val="24"/>
        </w:rPr>
        <w:tab/>
      </w:r>
      <w:r>
        <w:rPr>
          <w:color w:val="auto"/>
          <w:sz w:val="24"/>
          <w:szCs w:val="24"/>
        </w:rPr>
        <w:fldChar w:fldCharType="begin"/>
      </w:r>
      <w:r>
        <w:rPr>
          <w:color w:val="auto"/>
          <w:sz w:val="24"/>
          <w:szCs w:val="24"/>
        </w:rPr>
        <w:instrText xml:space="preserve"> PAGEREF _Toc8004 \h </w:instrText>
      </w:r>
      <w:r>
        <w:rPr>
          <w:color w:val="auto"/>
          <w:sz w:val="24"/>
          <w:szCs w:val="24"/>
        </w:rPr>
        <w:fldChar w:fldCharType="separate"/>
      </w:r>
      <w:r>
        <w:rPr>
          <w:color w:val="auto"/>
          <w:sz w:val="24"/>
          <w:szCs w:val="24"/>
        </w:rPr>
        <w:t>45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46AABC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_Toc20505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2.12.2 采空区普查治理</w:t>
      </w:r>
      <w:r>
        <w:rPr>
          <w:color w:val="auto"/>
          <w:sz w:val="24"/>
          <w:szCs w:val="24"/>
        </w:rPr>
        <w:tab/>
      </w:r>
      <w:r>
        <w:rPr>
          <w:color w:val="auto"/>
          <w:sz w:val="24"/>
          <w:szCs w:val="24"/>
        </w:rPr>
        <w:fldChar w:fldCharType="begin"/>
      </w:r>
      <w:r>
        <w:rPr>
          <w:color w:val="auto"/>
          <w:sz w:val="24"/>
          <w:szCs w:val="24"/>
        </w:rPr>
        <w:instrText xml:space="preserve"> PAGEREF _Toc20505 \h </w:instrText>
      </w:r>
      <w:r>
        <w:rPr>
          <w:color w:val="auto"/>
          <w:sz w:val="24"/>
          <w:szCs w:val="24"/>
        </w:rPr>
        <w:fldChar w:fldCharType="separate"/>
      </w:r>
      <w:r>
        <w:rPr>
          <w:color w:val="auto"/>
          <w:sz w:val="24"/>
          <w:szCs w:val="24"/>
        </w:rPr>
        <w:t>45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E6D47D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_Toc28220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 xml:space="preserve">2.12.3 </w:t>
      </w:r>
      <w:r>
        <w:rPr>
          <w:rFonts w:hint="eastAsia"/>
          <w:color w:val="auto"/>
          <w:sz w:val="24"/>
          <w:szCs w:val="24"/>
        </w:rPr>
        <w:t>水文地质致灾因素普查治理</w:t>
      </w:r>
      <w:r>
        <w:rPr>
          <w:color w:val="auto"/>
          <w:sz w:val="24"/>
          <w:szCs w:val="24"/>
        </w:rPr>
        <w:tab/>
      </w:r>
      <w:r>
        <w:rPr>
          <w:color w:val="auto"/>
          <w:sz w:val="24"/>
          <w:szCs w:val="24"/>
        </w:rPr>
        <w:fldChar w:fldCharType="begin"/>
      </w:r>
      <w:r>
        <w:rPr>
          <w:color w:val="auto"/>
          <w:sz w:val="24"/>
          <w:szCs w:val="24"/>
        </w:rPr>
        <w:instrText xml:space="preserve"> PAGEREF _Toc28220 \h </w:instrText>
      </w:r>
      <w:r>
        <w:rPr>
          <w:color w:val="auto"/>
          <w:sz w:val="24"/>
          <w:szCs w:val="24"/>
        </w:rPr>
        <w:fldChar w:fldCharType="separate"/>
      </w:r>
      <w:r>
        <w:rPr>
          <w:color w:val="auto"/>
          <w:sz w:val="24"/>
          <w:szCs w:val="24"/>
        </w:rPr>
        <w:t>50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8176D1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_Toc1883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 xml:space="preserve">2.12.4 </w:t>
      </w:r>
      <w:r>
        <w:rPr>
          <w:rFonts w:hint="eastAsia"/>
          <w:color w:val="auto"/>
          <w:sz w:val="24"/>
          <w:szCs w:val="24"/>
        </w:rPr>
        <w:t>地压致灾因素普查治理</w:t>
      </w:r>
      <w:r>
        <w:rPr>
          <w:color w:val="auto"/>
          <w:sz w:val="24"/>
          <w:szCs w:val="24"/>
        </w:rPr>
        <w:tab/>
      </w:r>
      <w:r>
        <w:rPr>
          <w:color w:val="auto"/>
          <w:sz w:val="24"/>
          <w:szCs w:val="24"/>
        </w:rPr>
        <w:fldChar w:fldCharType="begin"/>
      </w:r>
      <w:r>
        <w:rPr>
          <w:color w:val="auto"/>
          <w:sz w:val="24"/>
          <w:szCs w:val="24"/>
        </w:rPr>
        <w:instrText xml:space="preserve"> PAGEREF _Toc1883 \h </w:instrText>
      </w:r>
      <w:r>
        <w:rPr>
          <w:color w:val="auto"/>
          <w:sz w:val="24"/>
          <w:szCs w:val="24"/>
        </w:rPr>
        <w:fldChar w:fldCharType="separate"/>
      </w:r>
      <w:r>
        <w:rPr>
          <w:color w:val="auto"/>
          <w:sz w:val="24"/>
          <w:szCs w:val="24"/>
        </w:rPr>
        <w:t>53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435E337">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_Toc4374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2.11.5 火灾致灾因素普查治理</w:t>
      </w:r>
      <w:r>
        <w:rPr>
          <w:color w:val="auto"/>
          <w:sz w:val="24"/>
          <w:szCs w:val="24"/>
        </w:rPr>
        <w:tab/>
      </w:r>
      <w:r>
        <w:rPr>
          <w:color w:val="auto"/>
          <w:sz w:val="24"/>
          <w:szCs w:val="24"/>
        </w:rPr>
        <w:fldChar w:fldCharType="begin"/>
      </w:r>
      <w:r>
        <w:rPr>
          <w:color w:val="auto"/>
          <w:sz w:val="24"/>
          <w:szCs w:val="24"/>
        </w:rPr>
        <w:instrText xml:space="preserve"> PAGEREF _Toc4374 \h </w:instrText>
      </w:r>
      <w:r>
        <w:rPr>
          <w:color w:val="auto"/>
          <w:sz w:val="24"/>
          <w:szCs w:val="24"/>
        </w:rPr>
        <w:fldChar w:fldCharType="separate"/>
      </w:r>
      <w:r>
        <w:rPr>
          <w:color w:val="auto"/>
          <w:sz w:val="24"/>
          <w:szCs w:val="24"/>
        </w:rPr>
        <w:t>55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F320D01">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_Toc9616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 危险、有害因素辨识与分析</w:t>
      </w:r>
      <w:r>
        <w:rPr>
          <w:color w:val="auto"/>
          <w:sz w:val="24"/>
          <w:szCs w:val="24"/>
        </w:rPr>
        <w:tab/>
      </w:r>
      <w:r>
        <w:rPr>
          <w:color w:val="auto"/>
          <w:sz w:val="24"/>
          <w:szCs w:val="24"/>
        </w:rPr>
        <w:fldChar w:fldCharType="begin"/>
      </w:r>
      <w:r>
        <w:rPr>
          <w:color w:val="auto"/>
          <w:sz w:val="24"/>
          <w:szCs w:val="24"/>
        </w:rPr>
        <w:instrText xml:space="preserve"> PAGEREF _Toc9616 \h </w:instrText>
      </w:r>
      <w:r>
        <w:rPr>
          <w:color w:val="auto"/>
          <w:sz w:val="24"/>
          <w:szCs w:val="24"/>
        </w:rPr>
        <w:fldChar w:fldCharType="separate"/>
      </w:r>
      <w:r>
        <w:rPr>
          <w:color w:val="auto"/>
          <w:sz w:val="24"/>
          <w:szCs w:val="24"/>
        </w:rPr>
        <w:t>56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423E4B1">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 危险因素分析</w:t>
      </w:r>
      <w:r>
        <w:rPr>
          <w:color w:val="auto"/>
          <w:sz w:val="24"/>
          <w:szCs w:val="24"/>
        </w:rPr>
        <w:tab/>
      </w:r>
      <w:r>
        <w:rPr>
          <w:color w:val="auto"/>
          <w:sz w:val="24"/>
          <w:szCs w:val="24"/>
        </w:rPr>
        <w:fldChar w:fldCharType="begin"/>
      </w:r>
      <w:r>
        <w:rPr>
          <w:color w:val="auto"/>
          <w:sz w:val="24"/>
          <w:szCs w:val="24"/>
        </w:rPr>
        <w:instrText xml:space="preserve"> PAGEREF _Toc84 \h </w:instrText>
      </w:r>
      <w:r>
        <w:rPr>
          <w:color w:val="auto"/>
          <w:sz w:val="24"/>
          <w:szCs w:val="24"/>
        </w:rPr>
        <w:fldChar w:fldCharType="separate"/>
      </w:r>
      <w:r>
        <w:rPr>
          <w:color w:val="auto"/>
          <w:sz w:val="24"/>
          <w:szCs w:val="24"/>
        </w:rPr>
        <w:t>56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F7E1E7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_Toc24541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3.1.1 民用爆炸物品爆炸</w:t>
      </w:r>
      <w:r>
        <w:rPr>
          <w:color w:val="auto"/>
          <w:sz w:val="24"/>
          <w:szCs w:val="24"/>
        </w:rPr>
        <w:tab/>
      </w:r>
      <w:r>
        <w:rPr>
          <w:color w:val="auto"/>
          <w:sz w:val="24"/>
          <w:szCs w:val="24"/>
        </w:rPr>
        <w:fldChar w:fldCharType="begin"/>
      </w:r>
      <w:r>
        <w:rPr>
          <w:color w:val="auto"/>
          <w:sz w:val="24"/>
          <w:szCs w:val="24"/>
        </w:rPr>
        <w:instrText xml:space="preserve"> PAGEREF _Toc24541 \h </w:instrText>
      </w:r>
      <w:r>
        <w:rPr>
          <w:color w:val="auto"/>
          <w:sz w:val="24"/>
          <w:szCs w:val="24"/>
        </w:rPr>
        <w:fldChar w:fldCharType="separate"/>
      </w:r>
      <w:r>
        <w:rPr>
          <w:color w:val="auto"/>
          <w:sz w:val="24"/>
          <w:szCs w:val="24"/>
        </w:rPr>
        <w:t>56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8D76769">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_Toc2160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3.1.2 坍塌</w:t>
      </w:r>
      <w:r>
        <w:rPr>
          <w:color w:val="auto"/>
          <w:sz w:val="24"/>
          <w:szCs w:val="24"/>
        </w:rPr>
        <w:tab/>
      </w:r>
      <w:r>
        <w:rPr>
          <w:color w:val="auto"/>
          <w:sz w:val="24"/>
          <w:szCs w:val="24"/>
        </w:rPr>
        <w:fldChar w:fldCharType="begin"/>
      </w:r>
      <w:r>
        <w:rPr>
          <w:color w:val="auto"/>
          <w:sz w:val="24"/>
          <w:szCs w:val="24"/>
        </w:rPr>
        <w:instrText xml:space="preserve"> PAGEREF _Toc2160 \h </w:instrText>
      </w:r>
      <w:r>
        <w:rPr>
          <w:color w:val="auto"/>
          <w:sz w:val="24"/>
          <w:szCs w:val="24"/>
        </w:rPr>
        <w:fldChar w:fldCharType="separate"/>
      </w:r>
      <w:r>
        <w:rPr>
          <w:color w:val="auto"/>
          <w:sz w:val="24"/>
          <w:szCs w:val="24"/>
        </w:rPr>
        <w:t>58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308CBDC">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_Toc13597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3.1.3 机械致害</w:t>
      </w:r>
      <w:r>
        <w:rPr>
          <w:color w:val="auto"/>
          <w:sz w:val="24"/>
          <w:szCs w:val="24"/>
        </w:rPr>
        <w:tab/>
      </w:r>
      <w:r>
        <w:rPr>
          <w:color w:val="auto"/>
          <w:sz w:val="24"/>
          <w:szCs w:val="24"/>
        </w:rPr>
        <w:fldChar w:fldCharType="begin"/>
      </w:r>
      <w:r>
        <w:rPr>
          <w:color w:val="auto"/>
          <w:sz w:val="24"/>
          <w:szCs w:val="24"/>
        </w:rPr>
        <w:instrText xml:space="preserve"> PAGEREF _Toc13597 \h </w:instrText>
      </w:r>
      <w:r>
        <w:rPr>
          <w:color w:val="auto"/>
          <w:sz w:val="24"/>
          <w:szCs w:val="24"/>
        </w:rPr>
        <w:fldChar w:fldCharType="separate"/>
      </w:r>
      <w:r>
        <w:rPr>
          <w:color w:val="auto"/>
          <w:sz w:val="24"/>
          <w:szCs w:val="24"/>
        </w:rPr>
        <w:t>59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62BAB9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_Toc2071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3.1.4 触电</w:t>
      </w:r>
      <w:r>
        <w:rPr>
          <w:color w:val="auto"/>
          <w:sz w:val="24"/>
          <w:szCs w:val="24"/>
        </w:rPr>
        <w:tab/>
      </w:r>
      <w:r>
        <w:rPr>
          <w:color w:val="auto"/>
          <w:sz w:val="24"/>
          <w:szCs w:val="24"/>
        </w:rPr>
        <w:fldChar w:fldCharType="begin"/>
      </w:r>
      <w:r>
        <w:rPr>
          <w:color w:val="auto"/>
          <w:sz w:val="24"/>
          <w:szCs w:val="24"/>
        </w:rPr>
        <w:instrText xml:space="preserve"> PAGEREF _Toc2071 \h </w:instrText>
      </w:r>
      <w:r>
        <w:rPr>
          <w:color w:val="auto"/>
          <w:sz w:val="24"/>
          <w:szCs w:val="24"/>
        </w:rPr>
        <w:fldChar w:fldCharType="separate"/>
      </w:r>
      <w:r>
        <w:rPr>
          <w:color w:val="auto"/>
          <w:sz w:val="24"/>
          <w:szCs w:val="24"/>
        </w:rPr>
        <w:t>60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69476F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_Toc5493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3.1.5 厂(场)内车辆致害</w:t>
      </w:r>
      <w:r>
        <w:rPr>
          <w:color w:val="auto"/>
          <w:sz w:val="24"/>
          <w:szCs w:val="24"/>
        </w:rPr>
        <w:tab/>
      </w:r>
      <w:r>
        <w:rPr>
          <w:color w:val="auto"/>
          <w:sz w:val="24"/>
          <w:szCs w:val="24"/>
        </w:rPr>
        <w:fldChar w:fldCharType="begin"/>
      </w:r>
      <w:r>
        <w:rPr>
          <w:color w:val="auto"/>
          <w:sz w:val="24"/>
          <w:szCs w:val="24"/>
        </w:rPr>
        <w:instrText xml:space="preserve"> PAGEREF _Toc5493 \h </w:instrText>
      </w:r>
      <w:r>
        <w:rPr>
          <w:color w:val="auto"/>
          <w:sz w:val="24"/>
          <w:szCs w:val="24"/>
        </w:rPr>
        <w:fldChar w:fldCharType="separate"/>
      </w:r>
      <w:r>
        <w:rPr>
          <w:color w:val="auto"/>
          <w:sz w:val="24"/>
          <w:szCs w:val="24"/>
        </w:rPr>
        <w:t>60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A48D71E">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_Toc30123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3.1.6 高处坠落</w:t>
      </w:r>
      <w:r>
        <w:rPr>
          <w:color w:val="auto"/>
          <w:sz w:val="24"/>
          <w:szCs w:val="24"/>
        </w:rPr>
        <w:tab/>
      </w:r>
      <w:r>
        <w:rPr>
          <w:color w:val="auto"/>
          <w:sz w:val="24"/>
          <w:szCs w:val="24"/>
        </w:rPr>
        <w:fldChar w:fldCharType="begin"/>
      </w:r>
      <w:r>
        <w:rPr>
          <w:color w:val="auto"/>
          <w:sz w:val="24"/>
          <w:szCs w:val="24"/>
        </w:rPr>
        <w:instrText xml:space="preserve"> PAGEREF _Toc30123 \h </w:instrText>
      </w:r>
      <w:r>
        <w:rPr>
          <w:color w:val="auto"/>
          <w:sz w:val="24"/>
          <w:szCs w:val="24"/>
        </w:rPr>
        <w:fldChar w:fldCharType="separate"/>
      </w:r>
      <w:r>
        <w:rPr>
          <w:color w:val="auto"/>
          <w:sz w:val="24"/>
          <w:szCs w:val="24"/>
        </w:rPr>
        <w:t>61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29B390C">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_Toc27347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3.1.7 跌落</w:t>
      </w:r>
      <w:r>
        <w:rPr>
          <w:color w:val="auto"/>
          <w:sz w:val="24"/>
          <w:szCs w:val="24"/>
        </w:rPr>
        <w:tab/>
      </w:r>
      <w:r>
        <w:rPr>
          <w:color w:val="auto"/>
          <w:sz w:val="24"/>
          <w:szCs w:val="24"/>
        </w:rPr>
        <w:fldChar w:fldCharType="begin"/>
      </w:r>
      <w:r>
        <w:rPr>
          <w:color w:val="auto"/>
          <w:sz w:val="24"/>
          <w:szCs w:val="24"/>
        </w:rPr>
        <w:instrText xml:space="preserve"> PAGEREF _Toc27347 \h </w:instrText>
      </w:r>
      <w:r>
        <w:rPr>
          <w:color w:val="auto"/>
          <w:sz w:val="24"/>
          <w:szCs w:val="24"/>
        </w:rPr>
        <w:fldChar w:fldCharType="separate"/>
      </w:r>
      <w:r>
        <w:rPr>
          <w:color w:val="auto"/>
          <w:sz w:val="24"/>
          <w:szCs w:val="24"/>
        </w:rPr>
        <w:t>61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B32A28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_Toc14450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3.1.8 火灾</w:t>
      </w:r>
      <w:r>
        <w:rPr>
          <w:color w:val="auto"/>
          <w:sz w:val="24"/>
          <w:szCs w:val="24"/>
        </w:rPr>
        <w:tab/>
      </w:r>
      <w:r>
        <w:rPr>
          <w:color w:val="auto"/>
          <w:sz w:val="24"/>
          <w:szCs w:val="24"/>
        </w:rPr>
        <w:fldChar w:fldCharType="begin"/>
      </w:r>
      <w:r>
        <w:rPr>
          <w:color w:val="auto"/>
          <w:sz w:val="24"/>
          <w:szCs w:val="24"/>
        </w:rPr>
        <w:instrText xml:space="preserve"> PAGEREF _Toc14450 \h </w:instrText>
      </w:r>
      <w:r>
        <w:rPr>
          <w:color w:val="auto"/>
          <w:sz w:val="24"/>
          <w:szCs w:val="24"/>
        </w:rPr>
        <w:fldChar w:fldCharType="separate"/>
      </w:r>
      <w:r>
        <w:rPr>
          <w:color w:val="auto"/>
          <w:sz w:val="24"/>
          <w:szCs w:val="24"/>
        </w:rPr>
        <w:t>61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78420B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_Toc15621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3.1.9 起重致害</w:t>
      </w:r>
      <w:r>
        <w:rPr>
          <w:color w:val="auto"/>
          <w:sz w:val="24"/>
          <w:szCs w:val="24"/>
        </w:rPr>
        <w:tab/>
      </w:r>
      <w:r>
        <w:rPr>
          <w:color w:val="auto"/>
          <w:sz w:val="24"/>
          <w:szCs w:val="24"/>
        </w:rPr>
        <w:fldChar w:fldCharType="begin"/>
      </w:r>
      <w:r>
        <w:rPr>
          <w:color w:val="auto"/>
          <w:sz w:val="24"/>
          <w:szCs w:val="24"/>
        </w:rPr>
        <w:instrText xml:space="preserve"> PAGEREF _Toc15621 \h </w:instrText>
      </w:r>
      <w:r>
        <w:rPr>
          <w:color w:val="auto"/>
          <w:sz w:val="24"/>
          <w:szCs w:val="24"/>
        </w:rPr>
        <w:fldChar w:fldCharType="separate"/>
      </w:r>
      <w:r>
        <w:rPr>
          <w:color w:val="auto"/>
          <w:sz w:val="24"/>
          <w:szCs w:val="24"/>
        </w:rPr>
        <w:t>62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35F363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_Toc18667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3.1.10 容器爆炸、管道爆炸</w:t>
      </w:r>
      <w:r>
        <w:rPr>
          <w:color w:val="auto"/>
          <w:sz w:val="24"/>
          <w:szCs w:val="24"/>
        </w:rPr>
        <w:tab/>
      </w:r>
      <w:r>
        <w:rPr>
          <w:color w:val="auto"/>
          <w:sz w:val="24"/>
          <w:szCs w:val="24"/>
        </w:rPr>
        <w:fldChar w:fldCharType="begin"/>
      </w:r>
      <w:r>
        <w:rPr>
          <w:color w:val="auto"/>
          <w:sz w:val="24"/>
          <w:szCs w:val="24"/>
        </w:rPr>
        <w:instrText xml:space="preserve"> PAGEREF _Toc18667 \h </w:instrText>
      </w:r>
      <w:r>
        <w:rPr>
          <w:color w:val="auto"/>
          <w:sz w:val="24"/>
          <w:szCs w:val="24"/>
        </w:rPr>
        <w:fldChar w:fldCharType="separate"/>
      </w:r>
      <w:r>
        <w:rPr>
          <w:color w:val="auto"/>
          <w:sz w:val="24"/>
          <w:szCs w:val="24"/>
        </w:rPr>
        <w:t>63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5379EB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_Toc29318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3.1.11 中毒、窒息</w:t>
      </w:r>
      <w:r>
        <w:rPr>
          <w:color w:val="auto"/>
          <w:sz w:val="24"/>
          <w:szCs w:val="24"/>
        </w:rPr>
        <w:tab/>
      </w:r>
      <w:r>
        <w:rPr>
          <w:color w:val="auto"/>
          <w:sz w:val="24"/>
          <w:szCs w:val="24"/>
        </w:rPr>
        <w:fldChar w:fldCharType="begin"/>
      </w:r>
      <w:r>
        <w:rPr>
          <w:color w:val="auto"/>
          <w:sz w:val="24"/>
          <w:szCs w:val="24"/>
        </w:rPr>
        <w:instrText xml:space="preserve"> PAGEREF _Toc29318 \h </w:instrText>
      </w:r>
      <w:r>
        <w:rPr>
          <w:color w:val="auto"/>
          <w:sz w:val="24"/>
          <w:szCs w:val="24"/>
        </w:rPr>
        <w:fldChar w:fldCharType="separate"/>
      </w:r>
      <w:r>
        <w:rPr>
          <w:color w:val="auto"/>
          <w:sz w:val="24"/>
          <w:szCs w:val="24"/>
        </w:rPr>
        <w:t>63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44BD63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_Toc32574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3.1.12 物体打击</w:t>
      </w:r>
      <w:r>
        <w:rPr>
          <w:color w:val="auto"/>
          <w:sz w:val="24"/>
          <w:szCs w:val="24"/>
        </w:rPr>
        <w:tab/>
      </w:r>
      <w:r>
        <w:rPr>
          <w:color w:val="auto"/>
          <w:sz w:val="24"/>
          <w:szCs w:val="24"/>
        </w:rPr>
        <w:fldChar w:fldCharType="begin"/>
      </w:r>
      <w:r>
        <w:rPr>
          <w:color w:val="auto"/>
          <w:sz w:val="24"/>
          <w:szCs w:val="24"/>
        </w:rPr>
        <w:instrText xml:space="preserve"> PAGEREF _Toc32574 \h </w:instrText>
      </w:r>
      <w:r>
        <w:rPr>
          <w:color w:val="auto"/>
          <w:sz w:val="24"/>
          <w:szCs w:val="24"/>
        </w:rPr>
        <w:fldChar w:fldCharType="separate"/>
      </w:r>
      <w:r>
        <w:rPr>
          <w:color w:val="auto"/>
          <w:sz w:val="24"/>
          <w:szCs w:val="24"/>
        </w:rPr>
        <w:t>64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A31F957">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_Toc10289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3.1.13 淹溺</w:t>
      </w:r>
      <w:r>
        <w:rPr>
          <w:color w:val="auto"/>
          <w:sz w:val="24"/>
          <w:szCs w:val="24"/>
        </w:rPr>
        <w:tab/>
      </w:r>
      <w:r>
        <w:rPr>
          <w:color w:val="auto"/>
          <w:sz w:val="24"/>
          <w:szCs w:val="24"/>
        </w:rPr>
        <w:fldChar w:fldCharType="begin"/>
      </w:r>
      <w:r>
        <w:rPr>
          <w:color w:val="auto"/>
          <w:sz w:val="24"/>
          <w:szCs w:val="24"/>
        </w:rPr>
        <w:instrText xml:space="preserve"> PAGEREF _Toc10289 \h </w:instrText>
      </w:r>
      <w:r>
        <w:rPr>
          <w:color w:val="auto"/>
          <w:sz w:val="24"/>
          <w:szCs w:val="24"/>
        </w:rPr>
        <w:fldChar w:fldCharType="separate"/>
      </w:r>
      <w:r>
        <w:rPr>
          <w:color w:val="auto"/>
          <w:sz w:val="24"/>
          <w:szCs w:val="24"/>
        </w:rPr>
        <w:t>65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866143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_Toc15607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3.1.14 水害</w:t>
      </w:r>
      <w:r>
        <w:rPr>
          <w:color w:val="auto"/>
          <w:sz w:val="24"/>
          <w:szCs w:val="24"/>
        </w:rPr>
        <w:tab/>
      </w:r>
      <w:r>
        <w:rPr>
          <w:color w:val="auto"/>
          <w:sz w:val="24"/>
          <w:szCs w:val="24"/>
        </w:rPr>
        <w:fldChar w:fldCharType="begin"/>
      </w:r>
      <w:r>
        <w:rPr>
          <w:color w:val="auto"/>
          <w:sz w:val="24"/>
          <w:szCs w:val="24"/>
        </w:rPr>
        <w:instrText xml:space="preserve"> PAGEREF _Toc15607 \h </w:instrText>
      </w:r>
      <w:r>
        <w:rPr>
          <w:color w:val="auto"/>
          <w:sz w:val="24"/>
          <w:szCs w:val="24"/>
        </w:rPr>
        <w:fldChar w:fldCharType="separate"/>
      </w:r>
      <w:r>
        <w:rPr>
          <w:color w:val="auto"/>
          <w:sz w:val="24"/>
          <w:szCs w:val="24"/>
        </w:rPr>
        <w:t>65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583579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_Toc6387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3.1.15 滑坡</w:t>
      </w:r>
      <w:r>
        <w:rPr>
          <w:color w:val="auto"/>
          <w:sz w:val="24"/>
          <w:szCs w:val="24"/>
        </w:rPr>
        <w:tab/>
      </w:r>
      <w:r>
        <w:rPr>
          <w:color w:val="auto"/>
          <w:sz w:val="24"/>
          <w:szCs w:val="24"/>
        </w:rPr>
        <w:fldChar w:fldCharType="begin"/>
      </w:r>
      <w:r>
        <w:rPr>
          <w:color w:val="auto"/>
          <w:sz w:val="24"/>
          <w:szCs w:val="24"/>
        </w:rPr>
        <w:instrText xml:space="preserve"> PAGEREF _Toc6387 \h </w:instrText>
      </w:r>
      <w:r>
        <w:rPr>
          <w:color w:val="auto"/>
          <w:sz w:val="24"/>
          <w:szCs w:val="24"/>
        </w:rPr>
        <w:fldChar w:fldCharType="separate"/>
      </w:r>
      <w:r>
        <w:rPr>
          <w:color w:val="auto"/>
          <w:sz w:val="24"/>
          <w:szCs w:val="24"/>
        </w:rPr>
        <w:t>65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EF4474E">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_Toc6788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3.2有害因素</w:t>
      </w:r>
      <w:r>
        <w:rPr>
          <w:color w:val="auto"/>
          <w:sz w:val="24"/>
          <w:szCs w:val="24"/>
        </w:rPr>
        <w:tab/>
      </w:r>
      <w:r>
        <w:rPr>
          <w:color w:val="auto"/>
          <w:sz w:val="24"/>
          <w:szCs w:val="24"/>
        </w:rPr>
        <w:fldChar w:fldCharType="begin"/>
      </w:r>
      <w:r>
        <w:rPr>
          <w:color w:val="auto"/>
          <w:sz w:val="24"/>
          <w:szCs w:val="24"/>
        </w:rPr>
        <w:instrText xml:space="preserve"> PAGEREF _Toc6788 \h </w:instrText>
      </w:r>
      <w:r>
        <w:rPr>
          <w:color w:val="auto"/>
          <w:sz w:val="24"/>
          <w:szCs w:val="24"/>
        </w:rPr>
        <w:fldChar w:fldCharType="separate"/>
      </w:r>
      <w:r>
        <w:rPr>
          <w:color w:val="auto"/>
          <w:sz w:val="24"/>
          <w:szCs w:val="24"/>
        </w:rPr>
        <w:t>66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D21A41E">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_Toc26610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3.2.1粉尘</w:t>
      </w:r>
      <w:r>
        <w:rPr>
          <w:color w:val="auto"/>
          <w:sz w:val="24"/>
          <w:szCs w:val="24"/>
        </w:rPr>
        <w:tab/>
      </w:r>
      <w:r>
        <w:rPr>
          <w:color w:val="auto"/>
          <w:sz w:val="24"/>
          <w:szCs w:val="24"/>
        </w:rPr>
        <w:fldChar w:fldCharType="begin"/>
      </w:r>
      <w:r>
        <w:rPr>
          <w:color w:val="auto"/>
          <w:sz w:val="24"/>
          <w:szCs w:val="24"/>
        </w:rPr>
        <w:instrText xml:space="preserve"> PAGEREF _Toc26610 \h </w:instrText>
      </w:r>
      <w:r>
        <w:rPr>
          <w:color w:val="auto"/>
          <w:sz w:val="24"/>
          <w:szCs w:val="24"/>
        </w:rPr>
        <w:fldChar w:fldCharType="separate"/>
      </w:r>
      <w:r>
        <w:rPr>
          <w:color w:val="auto"/>
          <w:sz w:val="24"/>
          <w:szCs w:val="24"/>
        </w:rPr>
        <w:t>66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657FBF5">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_Toc4406 </w:instrText>
      </w:r>
      <w:r>
        <w:rPr>
          <w:rFonts w:hint="eastAsia" w:asciiTheme="minorEastAsia" w:hAnsiTheme="minorEastAsia" w:eastAsiaTheme="minorEastAsia" w:cstheme="minorEastAsia"/>
          <w:bCs/>
          <w:color w:val="auto"/>
          <w:sz w:val="24"/>
          <w:szCs w:val="24"/>
        </w:rPr>
        <w:fldChar w:fldCharType="separate"/>
      </w:r>
      <w:r>
        <w:rPr>
          <w:rFonts w:hint="eastAsia" w:ascii="Times New Roman" w:hAnsi="Times New Roman" w:eastAsia="宋体" w:cs="Times New Roman"/>
          <w:bCs/>
          <w:color w:val="auto"/>
          <w:sz w:val="24"/>
          <w:szCs w:val="24"/>
          <w:lang w:val="en-US" w:eastAsia="zh-CN"/>
        </w:rPr>
        <w:t>3.</w:t>
      </w:r>
      <w:r>
        <w:rPr>
          <w:rFonts w:hint="eastAsia" w:ascii="Times New Roman" w:hAnsi="Times New Roman" w:cs="Times New Roman"/>
          <w:bCs/>
          <w:color w:val="auto"/>
          <w:sz w:val="24"/>
          <w:szCs w:val="24"/>
          <w:lang w:val="en-US" w:eastAsia="zh-CN"/>
        </w:rPr>
        <w:t>2</w:t>
      </w:r>
      <w:r>
        <w:rPr>
          <w:rFonts w:hint="eastAsia" w:ascii="Times New Roman" w:hAnsi="Times New Roman" w:eastAsia="宋体" w:cs="Times New Roman"/>
          <w:bCs/>
          <w:color w:val="auto"/>
          <w:sz w:val="24"/>
          <w:szCs w:val="24"/>
          <w:lang w:val="en-US" w:eastAsia="zh-CN"/>
        </w:rPr>
        <w:t>.2 噪声</w:t>
      </w:r>
      <w:r>
        <w:rPr>
          <w:color w:val="auto"/>
          <w:sz w:val="24"/>
          <w:szCs w:val="24"/>
        </w:rPr>
        <w:tab/>
      </w:r>
      <w:r>
        <w:rPr>
          <w:color w:val="auto"/>
          <w:sz w:val="24"/>
          <w:szCs w:val="24"/>
        </w:rPr>
        <w:fldChar w:fldCharType="begin"/>
      </w:r>
      <w:r>
        <w:rPr>
          <w:color w:val="auto"/>
          <w:sz w:val="24"/>
          <w:szCs w:val="24"/>
        </w:rPr>
        <w:instrText xml:space="preserve"> PAGEREF _Toc4406 \h </w:instrText>
      </w:r>
      <w:r>
        <w:rPr>
          <w:color w:val="auto"/>
          <w:sz w:val="24"/>
          <w:szCs w:val="24"/>
        </w:rPr>
        <w:fldChar w:fldCharType="separate"/>
      </w:r>
      <w:r>
        <w:rPr>
          <w:color w:val="auto"/>
          <w:sz w:val="24"/>
          <w:szCs w:val="24"/>
        </w:rPr>
        <w:t>66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2ACB8DD">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_Toc2293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3.2.3振动</w:t>
      </w:r>
      <w:r>
        <w:rPr>
          <w:color w:val="auto"/>
          <w:sz w:val="24"/>
          <w:szCs w:val="24"/>
        </w:rPr>
        <w:tab/>
      </w:r>
      <w:r>
        <w:rPr>
          <w:color w:val="auto"/>
          <w:sz w:val="24"/>
          <w:szCs w:val="24"/>
        </w:rPr>
        <w:fldChar w:fldCharType="begin"/>
      </w:r>
      <w:r>
        <w:rPr>
          <w:color w:val="auto"/>
          <w:sz w:val="24"/>
          <w:szCs w:val="24"/>
        </w:rPr>
        <w:instrText xml:space="preserve"> PAGEREF _Toc2293 \h </w:instrText>
      </w:r>
      <w:r>
        <w:rPr>
          <w:color w:val="auto"/>
          <w:sz w:val="24"/>
          <w:szCs w:val="24"/>
        </w:rPr>
        <w:fldChar w:fldCharType="separate"/>
      </w:r>
      <w:r>
        <w:rPr>
          <w:color w:val="auto"/>
          <w:sz w:val="24"/>
          <w:szCs w:val="24"/>
        </w:rPr>
        <w:t>67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DD5106A">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_Toc3717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3.2.4 有毒气体、有害气体</w:t>
      </w:r>
      <w:r>
        <w:rPr>
          <w:color w:val="auto"/>
          <w:sz w:val="24"/>
          <w:szCs w:val="24"/>
        </w:rPr>
        <w:tab/>
      </w:r>
      <w:r>
        <w:rPr>
          <w:color w:val="auto"/>
          <w:sz w:val="24"/>
          <w:szCs w:val="24"/>
        </w:rPr>
        <w:fldChar w:fldCharType="begin"/>
      </w:r>
      <w:r>
        <w:rPr>
          <w:color w:val="auto"/>
          <w:sz w:val="24"/>
          <w:szCs w:val="24"/>
        </w:rPr>
        <w:instrText xml:space="preserve"> PAGEREF _Toc3717 \h </w:instrText>
      </w:r>
      <w:r>
        <w:rPr>
          <w:color w:val="auto"/>
          <w:sz w:val="24"/>
          <w:szCs w:val="24"/>
        </w:rPr>
        <w:fldChar w:fldCharType="separate"/>
      </w:r>
      <w:r>
        <w:rPr>
          <w:color w:val="auto"/>
          <w:sz w:val="24"/>
          <w:szCs w:val="24"/>
        </w:rPr>
        <w:t>68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5827F8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_Toc639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3.2.5作业环境不良</w:t>
      </w:r>
      <w:r>
        <w:rPr>
          <w:color w:val="auto"/>
          <w:sz w:val="24"/>
          <w:szCs w:val="24"/>
        </w:rPr>
        <w:tab/>
      </w:r>
      <w:r>
        <w:rPr>
          <w:color w:val="auto"/>
          <w:sz w:val="24"/>
          <w:szCs w:val="24"/>
        </w:rPr>
        <w:fldChar w:fldCharType="begin"/>
      </w:r>
      <w:r>
        <w:rPr>
          <w:color w:val="auto"/>
          <w:sz w:val="24"/>
          <w:szCs w:val="24"/>
        </w:rPr>
        <w:instrText xml:space="preserve"> PAGEREF _Toc639 \h </w:instrText>
      </w:r>
      <w:r>
        <w:rPr>
          <w:color w:val="auto"/>
          <w:sz w:val="24"/>
          <w:szCs w:val="24"/>
        </w:rPr>
        <w:fldChar w:fldCharType="separate"/>
      </w:r>
      <w:r>
        <w:rPr>
          <w:color w:val="auto"/>
          <w:sz w:val="24"/>
          <w:szCs w:val="24"/>
        </w:rPr>
        <w:t>68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EA1C50D">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_Toc18964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3.3 人的不安全行为及管理缺陷</w:t>
      </w:r>
      <w:r>
        <w:rPr>
          <w:color w:val="auto"/>
          <w:sz w:val="24"/>
          <w:szCs w:val="24"/>
        </w:rPr>
        <w:tab/>
      </w:r>
      <w:r>
        <w:rPr>
          <w:color w:val="auto"/>
          <w:sz w:val="24"/>
          <w:szCs w:val="24"/>
        </w:rPr>
        <w:fldChar w:fldCharType="begin"/>
      </w:r>
      <w:r>
        <w:rPr>
          <w:color w:val="auto"/>
          <w:sz w:val="24"/>
          <w:szCs w:val="24"/>
        </w:rPr>
        <w:instrText xml:space="preserve"> PAGEREF _Toc18964 \h </w:instrText>
      </w:r>
      <w:r>
        <w:rPr>
          <w:color w:val="auto"/>
          <w:sz w:val="24"/>
          <w:szCs w:val="24"/>
        </w:rPr>
        <w:fldChar w:fldCharType="separate"/>
      </w:r>
      <w:r>
        <w:rPr>
          <w:color w:val="auto"/>
          <w:sz w:val="24"/>
          <w:szCs w:val="24"/>
        </w:rPr>
        <w:t>68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B4623C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_Toc19066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3.3.1 人的不安全行为</w:t>
      </w:r>
      <w:r>
        <w:rPr>
          <w:color w:val="auto"/>
          <w:sz w:val="24"/>
          <w:szCs w:val="24"/>
        </w:rPr>
        <w:tab/>
      </w:r>
      <w:r>
        <w:rPr>
          <w:color w:val="auto"/>
          <w:sz w:val="24"/>
          <w:szCs w:val="24"/>
        </w:rPr>
        <w:fldChar w:fldCharType="begin"/>
      </w:r>
      <w:r>
        <w:rPr>
          <w:color w:val="auto"/>
          <w:sz w:val="24"/>
          <w:szCs w:val="24"/>
        </w:rPr>
        <w:instrText xml:space="preserve"> PAGEREF _Toc19066 \h </w:instrText>
      </w:r>
      <w:r>
        <w:rPr>
          <w:color w:val="auto"/>
          <w:sz w:val="24"/>
          <w:szCs w:val="24"/>
        </w:rPr>
        <w:fldChar w:fldCharType="separate"/>
      </w:r>
      <w:r>
        <w:rPr>
          <w:color w:val="auto"/>
          <w:sz w:val="24"/>
          <w:szCs w:val="24"/>
        </w:rPr>
        <w:t>68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A173EAD">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_Toc13450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3.3.2管理缺陷</w:t>
      </w:r>
      <w:r>
        <w:rPr>
          <w:color w:val="auto"/>
          <w:sz w:val="24"/>
          <w:szCs w:val="24"/>
        </w:rPr>
        <w:tab/>
      </w:r>
      <w:r>
        <w:rPr>
          <w:color w:val="auto"/>
          <w:sz w:val="24"/>
          <w:szCs w:val="24"/>
        </w:rPr>
        <w:fldChar w:fldCharType="begin"/>
      </w:r>
      <w:r>
        <w:rPr>
          <w:color w:val="auto"/>
          <w:sz w:val="24"/>
          <w:szCs w:val="24"/>
        </w:rPr>
        <w:instrText xml:space="preserve"> PAGEREF _Toc13450 \h </w:instrText>
      </w:r>
      <w:r>
        <w:rPr>
          <w:color w:val="auto"/>
          <w:sz w:val="24"/>
          <w:szCs w:val="24"/>
        </w:rPr>
        <w:fldChar w:fldCharType="separate"/>
      </w:r>
      <w:r>
        <w:rPr>
          <w:color w:val="auto"/>
          <w:sz w:val="24"/>
          <w:szCs w:val="24"/>
        </w:rPr>
        <w:t>69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0CD978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_Toc8833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3.3.3 物的不安全状态</w:t>
      </w:r>
      <w:r>
        <w:rPr>
          <w:color w:val="auto"/>
          <w:sz w:val="24"/>
          <w:szCs w:val="24"/>
        </w:rPr>
        <w:tab/>
      </w:r>
      <w:r>
        <w:rPr>
          <w:color w:val="auto"/>
          <w:sz w:val="24"/>
          <w:szCs w:val="24"/>
        </w:rPr>
        <w:fldChar w:fldCharType="begin"/>
      </w:r>
      <w:r>
        <w:rPr>
          <w:color w:val="auto"/>
          <w:sz w:val="24"/>
          <w:szCs w:val="24"/>
        </w:rPr>
        <w:instrText xml:space="preserve"> PAGEREF _Toc8833 \h </w:instrText>
      </w:r>
      <w:r>
        <w:rPr>
          <w:color w:val="auto"/>
          <w:sz w:val="24"/>
          <w:szCs w:val="24"/>
        </w:rPr>
        <w:fldChar w:fldCharType="separate"/>
      </w:r>
      <w:r>
        <w:rPr>
          <w:color w:val="auto"/>
          <w:sz w:val="24"/>
          <w:szCs w:val="24"/>
        </w:rPr>
        <w:t>69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3530286">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_Toc19030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3.4 重大危险源辨识</w:t>
      </w:r>
      <w:r>
        <w:rPr>
          <w:color w:val="auto"/>
          <w:sz w:val="24"/>
          <w:szCs w:val="24"/>
        </w:rPr>
        <w:tab/>
      </w:r>
      <w:r>
        <w:rPr>
          <w:color w:val="auto"/>
          <w:sz w:val="24"/>
          <w:szCs w:val="24"/>
        </w:rPr>
        <w:fldChar w:fldCharType="begin"/>
      </w:r>
      <w:r>
        <w:rPr>
          <w:color w:val="auto"/>
          <w:sz w:val="24"/>
          <w:szCs w:val="24"/>
        </w:rPr>
        <w:instrText xml:space="preserve"> PAGEREF _Toc19030 \h </w:instrText>
      </w:r>
      <w:r>
        <w:rPr>
          <w:color w:val="auto"/>
          <w:sz w:val="24"/>
          <w:szCs w:val="24"/>
        </w:rPr>
        <w:fldChar w:fldCharType="separate"/>
      </w:r>
      <w:r>
        <w:rPr>
          <w:color w:val="auto"/>
          <w:sz w:val="24"/>
          <w:szCs w:val="24"/>
        </w:rPr>
        <w:t>69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456AC6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_Toc23325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3.4.1 辨识依据</w:t>
      </w:r>
      <w:r>
        <w:rPr>
          <w:color w:val="auto"/>
          <w:sz w:val="24"/>
          <w:szCs w:val="24"/>
        </w:rPr>
        <w:tab/>
      </w:r>
      <w:r>
        <w:rPr>
          <w:color w:val="auto"/>
          <w:sz w:val="24"/>
          <w:szCs w:val="24"/>
        </w:rPr>
        <w:fldChar w:fldCharType="begin"/>
      </w:r>
      <w:r>
        <w:rPr>
          <w:color w:val="auto"/>
          <w:sz w:val="24"/>
          <w:szCs w:val="24"/>
        </w:rPr>
        <w:instrText xml:space="preserve"> PAGEREF _Toc23325 \h </w:instrText>
      </w:r>
      <w:r>
        <w:rPr>
          <w:color w:val="auto"/>
          <w:sz w:val="24"/>
          <w:szCs w:val="24"/>
        </w:rPr>
        <w:fldChar w:fldCharType="separate"/>
      </w:r>
      <w:r>
        <w:rPr>
          <w:color w:val="auto"/>
          <w:sz w:val="24"/>
          <w:szCs w:val="24"/>
        </w:rPr>
        <w:t>69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34B6846">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_Toc14246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3.4.2 重大危险源辨识结果</w:t>
      </w:r>
      <w:r>
        <w:rPr>
          <w:color w:val="auto"/>
          <w:sz w:val="24"/>
          <w:szCs w:val="24"/>
        </w:rPr>
        <w:tab/>
      </w:r>
      <w:r>
        <w:rPr>
          <w:color w:val="auto"/>
          <w:sz w:val="24"/>
          <w:szCs w:val="24"/>
        </w:rPr>
        <w:fldChar w:fldCharType="begin"/>
      </w:r>
      <w:r>
        <w:rPr>
          <w:color w:val="auto"/>
          <w:sz w:val="24"/>
          <w:szCs w:val="24"/>
        </w:rPr>
        <w:instrText xml:space="preserve"> PAGEREF _Toc14246 \h </w:instrText>
      </w:r>
      <w:r>
        <w:rPr>
          <w:color w:val="auto"/>
          <w:sz w:val="24"/>
          <w:szCs w:val="24"/>
        </w:rPr>
        <w:fldChar w:fldCharType="separate"/>
      </w:r>
      <w:r>
        <w:rPr>
          <w:color w:val="auto"/>
          <w:sz w:val="24"/>
          <w:szCs w:val="24"/>
        </w:rPr>
        <w:t>70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C48186C">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_Toc15970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3.5主要危险、有害因素分析结果</w:t>
      </w:r>
      <w:r>
        <w:rPr>
          <w:color w:val="auto"/>
          <w:sz w:val="24"/>
          <w:szCs w:val="24"/>
        </w:rPr>
        <w:tab/>
      </w:r>
      <w:r>
        <w:rPr>
          <w:color w:val="auto"/>
          <w:sz w:val="24"/>
          <w:szCs w:val="24"/>
        </w:rPr>
        <w:fldChar w:fldCharType="begin"/>
      </w:r>
      <w:r>
        <w:rPr>
          <w:color w:val="auto"/>
          <w:sz w:val="24"/>
          <w:szCs w:val="24"/>
        </w:rPr>
        <w:instrText xml:space="preserve"> PAGEREF _Toc15970 \h </w:instrText>
      </w:r>
      <w:r>
        <w:rPr>
          <w:color w:val="auto"/>
          <w:sz w:val="24"/>
          <w:szCs w:val="24"/>
        </w:rPr>
        <w:fldChar w:fldCharType="separate"/>
      </w:r>
      <w:r>
        <w:rPr>
          <w:color w:val="auto"/>
          <w:sz w:val="24"/>
          <w:szCs w:val="24"/>
        </w:rPr>
        <w:t>71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E575904">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_Toc14935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3.6坑探工程与现井下开采系统相互影响</w:t>
      </w:r>
      <w:r>
        <w:rPr>
          <w:color w:val="auto"/>
          <w:sz w:val="24"/>
          <w:szCs w:val="24"/>
        </w:rPr>
        <w:tab/>
      </w:r>
      <w:r>
        <w:rPr>
          <w:color w:val="auto"/>
          <w:sz w:val="24"/>
          <w:szCs w:val="24"/>
        </w:rPr>
        <w:fldChar w:fldCharType="begin"/>
      </w:r>
      <w:r>
        <w:rPr>
          <w:color w:val="auto"/>
          <w:sz w:val="24"/>
          <w:szCs w:val="24"/>
        </w:rPr>
        <w:instrText xml:space="preserve"> PAGEREF _Toc14935 \h </w:instrText>
      </w:r>
      <w:r>
        <w:rPr>
          <w:color w:val="auto"/>
          <w:sz w:val="24"/>
          <w:szCs w:val="24"/>
        </w:rPr>
        <w:fldChar w:fldCharType="separate"/>
      </w:r>
      <w:r>
        <w:rPr>
          <w:color w:val="auto"/>
          <w:sz w:val="24"/>
          <w:szCs w:val="24"/>
        </w:rPr>
        <w:t>71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B7CA4E0">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_Toc9834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3.7 重大生产安全事故隐患判定</w:t>
      </w:r>
      <w:r>
        <w:rPr>
          <w:color w:val="auto"/>
          <w:sz w:val="24"/>
          <w:szCs w:val="24"/>
        </w:rPr>
        <w:tab/>
      </w:r>
      <w:r>
        <w:rPr>
          <w:color w:val="auto"/>
          <w:sz w:val="24"/>
          <w:szCs w:val="24"/>
        </w:rPr>
        <w:fldChar w:fldCharType="begin"/>
      </w:r>
      <w:r>
        <w:rPr>
          <w:color w:val="auto"/>
          <w:sz w:val="24"/>
          <w:szCs w:val="24"/>
        </w:rPr>
        <w:instrText xml:space="preserve"> PAGEREF _Toc9834 \h </w:instrText>
      </w:r>
      <w:r>
        <w:rPr>
          <w:color w:val="auto"/>
          <w:sz w:val="24"/>
          <w:szCs w:val="24"/>
        </w:rPr>
        <w:fldChar w:fldCharType="separate"/>
      </w:r>
      <w:r>
        <w:rPr>
          <w:color w:val="auto"/>
          <w:sz w:val="24"/>
          <w:szCs w:val="24"/>
        </w:rPr>
        <w:t>74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5D690C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_Toc20742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3.7.1重大生产安全事故隐患辩识与分析</w:t>
      </w:r>
      <w:r>
        <w:rPr>
          <w:color w:val="auto"/>
          <w:sz w:val="24"/>
          <w:szCs w:val="24"/>
        </w:rPr>
        <w:tab/>
      </w:r>
      <w:r>
        <w:rPr>
          <w:color w:val="auto"/>
          <w:sz w:val="24"/>
          <w:szCs w:val="24"/>
        </w:rPr>
        <w:fldChar w:fldCharType="begin"/>
      </w:r>
      <w:r>
        <w:rPr>
          <w:color w:val="auto"/>
          <w:sz w:val="24"/>
          <w:szCs w:val="24"/>
        </w:rPr>
        <w:instrText xml:space="preserve"> PAGEREF _Toc20742 \h </w:instrText>
      </w:r>
      <w:r>
        <w:rPr>
          <w:color w:val="auto"/>
          <w:sz w:val="24"/>
          <w:szCs w:val="24"/>
        </w:rPr>
        <w:fldChar w:fldCharType="separate"/>
      </w:r>
      <w:r>
        <w:rPr>
          <w:color w:val="auto"/>
          <w:sz w:val="24"/>
          <w:szCs w:val="24"/>
        </w:rPr>
        <w:t>74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63E60D4">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_Toc6310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3.7.2 重大生产安全事故隐患辩识与分析结果</w:t>
      </w:r>
      <w:r>
        <w:rPr>
          <w:color w:val="auto"/>
          <w:sz w:val="24"/>
          <w:szCs w:val="24"/>
        </w:rPr>
        <w:tab/>
      </w:r>
      <w:r>
        <w:rPr>
          <w:color w:val="auto"/>
          <w:sz w:val="24"/>
          <w:szCs w:val="24"/>
        </w:rPr>
        <w:fldChar w:fldCharType="begin"/>
      </w:r>
      <w:r>
        <w:rPr>
          <w:color w:val="auto"/>
          <w:sz w:val="24"/>
          <w:szCs w:val="24"/>
        </w:rPr>
        <w:instrText xml:space="preserve"> PAGEREF _Toc6310 \h </w:instrText>
      </w:r>
      <w:r>
        <w:rPr>
          <w:color w:val="auto"/>
          <w:sz w:val="24"/>
          <w:szCs w:val="24"/>
        </w:rPr>
        <w:fldChar w:fldCharType="separate"/>
      </w:r>
      <w:r>
        <w:rPr>
          <w:color w:val="auto"/>
          <w:sz w:val="24"/>
          <w:szCs w:val="24"/>
        </w:rPr>
        <w:t>78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53A8206">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_Toc28572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4 安全评价方法选择</w:t>
      </w:r>
      <w:r>
        <w:rPr>
          <w:color w:val="auto"/>
          <w:sz w:val="24"/>
          <w:szCs w:val="24"/>
        </w:rPr>
        <w:tab/>
      </w:r>
      <w:r>
        <w:rPr>
          <w:color w:val="auto"/>
          <w:sz w:val="24"/>
          <w:szCs w:val="24"/>
        </w:rPr>
        <w:fldChar w:fldCharType="begin"/>
      </w:r>
      <w:r>
        <w:rPr>
          <w:color w:val="auto"/>
          <w:sz w:val="24"/>
          <w:szCs w:val="24"/>
        </w:rPr>
        <w:instrText xml:space="preserve"> PAGEREF _Toc28572 \h </w:instrText>
      </w:r>
      <w:r>
        <w:rPr>
          <w:color w:val="auto"/>
          <w:sz w:val="24"/>
          <w:szCs w:val="24"/>
        </w:rPr>
        <w:fldChar w:fldCharType="separate"/>
      </w:r>
      <w:r>
        <w:rPr>
          <w:color w:val="auto"/>
          <w:sz w:val="24"/>
          <w:szCs w:val="24"/>
        </w:rPr>
        <w:t>79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21ED0B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_Toc5287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4.1 评价单元的划分</w:t>
      </w:r>
      <w:r>
        <w:rPr>
          <w:color w:val="auto"/>
          <w:sz w:val="24"/>
          <w:szCs w:val="24"/>
        </w:rPr>
        <w:tab/>
      </w:r>
      <w:r>
        <w:rPr>
          <w:color w:val="auto"/>
          <w:sz w:val="24"/>
          <w:szCs w:val="24"/>
        </w:rPr>
        <w:fldChar w:fldCharType="begin"/>
      </w:r>
      <w:r>
        <w:rPr>
          <w:color w:val="auto"/>
          <w:sz w:val="24"/>
          <w:szCs w:val="24"/>
        </w:rPr>
        <w:instrText xml:space="preserve"> PAGEREF _Toc5287 \h </w:instrText>
      </w:r>
      <w:r>
        <w:rPr>
          <w:color w:val="auto"/>
          <w:sz w:val="24"/>
          <w:szCs w:val="24"/>
        </w:rPr>
        <w:fldChar w:fldCharType="separate"/>
      </w:r>
      <w:r>
        <w:rPr>
          <w:color w:val="auto"/>
          <w:sz w:val="24"/>
          <w:szCs w:val="24"/>
        </w:rPr>
        <w:t>79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8AA617B">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_Toc19822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4.2 评价方法选择</w:t>
      </w:r>
      <w:r>
        <w:rPr>
          <w:color w:val="auto"/>
          <w:sz w:val="24"/>
          <w:szCs w:val="24"/>
        </w:rPr>
        <w:tab/>
      </w:r>
      <w:r>
        <w:rPr>
          <w:color w:val="auto"/>
          <w:sz w:val="24"/>
          <w:szCs w:val="24"/>
        </w:rPr>
        <w:fldChar w:fldCharType="begin"/>
      </w:r>
      <w:r>
        <w:rPr>
          <w:color w:val="auto"/>
          <w:sz w:val="24"/>
          <w:szCs w:val="24"/>
        </w:rPr>
        <w:instrText xml:space="preserve"> PAGEREF _Toc19822 \h </w:instrText>
      </w:r>
      <w:r>
        <w:rPr>
          <w:color w:val="auto"/>
          <w:sz w:val="24"/>
          <w:szCs w:val="24"/>
        </w:rPr>
        <w:fldChar w:fldCharType="separate"/>
      </w:r>
      <w:r>
        <w:rPr>
          <w:color w:val="auto"/>
          <w:sz w:val="24"/>
          <w:szCs w:val="24"/>
        </w:rPr>
        <w:t>80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D472BA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_Toc31315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4.2.1 各单元评价方法选择</w:t>
      </w:r>
      <w:r>
        <w:rPr>
          <w:color w:val="auto"/>
          <w:sz w:val="24"/>
          <w:szCs w:val="24"/>
        </w:rPr>
        <w:tab/>
      </w:r>
      <w:r>
        <w:rPr>
          <w:color w:val="auto"/>
          <w:sz w:val="24"/>
          <w:szCs w:val="24"/>
        </w:rPr>
        <w:fldChar w:fldCharType="begin"/>
      </w:r>
      <w:r>
        <w:rPr>
          <w:color w:val="auto"/>
          <w:sz w:val="24"/>
          <w:szCs w:val="24"/>
        </w:rPr>
        <w:instrText xml:space="preserve"> PAGEREF _Toc31315 \h </w:instrText>
      </w:r>
      <w:r>
        <w:rPr>
          <w:color w:val="auto"/>
          <w:sz w:val="24"/>
          <w:szCs w:val="24"/>
        </w:rPr>
        <w:fldChar w:fldCharType="separate"/>
      </w:r>
      <w:r>
        <w:rPr>
          <w:color w:val="auto"/>
          <w:sz w:val="24"/>
          <w:szCs w:val="24"/>
        </w:rPr>
        <w:t>80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8F33C7C">
      <w:pPr>
        <w:pStyle w:val="15"/>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_Toc16677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4.3 评价方法简介</w:t>
      </w:r>
      <w:r>
        <w:rPr>
          <w:color w:val="auto"/>
          <w:sz w:val="24"/>
          <w:szCs w:val="24"/>
        </w:rPr>
        <w:tab/>
      </w:r>
      <w:r>
        <w:rPr>
          <w:color w:val="auto"/>
          <w:sz w:val="24"/>
          <w:szCs w:val="24"/>
        </w:rPr>
        <w:fldChar w:fldCharType="begin"/>
      </w:r>
      <w:r>
        <w:rPr>
          <w:color w:val="auto"/>
          <w:sz w:val="24"/>
          <w:szCs w:val="24"/>
        </w:rPr>
        <w:instrText xml:space="preserve"> PAGEREF _Toc16677 \h </w:instrText>
      </w:r>
      <w:r>
        <w:rPr>
          <w:color w:val="auto"/>
          <w:sz w:val="24"/>
          <w:szCs w:val="24"/>
        </w:rPr>
        <w:fldChar w:fldCharType="separate"/>
      </w:r>
      <w:r>
        <w:rPr>
          <w:color w:val="auto"/>
          <w:sz w:val="24"/>
          <w:szCs w:val="24"/>
        </w:rPr>
        <w:t>80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0B7B1A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_Toc19106 </w:instrText>
      </w:r>
      <w:r>
        <w:rPr>
          <w:rFonts w:hint="eastAsia" w:asciiTheme="minorEastAsia" w:hAnsiTheme="minorEastAsia" w:eastAsiaTheme="minorEastAsia" w:cstheme="minorEastAsia"/>
          <w:bCs/>
          <w:color w:val="auto"/>
          <w:sz w:val="24"/>
          <w:szCs w:val="24"/>
        </w:rPr>
        <w:fldChar w:fldCharType="separate"/>
      </w:r>
      <w:r>
        <w:rPr>
          <w:color w:val="auto"/>
          <w:sz w:val="24"/>
          <w:szCs w:val="24"/>
        </w:rPr>
        <w:t>4.3.1</w:t>
      </w:r>
      <w:r>
        <w:rPr>
          <w:rFonts w:hint="eastAsia"/>
          <w:color w:val="auto"/>
          <w:sz w:val="24"/>
          <w:szCs w:val="24"/>
        </w:rPr>
        <w:t>安全检查表分析法</w:t>
      </w:r>
      <w:r>
        <w:rPr>
          <w:color w:val="auto"/>
          <w:sz w:val="24"/>
          <w:szCs w:val="24"/>
        </w:rPr>
        <w:tab/>
      </w:r>
      <w:r>
        <w:rPr>
          <w:color w:val="auto"/>
          <w:sz w:val="24"/>
          <w:szCs w:val="24"/>
        </w:rPr>
        <w:fldChar w:fldCharType="begin"/>
      </w:r>
      <w:r>
        <w:rPr>
          <w:color w:val="auto"/>
          <w:sz w:val="24"/>
          <w:szCs w:val="24"/>
        </w:rPr>
        <w:instrText xml:space="preserve"> PAGEREF _Toc19106 \h </w:instrText>
      </w:r>
      <w:r>
        <w:rPr>
          <w:color w:val="auto"/>
          <w:sz w:val="24"/>
          <w:szCs w:val="24"/>
        </w:rPr>
        <w:fldChar w:fldCharType="separate"/>
      </w:r>
      <w:r>
        <w:rPr>
          <w:color w:val="auto"/>
          <w:sz w:val="24"/>
          <w:szCs w:val="24"/>
        </w:rPr>
        <w:t>80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2C4880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_Toc257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4.3.2 作业条件危险性分析</w:t>
      </w:r>
      <w:r>
        <w:rPr>
          <w:color w:val="auto"/>
          <w:sz w:val="24"/>
          <w:szCs w:val="24"/>
        </w:rPr>
        <w:tab/>
      </w:r>
      <w:r>
        <w:rPr>
          <w:color w:val="auto"/>
          <w:sz w:val="24"/>
          <w:szCs w:val="24"/>
        </w:rPr>
        <w:fldChar w:fldCharType="begin"/>
      </w:r>
      <w:r>
        <w:rPr>
          <w:color w:val="auto"/>
          <w:sz w:val="24"/>
          <w:szCs w:val="24"/>
        </w:rPr>
        <w:instrText xml:space="preserve"> PAGEREF _Toc257 \h </w:instrText>
      </w:r>
      <w:r>
        <w:rPr>
          <w:color w:val="auto"/>
          <w:sz w:val="24"/>
          <w:szCs w:val="24"/>
        </w:rPr>
        <w:fldChar w:fldCharType="separate"/>
      </w:r>
      <w:r>
        <w:rPr>
          <w:color w:val="auto"/>
          <w:sz w:val="24"/>
          <w:szCs w:val="24"/>
        </w:rPr>
        <w:t>82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0415D03">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_Toc24402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 安全评价</w:t>
      </w:r>
      <w:r>
        <w:rPr>
          <w:color w:val="auto"/>
          <w:sz w:val="24"/>
          <w:szCs w:val="24"/>
        </w:rPr>
        <w:tab/>
      </w:r>
      <w:r>
        <w:rPr>
          <w:color w:val="auto"/>
          <w:sz w:val="24"/>
          <w:szCs w:val="24"/>
        </w:rPr>
        <w:fldChar w:fldCharType="begin"/>
      </w:r>
      <w:r>
        <w:rPr>
          <w:color w:val="auto"/>
          <w:sz w:val="24"/>
          <w:szCs w:val="24"/>
        </w:rPr>
        <w:instrText xml:space="preserve"> PAGEREF _Toc24402 \h </w:instrText>
      </w:r>
      <w:r>
        <w:rPr>
          <w:color w:val="auto"/>
          <w:sz w:val="24"/>
          <w:szCs w:val="24"/>
        </w:rPr>
        <w:fldChar w:fldCharType="separate"/>
      </w:r>
      <w:r>
        <w:rPr>
          <w:color w:val="auto"/>
          <w:sz w:val="24"/>
          <w:szCs w:val="24"/>
        </w:rPr>
        <w:t>84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AFBB07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_Toc4673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5.1 综合管理单元</w:t>
      </w:r>
      <w:r>
        <w:rPr>
          <w:color w:val="auto"/>
          <w:sz w:val="24"/>
          <w:szCs w:val="24"/>
        </w:rPr>
        <w:tab/>
      </w:r>
      <w:r>
        <w:rPr>
          <w:color w:val="auto"/>
          <w:sz w:val="24"/>
          <w:szCs w:val="24"/>
        </w:rPr>
        <w:fldChar w:fldCharType="begin"/>
      </w:r>
      <w:r>
        <w:rPr>
          <w:color w:val="auto"/>
          <w:sz w:val="24"/>
          <w:szCs w:val="24"/>
        </w:rPr>
        <w:instrText xml:space="preserve"> PAGEREF _Toc4673 \h </w:instrText>
      </w:r>
      <w:r>
        <w:rPr>
          <w:color w:val="auto"/>
          <w:sz w:val="24"/>
          <w:szCs w:val="24"/>
        </w:rPr>
        <w:fldChar w:fldCharType="separate"/>
      </w:r>
      <w:r>
        <w:rPr>
          <w:color w:val="auto"/>
          <w:sz w:val="24"/>
          <w:szCs w:val="24"/>
        </w:rPr>
        <w:t>84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3D929ED">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_Toc22842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5.2 开采综合单元</w:t>
      </w:r>
      <w:r>
        <w:rPr>
          <w:color w:val="auto"/>
          <w:sz w:val="24"/>
          <w:szCs w:val="24"/>
        </w:rPr>
        <w:tab/>
      </w:r>
      <w:r>
        <w:rPr>
          <w:color w:val="auto"/>
          <w:sz w:val="24"/>
          <w:szCs w:val="24"/>
        </w:rPr>
        <w:fldChar w:fldCharType="begin"/>
      </w:r>
      <w:r>
        <w:rPr>
          <w:color w:val="auto"/>
          <w:sz w:val="24"/>
          <w:szCs w:val="24"/>
        </w:rPr>
        <w:instrText xml:space="preserve"> PAGEREF _Toc22842 \h </w:instrText>
      </w:r>
      <w:r>
        <w:rPr>
          <w:color w:val="auto"/>
          <w:sz w:val="24"/>
          <w:szCs w:val="24"/>
        </w:rPr>
        <w:fldChar w:fldCharType="separate"/>
      </w:r>
      <w:r>
        <w:rPr>
          <w:color w:val="auto"/>
          <w:sz w:val="24"/>
          <w:szCs w:val="24"/>
        </w:rPr>
        <w:t>90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25178D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_Toc18609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5.3 爆破单元</w:t>
      </w:r>
      <w:r>
        <w:rPr>
          <w:color w:val="auto"/>
          <w:sz w:val="24"/>
          <w:szCs w:val="24"/>
        </w:rPr>
        <w:tab/>
      </w:r>
      <w:r>
        <w:rPr>
          <w:color w:val="auto"/>
          <w:sz w:val="24"/>
          <w:szCs w:val="24"/>
        </w:rPr>
        <w:fldChar w:fldCharType="begin"/>
      </w:r>
      <w:r>
        <w:rPr>
          <w:color w:val="auto"/>
          <w:sz w:val="24"/>
          <w:szCs w:val="24"/>
        </w:rPr>
        <w:instrText xml:space="preserve"> PAGEREF _Toc18609 \h </w:instrText>
      </w:r>
      <w:r>
        <w:rPr>
          <w:color w:val="auto"/>
          <w:sz w:val="24"/>
          <w:szCs w:val="24"/>
        </w:rPr>
        <w:fldChar w:fldCharType="separate"/>
      </w:r>
      <w:r>
        <w:rPr>
          <w:color w:val="auto"/>
          <w:sz w:val="24"/>
          <w:szCs w:val="24"/>
        </w:rPr>
        <w:t>96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FDF119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_Toc16921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5.4 矿井通风与防尘单元</w:t>
      </w:r>
      <w:r>
        <w:rPr>
          <w:color w:val="auto"/>
          <w:sz w:val="24"/>
          <w:szCs w:val="24"/>
        </w:rPr>
        <w:tab/>
      </w:r>
      <w:r>
        <w:rPr>
          <w:color w:val="auto"/>
          <w:sz w:val="24"/>
          <w:szCs w:val="24"/>
        </w:rPr>
        <w:fldChar w:fldCharType="begin"/>
      </w:r>
      <w:r>
        <w:rPr>
          <w:color w:val="auto"/>
          <w:sz w:val="24"/>
          <w:szCs w:val="24"/>
        </w:rPr>
        <w:instrText xml:space="preserve"> PAGEREF _Toc16921 \h </w:instrText>
      </w:r>
      <w:r>
        <w:rPr>
          <w:color w:val="auto"/>
          <w:sz w:val="24"/>
          <w:szCs w:val="24"/>
        </w:rPr>
        <w:fldChar w:fldCharType="separate"/>
      </w:r>
      <w:r>
        <w:rPr>
          <w:color w:val="auto"/>
          <w:sz w:val="24"/>
          <w:szCs w:val="24"/>
        </w:rPr>
        <w:t>98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6FFF7D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_Toc32679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5.5 电气安全单元评价</w:t>
      </w:r>
      <w:r>
        <w:rPr>
          <w:color w:val="auto"/>
          <w:sz w:val="24"/>
          <w:szCs w:val="24"/>
        </w:rPr>
        <w:tab/>
      </w:r>
      <w:r>
        <w:rPr>
          <w:color w:val="auto"/>
          <w:sz w:val="24"/>
          <w:szCs w:val="24"/>
        </w:rPr>
        <w:fldChar w:fldCharType="begin"/>
      </w:r>
      <w:r>
        <w:rPr>
          <w:color w:val="auto"/>
          <w:sz w:val="24"/>
          <w:szCs w:val="24"/>
        </w:rPr>
        <w:instrText xml:space="preserve"> PAGEREF _Toc32679 \h </w:instrText>
      </w:r>
      <w:r>
        <w:rPr>
          <w:color w:val="auto"/>
          <w:sz w:val="24"/>
          <w:szCs w:val="24"/>
        </w:rPr>
        <w:fldChar w:fldCharType="separate"/>
      </w:r>
      <w:r>
        <w:rPr>
          <w:color w:val="auto"/>
          <w:sz w:val="24"/>
          <w:szCs w:val="24"/>
        </w:rPr>
        <w:t>100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1DFEA54">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_Toc1568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5.6 运输单元</w:t>
      </w:r>
      <w:r>
        <w:rPr>
          <w:color w:val="auto"/>
          <w:sz w:val="24"/>
          <w:szCs w:val="24"/>
        </w:rPr>
        <w:tab/>
      </w:r>
      <w:r>
        <w:rPr>
          <w:color w:val="auto"/>
          <w:sz w:val="24"/>
          <w:szCs w:val="24"/>
        </w:rPr>
        <w:fldChar w:fldCharType="begin"/>
      </w:r>
      <w:r>
        <w:rPr>
          <w:color w:val="auto"/>
          <w:sz w:val="24"/>
          <w:szCs w:val="24"/>
        </w:rPr>
        <w:instrText xml:space="preserve"> PAGEREF _Toc1568 \h </w:instrText>
      </w:r>
      <w:r>
        <w:rPr>
          <w:color w:val="auto"/>
          <w:sz w:val="24"/>
          <w:szCs w:val="24"/>
        </w:rPr>
        <w:fldChar w:fldCharType="separate"/>
      </w:r>
      <w:r>
        <w:rPr>
          <w:color w:val="auto"/>
          <w:sz w:val="24"/>
          <w:szCs w:val="24"/>
        </w:rPr>
        <w:t>101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42DF94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_Toc16378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5.7 防排水及防雷电单元</w:t>
      </w:r>
      <w:r>
        <w:rPr>
          <w:color w:val="auto"/>
          <w:sz w:val="24"/>
          <w:szCs w:val="24"/>
        </w:rPr>
        <w:tab/>
      </w:r>
      <w:r>
        <w:rPr>
          <w:color w:val="auto"/>
          <w:sz w:val="24"/>
          <w:szCs w:val="24"/>
        </w:rPr>
        <w:fldChar w:fldCharType="begin"/>
      </w:r>
      <w:r>
        <w:rPr>
          <w:color w:val="auto"/>
          <w:sz w:val="24"/>
          <w:szCs w:val="24"/>
        </w:rPr>
        <w:instrText xml:space="preserve"> PAGEREF _Toc16378 \h </w:instrText>
      </w:r>
      <w:r>
        <w:rPr>
          <w:color w:val="auto"/>
          <w:sz w:val="24"/>
          <w:szCs w:val="24"/>
        </w:rPr>
        <w:fldChar w:fldCharType="separate"/>
      </w:r>
      <w:r>
        <w:rPr>
          <w:color w:val="auto"/>
          <w:sz w:val="24"/>
          <w:szCs w:val="24"/>
        </w:rPr>
        <w:t>107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667B4F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_Toc19079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5.8 井下防灭火单元</w:t>
      </w:r>
      <w:r>
        <w:rPr>
          <w:color w:val="auto"/>
          <w:sz w:val="24"/>
          <w:szCs w:val="24"/>
        </w:rPr>
        <w:tab/>
      </w:r>
      <w:r>
        <w:rPr>
          <w:color w:val="auto"/>
          <w:sz w:val="24"/>
          <w:szCs w:val="24"/>
        </w:rPr>
        <w:fldChar w:fldCharType="begin"/>
      </w:r>
      <w:r>
        <w:rPr>
          <w:color w:val="auto"/>
          <w:sz w:val="24"/>
          <w:szCs w:val="24"/>
        </w:rPr>
        <w:instrText xml:space="preserve"> PAGEREF _Toc19079 \h </w:instrText>
      </w:r>
      <w:r>
        <w:rPr>
          <w:color w:val="auto"/>
          <w:sz w:val="24"/>
          <w:szCs w:val="24"/>
        </w:rPr>
        <w:fldChar w:fldCharType="separate"/>
      </w:r>
      <w:r>
        <w:rPr>
          <w:color w:val="auto"/>
          <w:sz w:val="24"/>
          <w:szCs w:val="24"/>
        </w:rPr>
        <w:t>110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96C920B">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_Toc25281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5.9 废石场单元</w:t>
      </w:r>
      <w:r>
        <w:rPr>
          <w:color w:val="auto"/>
          <w:sz w:val="24"/>
          <w:szCs w:val="24"/>
        </w:rPr>
        <w:tab/>
      </w:r>
      <w:r>
        <w:rPr>
          <w:color w:val="auto"/>
          <w:sz w:val="24"/>
          <w:szCs w:val="24"/>
        </w:rPr>
        <w:fldChar w:fldCharType="begin"/>
      </w:r>
      <w:r>
        <w:rPr>
          <w:color w:val="auto"/>
          <w:sz w:val="24"/>
          <w:szCs w:val="24"/>
        </w:rPr>
        <w:instrText xml:space="preserve"> PAGEREF _Toc25281 \h </w:instrText>
      </w:r>
      <w:r>
        <w:rPr>
          <w:color w:val="auto"/>
          <w:sz w:val="24"/>
          <w:szCs w:val="24"/>
        </w:rPr>
        <w:fldChar w:fldCharType="separate"/>
      </w:r>
      <w:r>
        <w:rPr>
          <w:color w:val="auto"/>
          <w:sz w:val="24"/>
          <w:szCs w:val="24"/>
        </w:rPr>
        <w:t>111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243E7C5">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_Toc4575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5.10 供气单元</w:t>
      </w:r>
      <w:r>
        <w:rPr>
          <w:color w:val="auto"/>
          <w:sz w:val="24"/>
          <w:szCs w:val="24"/>
        </w:rPr>
        <w:tab/>
      </w:r>
      <w:r>
        <w:rPr>
          <w:color w:val="auto"/>
          <w:sz w:val="24"/>
          <w:szCs w:val="24"/>
        </w:rPr>
        <w:fldChar w:fldCharType="begin"/>
      </w:r>
      <w:r>
        <w:rPr>
          <w:color w:val="auto"/>
          <w:sz w:val="24"/>
          <w:szCs w:val="24"/>
        </w:rPr>
        <w:instrText xml:space="preserve"> PAGEREF _Toc4575 \h </w:instrText>
      </w:r>
      <w:r>
        <w:rPr>
          <w:color w:val="auto"/>
          <w:sz w:val="24"/>
          <w:szCs w:val="24"/>
        </w:rPr>
        <w:fldChar w:fldCharType="separate"/>
      </w:r>
      <w:r>
        <w:rPr>
          <w:color w:val="auto"/>
          <w:sz w:val="24"/>
          <w:szCs w:val="24"/>
        </w:rPr>
        <w:t>112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E401221">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_Toc32464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5.11 安全避险“六大系统”单元</w:t>
      </w:r>
      <w:r>
        <w:rPr>
          <w:color w:val="auto"/>
          <w:sz w:val="24"/>
          <w:szCs w:val="24"/>
        </w:rPr>
        <w:tab/>
      </w:r>
      <w:r>
        <w:rPr>
          <w:color w:val="auto"/>
          <w:sz w:val="24"/>
          <w:szCs w:val="24"/>
        </w:rPr>
        <w:fldChar w:fldCharType="begin"/>
      </w:r>
      <w:r>
        <w:rPr>
          <w:color w:val="auto"/>
          <w:sz w:val="24"/>
          <w:szCs w:val="24"/>
        </w:rPr>
        <w:instrText xml:space="preserve"> PAGEREF _Toc32464 \h </w:instrText>
      </w:r>
      <w:r>
        <w:rPr>
          <w:color w:val="auto"/>
          <w:sz w:val="24"/>
          <w:szCs w:val="24"/>
        </w:rPr>
        <w:fldChar w:fldCharType="separate"/>
      </w:r>
      <w:r>
        <w:rPr>
          <w:color w:val="auto"/>
          <w:sz w:val="24"/>
          <w:szCs w:val="24"/>
        </w:rPr>
        <w:t>113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C1DFE89">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_Toc25615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5.12 综合评价</w:t>
      </w:r>
      <w:r>
        <w:rPr>
          <w:color w:val="auto"/>
          <w:sz w:val="24"/>
          <w:szCs w:val="24"/>
        </w:rPr>
        <w:tab/>
      </w:r>
      <w:r>
        <w:rPr>
          <w:color w:val="auto"/>
          <w:sz w:val="24"/>
          <w:szCs w:val="24"/>
        </w:rPr>
        <w:fldChar w:fldCharType="begin"/>
      </w:r>
      <w:r>
        <w:rPr>
          <w:color w:val="auto"/>
          <w:sz w:val="24"/>
          <w:szCs w:val="24"/>
        </w:rPr>
        <w:instrText xml:space="preserve"> PAGEREF _Toc25615 \h </w:instrText>
      </w:r>
      <w:r>
        <w:rPr>
          <w:color w:val="auto"/>
          <w:sz w:val="24"/>
          <w:szCs w:val="24"/>
        </w:rPr>
        <w:fldChar w:fldCharType="separate"/>
      </w:r>
      <w:r>
        <w:rPr>
          <w:color w:val="auto"/>
          <w:sz w:val="24"/>
          <w:szCs w:val="24"/>
        </w:rPr>
        <w:t>117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5515418">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_Toc8011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 安全管理对策措施</w:t>
      </w:r>
      <w:r>
        <w:rPr>
          <w:color w:val="auto"/>
          <w:sz w:val="24"/>
          <w:szCs w:val="24"/>
        </w:rPr>
        <w:tab/>
      </w:r>
      <w:r>
        <w:rPr>
          <w:color w:val="auto"/>
          <w:sz w:val="24"/>
          <w:szCs w:val="24"/>
        </w:rPr>
        <w:fldChar w:fldCharType="begin"/>
      </w:r>
      <w:r>
        <w:rPr>
          <w:color w:val="auto"/>
          <w:sz w:val="24"/>
          <w:szCs w:val="24"/>
        </w:rPr>
        <w:instrText xml:space="preserve"> PAGEREF _Toc8011 \h </w:instrText>
      </w:r>
      <w:r>
        <w:rPr>
          <w:color w:val="auto"/>
          <w:sz w:val="24"/>
          <w:szCs w:val="24"/>
        </w:rPr>
        <w:fldChar w:fldCharType="separate"/>
      </w:r>
      <w:r>
        <w:rPr>
          <w:color w:val="auto"/>
          <w:sz w:val="24"/>
          <w:szCs w:val="24"/>
        </w:rPr>
        <w:t>120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46071FE">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_Toc7962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6.1 安全管理对策措施</w:t>
      </w:r>
      <w:r>
        <w:rPr>
          <w:color w:val="auto"/>
          <w:sz w:val="24"/>
          <w:szCs w:val="24"/>
        </w:rPr>
        <w:tab/>
      </w:r>
      <w:r>
        <w:rPr>
          <w:color w:val="auto"/>
          <w:sz w:val="24"/>
          <w:szCs w:val="24"/>
        </w:rPr>
        <w:fldChar w:fldCharType="begin"/>
      </w:r>
      <w:r>
        <w:rPr>
          <w:color w:val="auto"/>
          <w:sz w:val="24"/>
          <w:szCs w:val="24"/>
        </w:rPr>
        <w:instrText xml:space="preserve"> PAGEREF _Toc7962 \h </w:instrText>
      </w:r>
      <w:r>
        <w:rPr>
          <w:color w:val="auto"/>
          <w:sz w:val="24"/>
          <w:szCs w:val="24"/>
        </w:rPr>
        <w:fldChar w:fldCharType="separate"/>
      </w:r>
      <w:r>
        <w:rPr>
          <w:color w:val="auto"/>
          <w:sz w:val="24"/>
          <w:szCs w:val="24"/>
        </w:rPr>
        <w:t>120</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121DE5D">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_Toc29654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6.2 爆破安全对策措施</w:t>
      </w:r>
      <w:r>
        <w:rPr>
          <w:color w:val="auto"/>
          <w:sz w:val="24"/>
          <w:szCs w:val="24"/>
        </w:rPr>
        <w:tab/>
      </w:r>
      <w:r>
        <w:rPr>
          <w:color w:val="auto"/>
          <w:sz w:val="24"/>
          <w:szCs w:val="24"/>
        </w:rPr>
        <w:fldChar w:fldCharType="begin"/>
      </w:r>
      <w:r>
        <w:rPr>
          <w:color w:val="auto"/>
          <w:sz w:val="24"/>
          <w:szCs w:val="24"/>
        </w:rPr>
        <w:instrText xml:space="preserve"> PAGEREF _Toc29654 \h </w:instrText>
      </w:r>
      <w:r>
        <w:rPr>
          <w:color w:val="auto"/>
          <w:sz w:val="24"/>
          <w:szCs w:val="24"/>
        </w:rPr>
        <w:fldChar w:fldCharType="separate"/>
      </w:r>
      <w:r>
        <w:rPr>
          <w:color w:val="auto"/>
          <w:sz w:val="24"/>
          <w:szCs w:val="24"/>
        </w:rPr>
        <w:t>121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653923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_Toc32537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6.3 防坍塌安全对策措施</w:t>
      </w:r>
      <w:r>
        <w:rPr>
          <w:color w:val="auto"/>
          <w:sz w:val="24"/>
          <w:szCs w:val="24"/>
        </w:rPr>
        <w:tab/>
      </w:r>
      <w:r>
        <w:rPr>
          <w:color w:val="auto"/>
          <w:sz w:val="24"/>
          <w:szCs w:val="24"/>
        </w:rPr>
        <w:fldChar w:fldCharType="begin"/>
      </w:r>
      <w:r>
        <w:rPr>
          <w:color w:val="auto"/>
          <w:sz w:val="24"/>
          <w:szCs w:val="24"/>
        </w:rPr>
        <w:instrText xml:space="preserve"> PAGEREF _Toc32537 \h </w:instrText>
      </w:r>
      <w:r>
        <w:rPr>
          <w:color w:val="auto"/>
          <w:sz w:val="24"/>
          <w:szCs w:val="24"/>
        </w:rPr>
        <w:fldChar w:fldCharType="separate"/>
      </w:r>
      <w:r>
        <w:rPr>
          <w:color w:val="auto"/>
          <w:sz w:val="24"/>
          <w:szCs w:val="24"/>
        </w:rPr>
        <w:t>121</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5E9639C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_Toc28445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6.4 防中毒、窒息安全对策措施</w:t>
      </w:r>
      <w:r>
        <w:rPr>
          <w:color w:val="auto"/>
          <w:sz w:val="24"/>
          <w:szCs w:val="24"/>
        </w:rPr>
        <w:tab/>
      </w:r>
      <w:r>
        <w:rPr>
          <w:color w:val="auto"/>
          <w:sz w:val="24"/>
          <w:szCs w:val="24"/>
        </w:rPr>
        <w:fldChar w:fldCharType="begin"/>
      </w:r>
      <w:r>
        <w:rPr>
          <w:color w:val="auto"/>
          <w:sz w:val="24"/>
          <w:szCs w:val="24"/>
        </w:rPr>
        <w:instrText xml:space="preserve"> PAGEREF _Toc28445 \h </w:instrText>
      </w:r>
      <w:r>
        <w:rPr>
          <w:color w:val="auto"/>
          <w:sz w:val="24"/>
          <w:szCs w:val="24"/>
        </w:rPr>
        <w:fldChar w:fldCharType="separate"/>
      </w:r>
      <w:r>
        <w:rPr>
          <w:color w:val="auto"/>
          <w:sz w:val="24"/>
          <w:szCs w:val="24"/>
        </w:rPr>
        <w:t>122</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4173D86">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_Toc7957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6.5 防高处坠落安全对策措施</w:t>
      </w:r>
      <w:r>
        <w:rPr>
          <w:color w:val="auto"/>
          <w:sz w:val="24"/>
          <w:szCs w:val="24"/>
        </w:rPr>
        <w:tab/>
      </w:r>
      <w:r>
        <w:rPr>
          <w:color w:val="auto"/>
          <w:sz w:val="24"/>
          <w:szCs w:val="24"/>
        </w:rPr>
        <w:fldChar w:fldCharType="begin"/>
      </w:r>
      <w:r>
        <w:rPr>
          <w:color w:val="auto"/>
          <w:sz w:val="24"/>
          <w:szCs w:val="24"/>
        </w:rPr>
        <w:instrText xml:space="preserve"> PAGEREF _Toc7957 \h </w:instrText>
      </w:r>
      <w:r>
        <w:rPr>
          <w:color w:val="auto"/>
          <w:sz w:val="24"/>
          <w:szCs w:val="24"/>
        </w:rPr>
        <w:fldChar w:fldCharType="separate"/>
      </w:r>
      <w:r>
        <w:rPr>
          <w:color w:val="auto"/>
          <w:sz w:val="24"/>
          <w:szCs w:val="24"/>
        </w:rPr>
        <w:t>123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6DEF7EC">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_Toc11984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6.6 防火灾安全对策措施</w:t>
      </w:r>
      <w:r>
        <w:rPr>
          <w:color w:val="auto"/>
          <w:sz w:val="24"/>
          <w:szCs w:val="24"/>
        </w:rPr>
        <w:tab/>
      </w:r>
      <w:r>
        <w:rPr>
          <w:color w:val="auto"/>
          <w:sz w:val="24"/>
          <w:szCs w:val="24"/>
        </w:rPr>
        <w:fldChar w:fldCharType="begin"/>
      </w:r>
      <w:r>
        <w:rPr>
          <w:color w:val="auto"/>
          <w:sz w:val="24"/>
          <w:szCs w:val="24"/>
        </w:rPr>
        <w:instrText xml:space="preserve"> PAGEREF _Toc11984 \h </w:instrText>
      </w:r>
      <w:r>
        <w:rPr>
          <w:color w:val="auto"/>
          <w:sz w:val="24"/>
          <w:szCs w:val="24"/>
        </w:rPr>
        <w:fldChar w:fldCharType="separate"/>
      </w:r>
      <w:r>
        <w:rPr>
          <w:color w:val="auto"/>
          <w:sz w:val="24"/>
          <w:szCs w:val="24"/>
        </w:rPr>
        <w:t>123</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F61EF18">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_Toc421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6.7 防触电安全对策措施</w:t>
      </w:r>
      <w:r>
        <w:rPr>
          <w:color w:val="auto"/>
          <w:sz w:val="24"/>
          <w:szCs w:val="24"/>
        </w:rPr>
        <w:tab/>
      </w:r>
      <w:r>
        <w:rPr>
          <w:color w:val="auto"/>
          <w:sz w:val="24"/>
          <w:szCs w:val="24"/>
        </w:rPr>
        <w:fldChar w:fldCharType="begin"/>
      </w:r>
      <w:r>
        <w:rPr>
          <w:color w:val="auto"/>
          <w:sz w:val="24"/>
          <w:szCs w:val="24"/>
        </w:rPr>
        <w:instrText xml:space="preserve"> PAGEREF _Toc421 \h </w:instrText>
      </w:r>
      <w:r>
        <w:rPr>
          <w:color w:val="auto"/>
          <w:sz w:val="24"/>
          <w:szCs w:val="24"/>
        </w:rPr>
        <w:fldChar w:fldCharType="separate"/>
      </w:r>
      <w:r>
        <w:rPr>
          <w:color w:val="auto"/>
          <w:sz w:val="24"/>
          <w:szCs w:val="24"/>
        </w:rPr>
        <w:t>124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02F71F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_Toc8261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6.8 防厂(场)内车辆致害安全对策措施</w:t>
      </w:r>
      <w:r>
        <w:rPr>
          <w:color w:val="auto"/>
          <w:sz w:val="24"/>
          <w:szCs w:val="24"/>
        </w:rPr>
        <w:tab/>
      </w:r>
      <w:r>
        <w:rPr>
          <w:color w:val="auto"/>
          <w:sz w:val="24"/>
          <w:szCs w:val="24"/>
        </w:rPr>
        <w:fldChar w:fldCharType="begin"/>
      </w:r>
      <w:r>
        <w:rPr>
          <w:color w:val="auto"/>
          <w:sz w:val="24"/>
          <w:szCs w:val="24"/>
        </w:rPr>
        <w:instrText xml:space="preserve"> PAGEREF _Toc8261 \h </w:instrText>
      </w:r>
      <w:r>
        <w:rPr>
          <w:color w:val="auto"/>
          <w:sz w:val="24"/>
          <w:szCs w:val="24"/>
        </w:rPr>
        <w:fldChar w:fldCharType="separate"/>
      </w:r>
      <w:r>
        <w:rPr>
          <w:color w:val="auto"/>
          <w:sz w:val="24"/>
          <w:szCs w:val="24"/>
        </w:rPr>
        <w:t>124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190076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_Toc26488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6.9 防容器爆炸安全对策措施</w:t>
      </w:r>
      <w:r>
        <w:rPr>
          <w:color w:val="auto"/>
          <w:sz w:val="24"/>
          <w:szCs w:val="24"/>
        </w:rPr>
        <w:tab/>
      </w:r>
      <w:r>
        <w:rPr>
          <w:color w:val="auto"/>
          <w:sz w:val="24"/>
          <w:szCs w:val="24"/>
        </w:rPr>
        <w:fldChar w:fldCharType="begin"/>
      </w:r>
      <w:r>
        <w:rPr>
          <w:color w:val="auto"/>
          <w:sz w:val="24"/>
          <w:szCs w:val="24"/>
        </w:rPr>
        <w:instrText xml:space="preserve"> PAGEREF _Toc26488 \h </w:instrText>
      </w:r>
      <w:r>
        <w:rPr>
          <w:color w:val="auto"/>
          <w:sz w:val="24"/>
          <w:szCs w:val="24"/>
        </w:rPr>
        <w:fldChar w:fldCharType="separate"/>
      </w:r>
      <w:r>
        <w:rPr>
          <w:color w:val="auto"/>
          <w:sz w:val="24"/>
          <w:szCs w:val="24"/>
        </w:rPr>
        <w:t>124</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34396BE">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_Toc12123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6.10 防水害安全对策措施</w:t>
      </w:r>
      <w:r>
        <w:rPr>
          <w:color w:val="auto"/>
          <w:sz w:val="24"/>
          <w:szCs w:val="24"/>
        </w:rPr>
        <w:tab/>
      </w:r>
      <w:r>
        <w:rPr>
          <w:color w:val="auto"/>
          <w:sz w:val="24"/>
          <w:szCs w:val="24"/>
        </w:rPr>
        <w:fldChar w:fldCharType="begin"/>
      </w:r>
      <w:r>
        <w:rPr>
          <w:color w:val="auto"/>
          <w:sz w:val="24"/>
          <w:szCs w:val="24"/>
        </w:rPr>
        <w:instrText xml:space="preserve"> PAGEREF _Toc12123 \h </w:instrText>
      </w:r>
      <w:r>
        <w:rPr>
          <w:color w:val="auto"/>
          <w:sz w:val="24"/>
          <w:szCs w:val="24"/>
        </w:rPr>
        <w:fldChar w:fldCharType="separate"/>
      </w:r>
      <w:r>
        <w:rPr>
          <w:color w:val="auto"/>
          <w:sz w:val="24"/>
          <w:szCs w:val="24"/>
        </w:rPr>
        <w:t>125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121E4F10">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_Toc11058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6.11 废石场安全对策措施</w:t>
      </w:r>
      <w:r>
        <w:rPr>
          <w:color w:val="auto"/>
          <w:sz w:val="24"/>
          <w:szCs w:val="24"/>
        </w:rPr>
        <w:tab/>
      </w:r>
      <w:r>
        <w:rPr>
          <w:color w:val="auto"/>
          <w:sz w:val="24"/>
          <w:szCs w:val="24"/>
        </w:rPr>
        <w:fldChar w:fldCharType="begin"/>
      </w:r>
      <w:r>
        <w:rPr>
          <w:color w:val="auto"/>
          <w:sz w:val="24"/>
          <w:szCs w:val="24"/>
        </w:rPr>
        <w:instrText xml:space="preserve"> PAGEREF _Toc11058 \h </w:instrText>
      </w:r>
      <w:r>
        <w:rPr>
          <w:color w:val="auto"/>
          <w:sz w:val="24"/>
          <w:szCs w:val="24"/>
        </w:rPr>
        <w:fldChar w:fldCharType="separate"/>
      </w:r>
      <w:r>
        <w:rPr>
          <w:color w:val="auto"/>
          <w:sz w:val="24"/>
          <w:szCs w:val="24"/>
        </w:rPr>
        <w:t>125</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0458B16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_Toc31065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6.12 防粉尘危害安全对策措施</w:t>
      </w:r>
      <w:r>
        <w:rPr>
          <w:color w:val="auto"/>
          <w:sz w:val="24"/>
          <w:szCs w:val="24"/>
        </w:rPr>
        <w:tab/>
      </w:r>
      <w:r>
        <w:rPr>
          <w:color w:val="auto"/>
          <w:sz w:val="24"/>
          <w:szCs w:val="24"/>
        </w:rPr>
        <w:fldChar w:fldCharType="begin"/>
      </w:r>
      <w:r>
        <w:rPr>
          <w:color w:val="auto"/>
          <w:sz w:val="24"/>
          <w:szCs w:val="24"/>
        </w:rPr>
        <w:instrText xml:space="preserve"> PAGEREF _Toc31065 \h </w:instrText>
      </w:r>
      <w:r>
        <w:rPr>
          <w:color w:val="auto"/>
          <w:sz w:val="24"/>
          <w:szCs w:val="24"/>
        </w:rPr>
        <w:fldChar w:fldCharType="separate"/>
      </w:r>
      <w:r>
        <w:rPr>
          <w:color w:val="auto"/>
          <w:sz w:val="24"/>
          <w:szCs w:val="24"/>
        </w:rPr>
        <w:t>126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C57F506">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_Toc21839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6.13 坑探工程施工对地下开采影响的安全对策措施及建议</w:t>
      </w:r>
      <w:r>
        <w:rPr>
          <w:color w:val="auto"/>
          <w:sz w:val="24"/>
          <w:szCs w:val="24"/>
        </w:rPr>
        <w:tab/>
      </w:r>
      <w:r>
        <w:rPr>
          <w:color w:val="auto"/>
          <w:sz w:val="24"/>
          <w:szCs w:val="24"/>
        </w:rPr>
        <w:fldChar w:fldCharType="begin"/>
      </w:r>
      <w:r>
        <w:rPr>
          <w:color w:val="auto"/>
          <w:sz w:val="24"/>
          <w:szCs w:val="24"/>
        </w:rPr>
        <w:instrText xml:space="preserve"> PAGEREF _Toc21839 \h </w:instrText>
      </w:r>
      <w:r>
        <w:rPr>
          <w:color w:val="auto"/>
          <w:sz w:val="24"/>
          <w:szCs w:val="24"/>
        </w:rPr>
        <w:fldChar w:fldCharType="separate"/>
      </w:r>
      <w:r>
        <w:rPr>
          <w:color w:val="auto"/>
          <w:sz w:val="24"/>
          <w:szCs w:val="24"/>
        </w:rPr>
        <w:t>126</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2F75ABB5">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_Toc3036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7 安全评价结论</w:t>
      </w:r>
      <w:r>
        <w:rPr>
          <w:color w:val="auto"/>
          <w:sz w:val="24"/>
          <w:szCs w:val="24"/>
        </w:rPr>
        <w:tab/>
      </w:r>
      <w:r>
        <w:rPr>
          <w:color w:val="auto"/>
          <w:sz w:val="24"/>
          <w:szCs w:val="24"/>
        </w:rPr>
        <w:fldChar w:fldCharType="begin"/>
      </w:r>
      <w:r>
        <w:rPr>
          <w:color w:val="auto"/>
          <w:sz w:val="24"/>
          <w:szCs w:val="24"/>
        </w:rPr>
        <w:instrText xml:space="preserve"> PAGEREF _Toc3036 \h </w:instrText>
      </w:r>
      <w:r>
        <w:rPr>
          <w:color w:val="auto"/>
          <w:sz w:val="24"/>
          <w:szCs w:val="24"/>
        </w:rPr>
        <w:fldChar w:fldCharType="separate"/>
      </w:r>
      <w:r>
        <w:rPr>
          <w:color w:val="auto"/>
          <w:sz w:val="24"/>
          <w:szCs w:val="24"/>
        </w:rPr>
        <w:t>127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0999373">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_Toc28638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7.1危险有害因素辨识结果</w:t>
      </w:r>
      <w:r>
        <w:rPr>
          <w:color w:val="auto"/>
          <w:sz w:val="24"/>
          <w:szCs w:val="24"/>
        </w:rPr>
        <w:tab/>
      </w:r>
      <w:r>
        <w:rPr>
          <w:color w:val="auto"/>
          <w:sz w:val="24"/>
          <w:szCs w:val="24"/>
        </w:rPr>
        <w:fldChar w:fldCharType="begin"/>
      </w:r>
      <w:r>
        <w:rPr>
          <w:color w:val="auto"/>
          <w:sz w:val="24"/>
          <w:szCs w:val="24"/>
        </w:rPr>
        <w:instrText xml:space="preserve"> PAGEREF _Toc28638 \h </w:instrText>
      </w:r>
      <w:r>
        <w:rPr>
          <w:color w:val="auto"/>
          <w:sz w:val="24"/>
          <w:szCs w:val="24"/>
        </w:rPr>
        <w:fldChar w:fldCharType="separate"/>
      </w:r>
      <w:r>
        <w:rPr>
          <w:color w:val="auto"/>
          <w:sz w:val="24"/>
          <w:szCs w:val="24"/>
        </w:rPr>
        <w:t>127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0391D52">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_Toc14348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7.2各单元评价结果</w:t>
      </w:r>
      <w:r>
        <w:rPr>
          <w:color w:val="auto"/>
          <w:sz w:val="24"/>
          <w:szCs w:val="24"/>
        </w:rPr>
        <w:tab/>
      </w:r>
      <w:r>
        <w:rPr>
          <w:color w:val="auto"/>
          <w:sz w:val="24"/>
          <w:szCs w:val="24"/>
        </w:rPr>
        <w:fldChar w:fldCharType="begin"/>
      </w:r>
      <w:r>
        <w:rPr>
          <w:color w:val="auto"/>
          <w:sz w:val="24"/>
          <w:szCs w:val="24"/>
        </w:rPr>
        <w:instrText xml:space="preserve"> PAGEREF _Toc14348 \h </w:instrText>
      </w:r>
      <w:r>
        <w:rPr>
          <w:color w:val="auto"/>
          <w:sz w:val="24"/>
          <w:szCs w:val="24"/>
        </w:rPr>
        <w:fldChar w:fldCharType="separate"/>
      </w:r>
      <w:r>
        <w:rPr>
          <w:color w:val="auto"/>
          <w:sz w:val="24"/>
          <w:szCs w:val="24"/>
        </w:rPr>
        <w:t>127</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4548FCA5">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_Toc8532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7.3评价结论</w:t>
      </w:r>
      <w:r>
        <w:rPr>
          <w:color w:val="auto"/>
          <w:sz w:val="24"/>
          <w:szCs w:val="24"/>
        </w:rPr>
        <w:tab/>
      </w:r>
      <w:r>
        <w:rPr>
          <w:color w:val="auto"/>
          <w:sz w:val="24"/>
          <w:szCs w:val="24"/>
        </w:rPr>
        <w:fldChar w:fldCharType="begin"/>
      </w:r>
      <w:r>
        <w:rPr>
          <w:color w:val="auto"/>
          <w:sz w:val="24"/>
          <w:szCs w:val="24"/>
        </w:rPr>
        <w:instrText xml:space="preserve"> PAGEREF _Toc8532 \h </w:instrText>
      </w:r>
      <w:r>
        <w:rPr>
          <w:color w:val="auto"/>
          <w:sz w:val="24"/>
          <w:szCs w:val="24"/>
        </w:rPr>
        <w:fldChar w:fldCharType="separate"/>
      </w:r>
      <w:r>
        <w:rPr>
          <w:color w:val="auto"/>
          <w:sz w:val="24"/>
          <w:szCs w:val="24"/>
        </w:rPr>
        <w:t>128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373E901F">
      <w:pPr>
        <w:pStyle w:val="10"/>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sz w:val="24"/>
          <w:szCs w:val="24"/>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_Toc1206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7.4 说明</w:t>
      </w:r>
      <w:r>
        <w:rPr>
          <w:color w:val="auto"/>
          <w:sz w:val="24"/>
          <w:szCs w:val="24"/>
        </w:rPr>
        <w:tab/>
      </w:r>
      <w:r>
        <w:rPr>
          <w:color w:val="auto"/>
          <w:sz w:val="24"/>
          <w:szCs w:val="24"/>
        </w:rPr>
        <w:fldChar w:fldCharType="begin"/>
      </w:r>
      <w:r>
        <w:rPr>
          <w:color w:val="auto"/>
          <w:sz w:val="24"/>
          <w:szCs w:val="24"/>
        </w:rPr>
        <w:instrText xml:space="preserve"> PAGEREF _Toc1206 \h </w:instrText>
      </w:r>
      <w:r>
        <w:rPr>
          <w:color w:val="auto"/>
          <w:sz w:val="24"/>
          <w:szCs w:val="24"/>
        </w:rPr>
        <w:fldChar w:fldCharType="separate"/>
      </w:r>
      <w:r>
        <w:rPr>
          <w:color w:val="auto"/>
          <w:sz w:val="24"/>
          <w:szCs w:val="24"/>
        </w:rPr>
        <w:t>128</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63B8150D">
      <w:pPr>
        <w:pStyle w:val="14"/>
        <w:keepNext w:val="0"/>
        <w:keepLines w:val="0"/>
        <w:pageBreakBefore w:val="0"/>
        <w:widowControl/>
        <w:tabs>
          <w:tab w:val="right" w:leader="dot" w:pos="9072"/>
        </w:tabs>
        <w:kinsoku w:val="0"/>
        <w:wordWrap/>
        <w:overflowPunct/>
        <w:topLinePunct w:val="0"/>
        <w:autoSpaceDE/>
        <w:autoSpaceDN/>
        <w:bidi w:val="0"/>
        <w:adjustRightInd w:val="0"/>
        <w:snapToGrid w:val="0"/>
        <w:spacing w:line="360" w:lineRule="exact"/>
        <w:textAlignment w:val="baseline"/>
        <w:rPr>
          <w:color w:val="auto"/>
        </w:rPr>
      </w:pPr>
      <w:r>
        <w:rPr>
          <w:rFonts w:hint="eastAsia" w:asciiTheme="minorEastAsia" w:hAnsiTheme="minorEastAsia" w:eastAsiaTheme="minorEastAsia" w:cstheme="minorEastAsia"/>
          <w:bCs/>
          <w:color w:val="auto"/>
          <w:sz w:val="24"/>
          <w:szCs w:val="24"/>
        </w:rPr>
        <w:fldChar w:fldCharType="begin"/>
      </w:r>
      <w:r>
        <w:rPr>
          <w:rFonts w:hint="eastAsia" w:asciiTheme="minorEastAsia" w:hAnsiTheme="minorEastAsia" w:eastAsiaTheme="minorEastAsia" w:cstheme="minorEastAsia"/>
          <w:bCs/>
          <w:color w:val="auto"/>
          <w:sz w:val="24"/>
          <w:szCs w:val="24"/>
        </w:rPr>
        <w:instrText xml:space="preserve"> HYPERLINK \l _Toc3790 </w:instrText>
      </w:r>
      <w:r>
        <w:rPr>
          <w:rFonts w:hint="eastAsia" w:asciiTheme="minorEastAsia" w:hAnsiTheme="minorEastAsia" w:eastAsiaTheme="minorEastAsia" w:cstheme="minorEastAsia"/>
          <w:bCs/>
          <w:color w:val="auto"/>
          <w:sz w:val="24"/>
          <w:szCs w:val="24"/>
        </w:rPr>
        <w:fldChar w:fldCharType="separate"/>
      </w:r>
      <w:r>
        <w:rPr>
          <w:rFonts w:hint="eastAsia"/>
          <w:color w:val="auto"/>
          <w:sz w:val="24"/>
          <w:szCs w:val="24"/>
          <w:lang w:val="en-US" w:eastAsia="zh-CN"/>
        </w:rPr>
        <w:t>8 附件</w:t>
      </w:r>
      <w:r>
        <w:rPr>
          <w:color w:val="auto"/>
          <w:sz w:val="24"/>
          <w:szCs w:val="24"/>
        </w:rPr>
        <w:tab/>
      </w:r>
      <w:r>
        <w:rPr>
          <w:color w:val="auto"/>
          <w:sz w:val="24"/>
          <w:szCs w:val="24"/>
        </w:rPr>
        <w:fldChar w:fldCharType="begin"/>
      </w:r>
      <w:r>
        <w:rPr>
          <w:color w:val="auto"/>
          <w:sz w:val="24"/>
          <w:szCs w:val="24"/>
        </w:rPr>
        <w:instrText xml:space="preserve"> PAGEREF _Toc3790 \h </w:instrText>
      </w:r>
      <w:r>
        <w:rPr>
          <w:color w:val="auto"/>
          <w:sz w:val="24"/>
          <w:szCs w:val="24"/>
        </w:rPr>
        <w:fldChar w:fldCharType="separate"/>
      </w:r>
      <w:r>
        <w:rPr>
          <w:color w:val="auto"/>
          <w:sz w:val="24"/>
          <w:szCs w:val="24"/>
        </w:rPr>
        <w:t>129</w:t>
      </w:r>
      <w:r>
        <w:rPr>
          <w:color w:val="auto"/>
          <w:sz w:val="24"/>
          <w:szCs w:val="24"/>
        </w:rPr>
        <w:fldChar w:fldCharType="end"/>
      </w:r>
      <w:r>
        <w:rPr>
          <w:rFonts w:hint="eastAsia" w:asciiTheme="minorEastAsia" w:hAnsiTheme="minorEastAsia" w:eastAsiaTheme="minorEastAsia" w:cstheme="minorEastAsia"/>
          <w:bCs/>
          <w:color w:val="auto"/>
          <w:sz w:val="24"/>
          <w:szCs w:val="24"/>
        </w:rPr>
        <w:fldChar w:fldCharType="end"/>
      </w:r>
    </w:p>
    <w:p w14:paraId="7996E730">
      <w:pPr>
        <w:keepNext w:val="0"/>
        <w:keepLines w:val="0"/>
        <w:pageBreakBefore w:val="0"/>
        <w:widowControl/>
        <w:kinsoku/>
        <w:wordWrap/>
        <w:overflowPunct/>
        <w:topLinePunct w:val="0"/>
        <w:autoSpaceDE/>
        <w:autoSpaceDN/>
        <w:bidi w:val="0"/>
        <w:adjustRightInd/>
        <w:snapToGrid/>
        <w:spacing w:line="360" w:lineRule="exact"/>
        <w:ind w:firstLine="560" w:firstLineChars="200"/>
        <w:textAlignment w:val="auto"/>
        <w:outlineLvl w:val="9"/>
        <w:rPr>
          <w:rFonts w:ascii="Arial"/>
          <w:color w:val="auto"/>
          <w:sz w:val="21"/>
        </w:rPr>
        <w:sectPr>
          <w:type w:val="continuous"/>
          <w:pgSz w:w="11906" w:h="16839"/>
          <w:pgMar w:top="1417" w:right="1417" w:bottom="1417" w:left="1417" w:header="850" w:footer="964" w:gutter="0"/>
          <w:pgBorders>
            <w:top w:val="none" w:sz="0" w:space="0"/>
            <w:left w:val="none" w:sz="0" w:space="0"/>
            <w:bottom w:val="none" w:sz="0" w:space="0"/>
            <w:right w:val="none" w:sz="0" w:space="0"/>
          </w:pgBorders>
          <w:pgNumType w:fmt="upperRoman"/>
          <w:cols w:space="0" w:num="1"/>
          <w:rtlGutter w:val="0"/>
          <w:docGrid w:linePitch="0" w:charSpace="0"/>
        </w:sectPr>
      </w:pPr>
      <w:r>
        <w:rPr>
          <w:rFonts w:hint="eastAsia" w:asciiTheme="minorEastAsia" w:hAnsiTheme="minorEastAsia" w:eastAsiaTheme="minorEastAsia" w:cstheme="minorEastAsia"/>
          <w:bCs/>
          <w:color w:val="auto"/>
          <w:szCs w:val="24"/>
        </w:rPr>
        <w:fldChar w:fldCharType="end"/>
      </w:r>
    </w:p>
    <w:p w14:paraId="3916C7A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snapToGrid/>
          <w:color w:val="auto"/>
          <w:kern w:val="2"/>
          <w:sz w:val="28"/>
          <w:szCs w:val="28"/>
          <w:lang w:val="en-US" w:eastAsia="zh-CN" w:bidi="ar-SA"/>
        </w:rPr>
      </w:pPr>
      <w:bookmarkStart w:id="49" w:name="_Toc29823"/>
      <w:bookmarkStart w:id="50" w:name="_Toc27786"/>
      <w:bookmarkStart w:id="51" w:name="_Toc31147"/>
      <w:bookmarkStart w:id="52" w:name="_Toc31302"/>
      <w:r>
        <w:rPr>
          <w:rFonts w:hint="eastAsia" w:ascii="宋体" w:hAnsi="宋体" w:eastAsia="宋体" w:cs="宋体"/>
          <w:b/>
          <w:snapToGrid/>
          <w:color w:val="auto"/>
          <w:kern w:val="2"/>
          <w:sz w:val="28"/>
          <w:szCs w:val="28"/>
          <w:lang w:val="en-US" w:eastAsia="zh-CN" w:bidi="ar-SA"/>
        </w:rPr>
        <w:t>江西临川矿业有限公司</w:t>
      </w:r>
      <w:bookmarkEnd w:id="49"/>
      <w:bookmarkEnd w:id="50"/>
      <w:bookmarkEnd w:id="51"/>
      <w:bookmarkEnd w:id="52"/>
      <w:bookmarkStart w:id="53" w:name="_Toc26324"/>
      <w:bookmarkStart w:id="54" w:name="_Toc25723"/>
      <w:bookmarkStart w:id="55" w:name="_Toc29427"/>
      <w:bookmarkStart w:id="56" w:name="_Toc26773"/>
    </w:p>
    <w:p w14:paraId="2CB5DE4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snapToGrid/>
          <w:color w:val="auto"/>
          <w:kern w:val="2"/>
          <w:sz w:val="28"/>
          <w:szCs w:val="28"/>
          <w:lang w:val="en-US" w:eastAsia="zh-CN" w:bidi="ar-SA"/>
        </w:rPr>
      </w:pPr>
      <w:r>
        <w:rPr>
          <w:rFonts w:hint="eastAsia" w:ascii="宋体" w:hAnsi="宋体" w:eastAsia="宋体" w:cs="宋体"/>
          <w:b/>
          <w:snapToGrid/>
          <w:color w:val="auto"/>
          <w:kern w:val="2"/>
          <w:sz w:val="28"/>
          <w:szCs w:val="28"/>
          <w:lang w:val="en-US" w:eastAsia="zh-CN" w:bidi="ar-SA"/>
        </w:rPr>
        <w:t>茅排金矿地下开采</w:t>
      </w:r>
      <w:bookmarkEnd w:id="53"/>
      <w:bookmarkEnd w:id="54"/>
      <w:bookmarkEnd w:id="55"/>
      <w:bookmarkEnd w:id="56"/>
    </w:p>
    <w:p w14:paraId="0DC17E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snapToGrid/>
          <w:color w:val="auto"/>
          <w:kern w:val="2"/>
          <w:sz w:val="28"/>
          <w:szCs w:val="28"/>
          <w:lang w:val="en-US" w:eastAsia="zh-CN" w:bidi="ar-SA"/>
        </w:rPr>
      </w:pPr>
      <w:bookmarkStart w:id="57" w:name="_Toc12803"/>
      <w:r>
        <w:rPr>
          <w:rFonts w:hint="eastAsia" w:ascii="宋体" w:hAnsi="宋体" w:eastAsia="宋体" w:cs="宋体"/>
          <w:b/>
          <w:snapToGrid/>
          <w:color w:val="auto"/>
          <w:kern w:val="2"/>
          <w:sz w:val="28"/>
          <w:szCs w:val="28"/>
          <w:lang w:val="en-US" w:eastAsia="zh-CN" w:bidi="ar-SA"/>
        </w:rPr>
        <w:t>安全现状评价报告</w:t>
      </w:r>
      <w:bookmarkEnd w:id="57"/>
    </w:p>
    <w:p w14:paraId="66AFCE60">
      <w:pPr>
        <w:pStyle w:val="2"/>
        <w:bidi w:val="0"/>
        <w:rPr>
          <w:rFonts w:hint="eastAsia"/>
          <w:color w:val="auto"/>
          <w:lang w:val="en-US" w:eastAsia="zh-CN"/>
        </w:rPr>
      </w:pPr>
      <w:bookmarkStart w:id="58" w:name="_Toc28554"/>
      <w:bookmarkStart w:id="59" w:name="_Toc15873"/>
      <w:bookmarkStart w:id="60" w:name="_Toc92102651"/>
      <w:bookmarkStart w:id="61" w:name="_Toc24955"/>
      <w:bookmarkStart w:id="62" w:name="_Toc8937"/>
      <w:bookmarkStart w:id="63" w:name="_Toc9869"/>
      <w:bookmarkStart w:id="64" w:name="_Toc2221"/>
      <w:bookmarkStart w:id="65" w:name="_Toc31630"/>
      <w:bookmarkStart w:id="66" w:name="_Toc30870"/>
      <w:bookmarkStart w:id="67" w:name="_Toc312"/>
      <w:bookmarkStart w:id="68" w:name="_Toc31059"/>
      <w:bookmarkStart w:id="69" w:name="_Toc340567276"/>
      <w:r>
        <w:rPr>
          <w:rFonts w:hint="eastAsia"/>
          <w:color w:val="auto"/>
          <w:lang w:val="en-US" w:eastAsia="zh-CN"/>
        </w:rPr>
        <w:t>1 评价目的与依据</w:t>
      </w:r>
      <w:bookmarkEnd w:id="58"/>
      <w:bookmarkEnd w:id="59"/>
      <w:bookmarkEnd w:id="60"/>
      <w:bookmarkEnd w:id="61"/>
      <w:bookmarkEnd w:id="62"/>
      <w:bookmarkEnd w:id="63"/>
      <w:bookmarkEnd w:id="64"/>
      <w:bookmarkEnd w:id="65"/>
      <w:bookmarkEnd w:id="66"/>
      <w:bookmarkEnd w:id="67"/>
      <w:bookmarkEnd w:id="68"/>
      <w:bookmarkEnd w:id="69"/>
    </w:p>
    <w:p w14:paraId="296C9B4C">
      <w:pPr>
        <w:pStyle w:val="3"/>
        <w:bidi w:val="0"/>
        <w:rPr>
          <w:rFonts w:hint="eastAsia"/>
          <w:color w:val="auto"/>
          <w:lang w:val="en-US" w:eastAsia="zh-CN"/>
        </w:rPr>
      </w:pPr>
      <w:bookmarkStart w:id="70" w:name="_Toc4930"/>
      <w:bookmarkStart w:id="71" w:name="_Toc340567277"/>
      <w:bookmarkStart w:id="72" w:name="_Toc29188"/>
      <w:bookmarkStart w:id="73" w:name="_Toc25575"/>
      <w:bookmarkStart w:id="74" w:name="_Toc15481"/>
      <w:bookmarkStart w:id="75" w:name="_Toc7568"/>
      <w:bookmarkStart w:id="76" w:name="_Toc27859"/>
      <w:bookmarkStart w:id="77" w:name="_Toc19758"/>
      <w:bookmarkStart w:id="78" w:name="_Toc8666"/>
      <w:bookmarkStart w:id="79" w:name="_Toc92102652"/>
      <w:bookmarkStart w:id="80" w:name="_Toc5245"/>
      <w:r>
        <w:rPr>
          <w:rFonts w:hint="eastAsia"/>
          <w:color w:val="auto"/>
          <w:lang w:val="en-US" w:eastAsia="zh-CN"/>
        </w:rPr>
        <w:t>1.1 评价对象和范围</w:t>
      </w:r>
      <w:bookmarkEnd w:id="70"/>
      <w:bookmarkEnd w:id="71"/>
      <w:bookmarkEnd w:id="72"/>
      <w:bookmarkEnd w:id="73"/>
      <w:bookmarkEnd w:id="74"/>
      <w:bookmarkEnd w:id="75"/>
      <w:bookmarkEnd w:id="76"/>
      <w:bookmarkEnd w:id="77"/>
      <w:bookmarkEnd w:id="78"/>
      <w:bookmarkEnd w:id="79"/>
      <w:bookmarkEnd w:id="80"/>
    </w:p>
    <w:p w14:paraId="5714BE6F">
      <w:pPr>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评价对象：</w:t>
      </w:r>
      <w:r>
        <w:rPr>
          <w:rFonts w:hint="eastAsia" w:ascii="宋体" w:hAnsi="宋体" w:eastAsia="宋体" w:cs="宋体"/>
          <w:color w:val="auto"/>
          <w:spacing w:val="6"/>
          <w:sz w:val="28"/>
          <w:szCs w:val="28"/>
        </w:rPr>
        <w:t>江西临川鲁金矿业有限公司</w:t>
      </w:r>
      <w:r>
        <w:rPr>
          <w:rFonts w:hint="eastAsia" w:ascii="宋体" w:hAnsi="宋体" w:eastAsia="宋体" w:cs="宋体"/>
          <w:color w:val="auto"/>
          <w:sz w:val="28"/>
          <w:szCs w:val="28"/>
          <w:lang w:val="en-US" w:eastAsia="zh-CN"/>
        </w:rPr>
        <w:t>茅排金矿地下开采工程。</w:t>
      </w:r>
    </w:p>
    <w:p w14:paraId="17A5357F">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评价范围：</w:t>
      </w:r>
      <w:r>
        <w:rPr>
          <w:rFonts w:hint="eastAsia" w:ascii="宋体" w:hAnsi="宋体" w:eastAsia="宋体" w:cs="宋体"/>
          <w:color w:val="auto"/>
          <w:spacing w:val="6"/>
          <w:sz w:val="28"/>
          <w:szCs w:val="28"/>
        </w:rPr>
        <w:t>江西临川鲁金矿业有限公司</w:t>
      </w:r>
      <w:r>
        <w:rPr>
          <w:rFonts w:hint="eastAsia" w:ascii="宋体" w:hAnsi="宋体" w:eastAsia="宋体" w:cs="宋体"/>
          <w:color w:val="auto"/>
          <w:sz w:val="28"/>
          <w:szCs w:val="28"/>
          <w:lang w:val="en-US" w:eastAsia="zh-CN"/>
        </w:rPr>
        <w:t>茅排金矿位于采矿许可证(证号C3600002009104120039441)4个拐点坐标</w:t>
      </w:r>
      <w:r>
        <w:rPr>
          <w:rFonts w:hint="eastAsia" w:cs="宋体"/>
          <w:color w:val="auto"/>
          <w:sz w:val="28"/>
          <w:szCs w:val="28"/>
          <w:lang w:val="en-US" w:eastAsia="zh-CN"/>
        </w:rPr>
        <w:t>圈</w:t>
      </w:r>
      <w:r>
        <w:rPr>
          <w:rFonts w:hint="eastAsia" w:ascii="宋体" w:hAnsi="宋体" w:eastAsia="宋体" w:cs="宋体"/>
          <w:color w:val="auto"/>
          <w:sz w:val="28"/>
          <w:szCs w:val="28"/>
          <w:lang w:val="en-US" w:eastAsia="zh-CN"/>
        </w:rPr>
        <w:t>定的平面范围内，16～55 勘探线之间，开采标高在+270m至+320m之间的地下开采工程。</w:t>
      </w:r>
    </w:p>
    <w:p w14:paraId="1B9CF328">
      <w:pPr>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评价内容：以+270m中段地下开采的主要生产系统及辅助系统</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包括开拓运输、采矿工艺、通风防尘、供配电、防排水与防灭火、废石场、压风及供水系统、安全避险“六大系统”、公用辅助设施和安全管理等。</w:t>
      </w:r>
    </w:p>
    <w:p w14:paraId="412B8940">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项目所涉及的民用爆破物品储存库、选矿厂、尾矿库等不在本评价范围之内。</w:t>
      </w:r>
    </w:p>
    <w:p w14:paraId="4AE0E1B7">
      <w:pPr>
        <w:pStyle w:val="3"/>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81" w:name="_Toc25892"/>
      <w:bookmarkStart w:id="82" w:name="_Toc14476"/>
      <w:bookmarkStart w:id="83" w:name="_Toc4142"/>
      <w:bookmarkStart w:id="84" w:name="_Toc25594"/>
      <w:bookmarkStart w:id="85" w:name="_Toc29180"/>
      <w:bookmarkStart w:id="86" w:name="_Toc28640"/>
      <w:bookmarkStart w:id="87" w:name="_Toc9885"/>
      <w:bookmarkStart w:id="88" w:name="_Toc326"/>
      <w:bookmarkStart w:id="89" w:name="_Toc22456"/>
      <w:bookmarkStart w:id="90" w:name="_Toc8946"/>
      <w:bookmarkStart w:id="91" w:name="_Toc6799"/>
      <w:r>
        <w:rPr>
          <w:rFonts w:hint="eastAsia" w:ascii="宋体" w:hAnsi="宋体" w:eastAsia="宋体" w:cs="宋体"/>
          <w:color w:val="auto"/>
          <w:sz w:val="28"/>
          <w:szCs w:val="28"/>
          <w:lang w:val="en-US" w:eastAsia="zh-CN"/>
        </w:rPr>
        <w:t>1.2 评价目的和内容</w:t>
      </w:r>
      <w:bookmarkEnd w:id="81"/>
      <w:bookmarkEnd w:id="82"/>
      <w:bookmarkEnd w:id="83"/>
      <w:bookmarkEnd w:id="84"/>
      <w:bookmarkEnd w:id="85"/>
      <w:bookmarkEnd w:id="86"/>
      <w:bookmarkEnd w:id="87"/>
      <w:bookmarkEnd w:id="88"/>
      <w:bookmarkEnd w:id="89"/>
      <w:bookmarkEnd w:id="90"/>
      <w:bookmarkEnd w:id="91"/>
    </w:p>
    <w:p w14:paraId="23068679">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92" w:name="_Toc31186"/>
      <w:bookmarkStart w:id="93" w:name="_Toc30131"/>
      <w:bookmarkStart w:id="94" w:name="_Toc16598"/>
      <w:bookmarkStart w:id="95" w:name="_Toc1359"/>
      <w:bookmarkStart w:id="96" w:name="_Toc13090"/>
      <w:bookmarkStart w:id="97" w:name="_Toc10073"/>
      <w:bookmarkStart w:id="98" w:name="_Toc22331"/>
      <w:r>
        <w:rPr>
          <w:rFonts w:hint="eastAsia" w:ascii="宋体" w:hAnsi="宋体" w:eastAsia="宋体" w:cs="宋体"/>
          <w:color w:val="auto"/>
          <w:sz w:val="28"/>
          <w:szCs w:val="28"/>
          <w:lang w:val="en-US" w:eastAsia="zh-CN"/>
        </w:rPr>
        <w:t>1.2.1 评价目的</w:t>
      </w:r>
      <w:bookmarkEnd w:id="92"/>
      <w:bookmarkEnd w:id="93"/>
      <w:bookmarkEnd w:id="94"/>
      <w:bookmarkEnd w:id="95"/>
      <w:bookmarkEnd w:id="96"/>
      <w:bookmarkEnd w:id="97"/>
      <w:bookmarkEnd w:id="98"/>
    </w:p>
    <w:p w14:paraId="56149563">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本次安全现状评价目的是为了贯彻“安全第一、预防为主、综合治理”的方针，通过对</w:t>
      </w:r>
      <w:r>
        <w:rPr>
          <w:rFonts w:hint="eastAsia" w:ascii="宋体" w:hAnsi="宋体" w:eastAsia="宋体" w:cs="宋体"/>
          <w:color w:val="auto"/>
          <w:spacing w:val="6"/>
          <w:sz w:val="28"/>
          <w:szCs w:val="28"/>
        </w:rPr>
        <w:t>江西临川鲁金矿业有限公司</w:t>
      </w:r>
      <w:r>
        <w:rPr>
          <w:rFonts w:hint="eastAsia" w:ascii="宋体" w:hAnsi="宋体" w:eastAsia="宋体" w:cs="宋体"/>
          <w:snapToGrid/>
          <w:color w:val="auto"/>
          <w:spacing w:val="10"/>
          <w:kern w:val="2"/>
          <w:sz w:val="28"/>
          <w:szCs w:val="28"/>
          <w:lang w:val="en-US" w:eastAsia="zh-CN" w:bidi="ar-SA"/>
        </w:rPr>
        <w:t>茅排金矿地下开采的安全现状评价，查找、分析和预测其存在的危险、有害因素及危险、危害程度，提出合理可行和安全对策措施及建议，指导危险源监控和事故预防，以达到最低事故率，最少损失和最优的安全投资效益，确保其在安全设施方面符合国家的有关法律、法规、规定和标准；同时为项目安全生产许可证延期换证提供科学依据。</w:t>
      </w:r>
      <w:bookmarkStart w:id="99" w:name="_Toc21324"/>
    </w:p>
    <w:p w14:paraId="2BEA23F4">
      <w:pPr>
        <w:pStyle w:val="4"/>
        <w:rPr>
          <w:rFonts w:hint="eastAsia"/>
          <w:color w:val="auto"/>
          <w:lang w:val="en-US" w:eastAsia="zh-CN"/>
        </w:rPr>
      </w:pPr>
      <w:bookmarkStart w:id="100" w:name="_Toc20070"/>
      <w:bookmarkStart w:id="101" w:name="_Toc14669"/>
      <w:bookmarkStart w:id="102" w:name="_Toc27224"/>
      <w:bookmarkStart w:id="103" w:name="_Toc8415"/>
      <w:r>
        <w:rPr>
          <w:rFonts w:hint="eastAsia"/>
          <w:color w:val="auto"/>
          <w:lang w:val="en-US" w:eastAsia="zh-CN"/>
        </w:rPr>
        <w:t>1.2.2 评价内容</w:t>
      </w:r>
      <w:bookmarkEnd w:id="99"/>
      <w:bookmarkEnd w:id="100"/>
      <w:bookmarkEnd w:id="101"/>
      <w:bookmarkEnd w:id="102"/>
      <w:bookmarkEnd w:id="103"/>
    </w:p>
    <w:p w14:paraId="3B2B4E43">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通过对茅排金矿地下开采安全生产方面资料的收集以及现场安全状况调研，对如下内容进行评价：</w:t>
      </w:r>
    </w:p>
    <w:p w14:paraId="185C35EC">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1)检查审核提供的相应资质证书、营业执照、采矿许可证的有效性及范围；</w:t>
      </w:r>
    </w:p>
    <w:p w14:paraId="74B34CC5">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2)检查安全生产管理机构的设置及安全生产管理人员的配备，安全生产管理制度、操作规程等的制定，执行情况；</w:t>
      </w:r>
    </w:p>
    <w:p w14:paraId="15BE6C2B">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3)检查相关的安全设施、措施是否符合相关技术标准、规范的要求；</w:t>
      </w:r>
    </w:p>
    <w:p w14:paraId="64CC7636">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4)检查审核特种设备等的检验取证；</w:t>
      </w:r>
    </w:p>
    <w:p w14:paraId="0D07D67D">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5)检查审核相关安全设施、检测检验设备的定期检验、校核情况；</w:t>
      </w:r>
    </w:p>
    <w:p w14:paraId="5C477278">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6)检查主要负责人、分管负责人、安全生产管理人员资格证书，检查审核特种作业人员的培训、取证情况及一般作业人员的安全教育、培训情况；</w:t>
      </w:r>
    </w:p>
    <w:p w14:paraId="54DAAD86">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7)检查、审核安全生产标准化体系运行情况、隐患排查治理和风险分级管控双重预防机制创建、运行情况；</w:t>
      </w:r>
    </w:p>
    <w:p w14:paraId="5F34D9E9">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8)检查、审核事故应急预案、物资、演练及备案情况；</w:t>
      </w:r>
    </w:p>
    <w:p w14:paraId="669DF98B">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9)分析存在的危险、有害因素，确定其危险程度；</w:t>
      </w:r>
    </w:p>
    <w:p w14:paraId="4D536C8E">
      <w:pPr>
        <w:keepNext w:val="0"/>
        <w:keepLines w:val="0"/>
        <w:pageBreakBefore w:val="0"/>
        <w:widowControl w:val="0"/>
        <w:kinsoku/>
        <w:wordWrap/>
        <w:overflowPunct/>
        <w:topLinePunct w:val="0"/>
        <w:autoSpaceDE w:val="0"/>
        <w:autoSpaceDN w:val="0"/>
        <w:bidi w:val="0"/>
        <w:adjustRightInd/>
        <w:snapToGrid/>
        <w:spacing w:line="560" w:lineRule="exact"/>
        <w:ind w:firstLine="600" w:firstLineChars="200"/>
        <w:jc w:val="both"/>
        <w:textAlignment w:val="auto"/>
        <w:rPr>
          <w:rFonts w:hint="eastAsia" w:ascii="宋体" w:hAnsi="宋体" w:eastAsia="宋体" w:cs="宋体"/>
          <w:snapToGrid/>
          <w:color w:val="auto"/>
          <w:spacing w:val="10"/>
          <w:kern w:val="2"/>
          <w:sz w:val="28"/>
          <w:szCs w:val="28"/>
          <w:lang w:val="en-US" w:eastAsia="zh-CN" w:bidi="ar-SA"/>
        </w:rPr>
      </w:pPr>
      <w:r>
        <w:rPr>
          <w:rFonts w:hint="eastAsia" w:ascii="宋体" w:hAnsi="宋体" w:eastAsia="宋体" w:cs="宋体"/>
          <w:snapToGrid/>
          <w:color w:val="auto"/>
          <w:spacing w:val="10"/>
          <w:kern w:val="2"/>
          <w:sz w:val="28"/>
          <w:szCs w:val="28"/>
          <w:lang w:val="en-US" w:eastAsia="zh-CN" w:bidi="ar-SA"/>
        </w:rPr>
        <w:t>10)对存在的问题提出安全对策措施及建议。</w:t>
      </w:r>
    </w:p>
    <w:p w14:paraId="17CFB385">
      <w:pPr>
        <w:pStyle w:val="3"/>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104" w:name="_Toc27842"/>
      <w:bookmarkStart w:id="105" w:name="_Toc22341"/>
      <w:bookmarkStart w:id="106" w:name="_Toc27855"/>
      <w:bookmarkStart w:id="107" w:name="_Toc12058"/>
      <w:bookmarkStart w:id="108" w:name="_Toc28717"/>
      <w:bookmarkStart w:id="109" w:name="_Toc21134"/>
      <w:bookmarkStart w:id="110" w:name="_Toc23750"/>
      <w:bookmarkStart w:id="111" w:name="_Toc12135"/>
      <w:bookmarkStart w:id="112" w:name="_Toc14919"/>
      <w:bookmarkStart w:id="113" w:name="_Toc1897"/>
      <w:bookmarkStart w:id="114" w:name="_Toc17234"/>
      <w:r>
        <w:rPr>
          <w:rFonts w:hint="eastAsia" w:ascii="宋体" w:hAnsi="宋体" w:eastAsia="宋体" w:cs="宋体"/>
          <w:color w:val="auto"/>
          <w:sz w:val="28"/>
          <w:szCs w:val="28"/>
          <w:lang w:val="en-US" w:eastAsia="zh-CN"/>
        </w:rPr>
        <w:t>1.3 评价依据</w:t>
      </w:r>
      <w:bookmarkEnd w:id="104"/>
      <w:bookmarkEnd w:id="105"/>
      <w:bookmarkEnd w:id="106"/>
      <w:bookmarkEnd w:id="107"/>
      <w:bookmarkEnd w:id="108"/>
      <w:bookmarkEnd w:id="109"/>
      <w:bookmarkEnd w:id="110"/>
      <w:bookmarkEnd w:id="111"/>
      <w:bookmarkEnd w:id="112"/>
      <w:bookmarkEnd w:id="113"/>
      <w:bookmarkEnd w:id="114"/>
    </w:p>
    <w:p w14:paraId="38903DAC">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115" w:name="_Toc19723"/>
      <w:bookmarkStart w:id="116" w:name="_Toc2789"/>
      <w:bookmarkStart w:id="117" w:name="_Toc30194"/>
      <w:bookmarkStart w:id="118" w:name="_Toc14472"/>
      <w:bookmarkStart w:id="119" w:name="_Toc21238"/>
      <w:bookmarkStart w:id="120" w:name="_Toc25851"/>
      <w:bookmarkStart w:id="121" w:name="_Toc26321"/>
      <w:r>
        <w:rPr>
          <w:rFonts w:hint="eastAsia" w:ascii="宋体" w:hAnsi="宋体" w:eastAsia="宋体" w:cs="宋体"/>
          <w:color w:val="auto"/>
          <w:sz w:val="28"/>
          <w:szCs w:val="28"/>
          <w:lang w:val="en-US" w:eastAsia="zh-CN"/>
        </w:rPr>
        <w:t>1.3.1 法律、法规</w:t>
      </w:r>
      <w:bookmarkEnd w:id="115"/>
      <w:bookmarkEnd w:id="116"/>
      <w:bookmarkEnd w:id="117"/>
      <w:bookmarkEnd w:id="118"/>
      <w:bookmarkEnd w:id="119"/>
      <w:bookmarkEnd w:id="120"/>
      <w:bookmarkEnd w:id="121"/>
      <w:bookmarkStart w:id="122" w:name="_Toc468979749"/>
    </w:p>
    <w:bookmarkEnd w:id="122"/>
    <w:p w14:paraId="60BA30D8">
      <w:pPr>
        <w:bidi w:val="0"/>
        <w:rPr>
          <w:rFonts w:hint="eastAsia"/>
          <w:color w:val="auto"/>
          <w:lang w:val="en-US" w:eastAsia="zh-CN"/>
        </w:rPr>
      </w:pPr>
      <w:r>
        <w:rPr>
          <w:rFonts w:hint="eastAsia"/>
          <w:color w:val="auto"/>
          <w:lang w:val="en-US" w:eastAsia="zh-CN"/>
        </w:rPr>
        <w:t>1）《中华人民共和国矿山安全法》（主席令第65号，1993年5月1日实施；主席令〔2009</w:t>
      </w:r>
      <w:r>
        <w:rPr>
          <w:rFonts w:hint="eastAsia"/>
          <w:color w:val="auto"/>
        </w:rPr>
        <w:t>〕</w:t>
      </w:r>
      <w:r>
        <w:rPr>
          <w:rFonts w:hint="eastAsia"/>
          <w:color w:val="auto"/>
          <w:lang w:val="en-US" w:eastAsia="zh-CN"/>
        </w:rPr>
        <w:t>第18号公布修正，2009年8月27日修正）</w:t>
      </w:r>
    </w:p>
    <w:p w14:paraId="551AB957">
      <w:pPr>
        <w:bidi w:val="0"/>
        <w:rPr>
          <w:rFonts w:hint="eastAsia"/>
          <w:color w:val="auto"/>
          <w:lang w:val="en-US" w:eastAsia="zh-CN"/>
        </w:rPr>
      </w:pPr>
      <w:r>
        <w:rPr>
          <w:rFonts w:hint="eastAsia"/>
          <w:color w:val="auto"/>
          <w:lang w:val="en-US" w:eastAsia="zh-CN"/>
        </w:rPr>
        <w:t>2）《中华人民共和国劳动法》（主席令第28号，1995年1月1日实施；2018年主席令第24号公布第二次修订，2018年12月29日施行。）</w:t>
      </w:r>
    </w:p>
    <w:p w14:paraId="5B83C550">
      <w:pPr>
        <w:bidi w:val="0"/>
        <w:rPr>
          <w:rFonts w:hint="eastAsia"/>
          <w:color w:val="auto"/>
          <w:lang w:val="en-US" w:eastAsia="zh-CN"/>
        </w:rPr>
      </w:pPr>
      <w:r>
        <w:rPr>
          <w:rFonts w:hint="eastAsia"/>
          <w:color w:val="auto"/>
          <w:lang w:val="en-US" w:eastAsia="zh-CN"/>
        </w:rPr>
        <w:t>3）《中华人民共和国矿产资源法》（</w:t>
      </w:r>
      <w:r>
        <w:rPr>
          <w:rFonts w:hint="default"/>
          <w:color w:val="auto"/>
          <w:lang w:val="en-US" w:eastAsia="zh-CN"/>
        </w:rPr>
        <w:t>主席令〔1986〕36号发布，依次经主席令〔1996〕74号、主席令〔2009〕18号、主席令〔2024〕36号修正，自1986年10月1日起施行</w:t>
      </w:r>
      <w:r>
        <w:rPr>
          <w:rFonts w:hint="eastAsia"/>
          <w:color w:val="auto"/>
          <w:lang w:val="en-US" w:eastAsia="zh-CN"/>
        </w:rPr>
        <w:t>）</w:t>
      </w:r>
    </w:p>
    <w:p w14:paraId="19644F2D">
      <w:pPr>
        <w:bidi w:val="0"/>
        <w:rPr>
          <w:rFonts w:hint="eastAsia"/>
          <w:color w:val="auto"/>
          <w:lang w:val="en-US" w:eastAsia="zh-CN"/>
        </w:rPr>
      </w:pPr>
      <w:r>
        <w:rPr>
          <w:rFonts w:hint="eastAsia"/>
          <w:color w:val="auto"/>
          <w:lang w:val="en-US" w:eastAsia="zh-CN"/>
        </w:rPr>
        <w:t>4)《中华人民共和国安全生产法》（主席令〔2002</w:t>
      </w:r>
      <w:r>
        <w:rPr>
          <w:rFonts w:hint="eastAsia"/>
          <w:color w:val="auto"/>
        </w:rPr>
        <w:t>〕</w:t>
      </w:r>
      <w:r>
        <w:rPr>
          <w:rFonts w:hint="eastAsia"/>
          <w:color w:val="auto"/>
          <w:lang w:val="en-US" w:eastAsia="zh-CN"/>
        </w:rPr>
        <w:t>第70号公布，自2002年11月1日起施行；主席令〔2021</w:t>
      </w:r>
      <w:r>
        <w:rPr>
          <w:rFonts w:hint="eastAsia"/>
          <w:color w:val="auto"/>
        </w:rPr>
        <w:t>〕</w:t>
      </w:r>
      <w:r>
        <w:rPr>
          <w:rFonts w:hint="eastAsia"/>
          <w:color w:val="auto"/>
          <w:lang w:val="en-US" w:eastAsia="zh-CN"/>
        </w:rPr>
        <w:t>第88号公布修正，自2021年9月1日起施行）</w:t>
      </w:r>
    </w:p>
    <w:p w14:paraId="1EF7244B">
      <w:pPr>
        <w:bidi w:val="0"/>
        <w:rPr>
          <w:rFonts w:hint="eastAsia"/>
          <w:color w:val="auto"/>
          <w:lang w:val="en-US" w:eastAsia="zh-CN"/>
        </w:rPr>
      </w:pPr>
      <w:r>
        <w:rPr>
          <w:rFonts w:hint="eastAsia"/>
          <w:color w:val="auto"/>
          <w:lang w:val="en-US" w:eastAsia="zh-CN"/>
        </w:rPr>
        <w:t>5）《中华人民共和国突发事件应对法》（</w:t>
      </w:r>
      <w:r>
        <w:rPr>
          <w:rFonts w:hint="default" w:ascii="Times New Roman" w:hAnsi="Times New Roman" w:eastAsia="宋体"/>
          <w:color w:val="auto"/>
          <w:lang w:val="en-US" w:eastAsia="zh-CN"/>
        </w:rPr>
        <w:t>主席令〔2007〕69号发布，经主席令〔2024〕25号修正，自2007年11月1日起施行</w:t>
      </w:r>
      <w:r>
        <w:rPr>
          <w:rFonts w:hint="eastAsia"/>
          <w:color w:val="auto"/>
          <w:lang w:val="en-US" w:eastAsia="zh-CN"/>
        </w:rPr>
        <w:t>）</w:t>
      </w:r>
    </w:p>
    <w:p w14:paraId="1FEE0F5F">
      <w:pPr>
        <w:bidi w:val="0"/>
        <w:rPr>
          <w:rFonts w:hint="eastAsia"/>
          <w:color w:val="auto"/>
          <w:lang w:val="en-US" w:eastAsia="zh-CN"/>
        </w:rPr>
      </w:pPr>
      <w:r>
        <w:rPr>
          <w:rFonts w:hint="eastAsia"/>
          <w:color w:val="auto"/>
          <w:lang w:val="en-US" w:eastAsia="zh-CN"/>
        </w:rPr>
        <w:t>6）《中华人民共和国消防法》（主席令〔2008)第6号公布，自2009年5月1日起施行；主席令〔2021〕第81号公布修正，2021年4月29日修正）</w:t>
      </w:r>
    </w:p>
    <w:p w14:paraId="685ECFDC">
      <w:pPr>
        <w:bidi w:val="0"/>
        <w:rPr>
          <w:rFonts w:hint="eastAsia"/>
          <w:color w:val="auto"/>
          <w:lang w:val="en-US" w:eastAsia="zh-CN"/>
        </w:rPr>
      </w:pPr>
      <w:r>
        <w:rPr>
          <w:rFonts w:hint="eastAsia"/>
          <w:color w:val="auto"/>
          <w:lang w:val="en-US" w:eastAsia="zh-CN"/>
        </w:rPr>
        <w:t>7）《中华人民共和国防震减灾法》（主席令第74号，2009年5月1日实施）</w:t>
      </w:r>
    </w:p>
    <w:p w14:paraId="18E7CA41">
      <w:pPr>
        <w:bidi w:val="0"/>
        <w:rPr>
          <w:rFonts w:hint="eastAsia"/>
          <w:color w:val="auto"/>
          <w:lang w:val="en-US" w:eastAsia="zh-CN"/>
        </w:rPr>
      </w:pPr>
      <w:r>
        <w:rPr>
          <w:rFonts w:hint="eastAsia"/>
          <w:color w:val="auto"/>
          <w:lang w:val="en-US" w:eastAsia="zh-CN"/>
        </w:rPr>
        <w:t>8）《中华人民共和国职业病防治法》（主席令第60号，2011年12月31日实施；主席令〔2018〕第24号公布修正，2018年12月29日修正）</w:t>
      </w:r>
    </w:p>
    <w:p w14:paraId="594CDECA">
      <w:pPr>
        <w:bidi w:val="0"/>
        <w:rPr>
          <w:rFonts w:hint="eastAsia"/>
          <w:color w:val="auto"/>
          <w:lang w:val="en-US" w:eastAsia="zh-CN"/>
        </w:rPr>
      </w:pPr>
      <w:r>
        <w:rPr>
          <w:rFonts w:hint="eastAsia"/>
          <w:color w:val="auto"/>
          <w:lang w:val="en-US" w:eastAsia="zh-CN"/>
        </w:rPr>
        <w:t>9）《中华人民共和国劳动合同法》（主席令第73号， 2013年7月1日实施）</w:t>
      </w:r>
    </w:p>
    <w:p w14:paraId="3E7AC60A">
      <w:pPr>
        <w:bidi w:val="0"/>
        <w:rPr>
          <w:rFonts w:hint="eastAsia"/>
          <w:color w:val="auto"/>
          <w:lang w:val="en-US" w:eastAsia="zh-CN"/>
        </w:rPr>
      </w:pPr>
      <w:r>
        <w:rPr>
          <w:rFonts w:hint="eastAsia"/>
          <w:color w:val="auto"/>
          <w:lang w:val="en-US" w:eastAsia="zh-CN"/>
        </w:rPr>
        <w:t>10）《中华人民共和国特种设备安全法》（主席令第4号，2014年1月1日实施）</w:t>
      </w:r>
    </w:p>
    <w:p w14:paraId="1DDF48AD">
      <w:pPr>
        <w:bidi w:val="0"/>
        <w:rPr>
          <w:rFonts w:hint="eastAsia"/>
          <w:color w:val="auto"/>
          <w:lang w:val="en-US" w:eastAsia="zh-CN"/>
        </w:rPr>
      </w:pPr>
      <w:r>
        <w:rPr>
          <w:rFonts w:hint="eastAsia"/>
          <w:color w:val="auto"/>
          <w:lang w:val="en-US" w:eastAsia="zh-CN"/>
        </w:rPr>
        <w:t>11）《中华人民共和国环境保护法》（主席令第9号，2015年1月1日实施）</w:t>
      </w:r>
    </w:p>
    <w:p w14:paraId="44274F8C">
      <w:pPr>
        <w:pStyle w:val="4"/>
        <w:pageBreakBefore w:val="0"/>
        <w:widowControl w:val="0"/>
        <w:kinsoku/>
        <w:wordWrap/>
        <w:overflowPunct/>
        <w:topLinePunct w:val="0"/>
        <w:autoSpaceDE/>
        <w:autoSpaceDN/>
        <w:bidi w:val="0"/>
        <w:adjustRightInd/>
        <w:snapToGrid/>
        <w:spacing w:before="0" w:after="0"/>
        <w:textAlignment w:val="auto"/>
        <w:rPr>
          <w:rFonts w:hint="default"/>
          <w:b/>
          <w:bCs/>
          <w:color w:val="auto"/>
          <w:lang w:val="en-US" w:eastAsia="zh-CN"/>
        </w:rPr>
      </w:pPr>
      <w:bookmarkStart w:id="123" w:name="_Toc31983"/>
      <w:bookmarkStart w:id="124" w:name="_Toc2495"/>
      <w:r>
        <w:rPr>
          <w:rFonts w:hint="eastAsia"/>
          <w:b/>
          <w:bCs/>
          <w:color w:val="auto"/>
          <w:lang w:val="en-US" w:eastAsia="zh-CN"/>
        </w:rPr>
        <w:t>1.3.2行政法规</w:t>
      </w:r>
      <w:bookmarkEnd w:id="123"/>
      <w:bookmarkEnd w:id="124"/>
    </w:p>
    <w:p w14:paraId="48B11C8F">
      <w:pPr>
        <w:bidi w:val="0"/>
        <w:rPr>
          <w:rFonts w:hint="eastAsia"/>
          <w:color w:val="auto"/>
          <w:lang w:val="en-US" w:eastAsia="zh-CN"/>
        </w:rPr>
      </w:pPr>
      <w:bookmarkStart w:id="125" w:name="_Toc505769053"/>
      <w:bookmarkStart w:id="126" w:name="_Toc1489"/>
      <w:r>
        <w:rPr>
          <w:rFonts w:hint="eastAsia"/>
          <w:color w:val="auto"/>
          <w:lang w:val="en-US" w:eastAsia="zh-CN"/>
        </w:rPr>
        <w:t>1）《矿山安全法实施条例》（劳动部令第4号，自1996年10月30日起施行）</w:t>
      </w:r>
    </w:p>
    <w:p w14:paraId="4BBB39D5">
      <w:pPr>
        <w:bidi w:val="0"/>
        <w:rPr>
          <w:rFonts w:hint="eastAsia"/>
          <w:color w:val="auto"/>
          <w:lang w:val="en-US" w:eastAsia="zh-CN"/>
        </w:rPr>
      </w:pPr>
      <w:r>
        <w:rPr>
          <w:rFonts w:hint="eastAsia"/>
          <w:color w:val="auto"/>
          <w:lang w:val="en-US" w:eastAsia="zh-CN"/>
        </w:rPr>
        <w:t>2）《建设工程安全生产管理条例》（</w:t>
      </w:r>
      <w:r>
        <w:rPr>
          <w:rFonts w:hint="eastAsia"/>
          <w:color w:val="auto"/>
        </w:rPr>
        <w:t>国务院令第393号</w:t>
      </w:r>
      <w:r>
        <w:rPr>
          <w:rFonts w:hint="eastAsia"/>
          <w:color w:val="auto"/>
          <w:lang w:val="en-US" w:eastAsia="zh-CN"/>
        </w:rPr>
        <w:t>，自2004年2月1日起施行）</w:t>
      </w:r>
    </w:p>
    <w:p w14:paraId="75FEA51C">
      <w:pPr>
        <w:bidi w:val="0"/>
        <w:rPr>
          <w:rFonts w:hint="eastAsia"/>
          <w:color w:val="auto"/>
          <w:lang w:val="en-US" w:eastAsia="zh-CN"/>
        </w:rPr>
      </w:pPr>
      <w:r>
        <w:rPr>
          <w:rFonts w:hint="eastAsia"/>
          <w:color w:val="auto"/>
          <w:lang w:val="en-US" w:eastAsia="zh-CN"/>
        </w:rPr>
        <w:t>3）《地质灾害防治条例》（国务院令第394号，自2004年3月1日起施行）</w:t>
      </w:r>
    </w:p>
    <w:p w14:paraId="3B38E7C3">
      <w:pPr>
        <w:bidi w:val="0"/>
        <w:rPr>
          <w:rFonts w:hint="eastAsia"/>
          <w:color w:val="auto"/>
          <w:lang w:val="en-US" w:eastAsia="zh-CN"/>
        </w:rPr>
      </w:pPr>
      <w:r>
        <w:rPr>
          <w:rFonts w:hint="eastAsia"/>
          <w:color w:val="auto"/>
          <w:lang w:val="en-US" w:eastAsia="zh-CN"/>
        </w:rPr>
        <w:t>4）《生产安全事故报告和调查处理条例》（国务院令第493号公布，自2007年6月1日起施行）</w:t>
      </w:r>
    </w:p>
    <w:p w14:paraId="19429D53">
      <w:pPr>
        <w:bidi w:val="0"/>
        <w:rPr>
          <w:rFonts w:hint="eastAsia"/>
          <w:color w:val="auto"/>
          <w:lang w:val="en-US" w:eastAsia="zh-CN"/>
        </w:rPr>
      </w:pPr>
      <w:r>
        <w:rPr>
          <w:rFonts w:hint="eastAsia"/>
          <w:color w:val="auto"/>
          <w:lang w:val="en-US" w:eastAsia="zh-CN"/>
        </w:rPr>
        <w:t>5）《特种设备安全监察条例》（国务院令第373号公布，自2003年6月1日起施行；国务院令第549号公布修订，自2009年5月1日起施行）</w:t>
      </w:r>
    </w:p>
    <w:p w14:paraId="08EAEFAE">
      <w:pPr>
        <w:bidi w:val="0"/>
        <w:rPr>
          <w:rFonts w:hint="eastAsia"/>
          <w:color w:val="auto"/>
          <w:lang w:val="en-US" w:eastAsia="zh-CN"/>
        </w:rPr>
      </w:pPr>
      <w:r>
        <w:rPr>
          <w:rFonts w:hint="eastAsia"/>
          <w:color w:val="auto"/>
          <w:lang w:val="en-US" w:eastAsia="zh-CN"/>
        </w:rPr>
        <w:t>6）《气象灾害防御条例》（国务院令第570号，2010年4月1日施行）</w:t>
      </w:r>
    </w:p>
    <w:p w14:paraId="4ABE01D7">
      <w:pPr>
        <w:bidi w:val="0"/>
        <w:rPr>
          <w:rFonts w:hint="eastAsia"/>
          <w:color w:val="auto"/>
          <w:lang w:val="en-US" w:eastAsia="zh-CN"/>
        </w:rPr>
      </w:pPr>
      <w:r>
        <w:rPr>
          <w:rFonts w:hint="eastAsia"/>
          <w:color w:val="auto"/>
          <w:lang w:val="en-US" w:eastAsia="zh-CN"/>
        </w:rPr>
        <w:t>7）《工伤保险条例》（国务院令第375号公布，自2004年1月1日起施行；国务院令第586号公布修订，自2011年1月1日起施行）</w:t>
      </w:r>
    </w:p>
    <w:p w14:paraId="29FC546E">
      <w:pPr>
        <w:bidi w:val="0"/>
        <w:rPr>
          <w:rFonts w:hint="eastAsia"/>
          <w:color w:val="auto"/>
          <w:lang w:val="en-US" w:eastAsia="zh-CN"/>
        </w:rPr>
      </w:pPr>
      <w:r>
        <w:rPr>
          <w:rFonts w:hint="eastAsia"/>
          <w:color w:val="auto"/>
          <w:lang w:val="en-US" w:eastAsia="zh-CN"/>
        </w:rPr>
        <w:t>8）《安全生产许可证条例》（国务院令第397号公布，自2004年1月13日起施行；国务院令第653号公布修正，2014年7月29日修正）</w:t>
      </w:r>
    </w:p>
    <w:p w14:paraId="3B9F5230">
      <w:pPr>
        <w:bidi w:val="0"/>
        <w:rPr>
          <w:rFonts w:hint="eastAsia"/>
          <w:color w:val="auto"/>
          <w:lang w:val="en-US" w:eastAsia="zh-CN"/>
        </w:rPr>
      </w:pPr>
      <w:r>
        <w:rPr>
          <w:rFonts w:hint="eastAsia"/>
          <w:color w:val="auto"/>
          <w:lang w:val="en-US" w:eastAsia="zh-CN"/>
        </w:rPr>
        <w:t>9）《生产安全事故应急条例》（国务院令第708号，2019年4月1日施行）</w:t>
      </w:r>
    </w:p>
    <w:p w14:paraId="7B69905F">
      <w:pPr>
        <w:bidi w:val="0"/>
        <w:rPr>
          <w:rFonts w:hint="eastAsia"/>
          <w:color w:val="auto"/>
          <w:lang w:val="en-US" w:eastAsia="zh-CN"/>
        </w:rPr>
      </w:pPr>
      <w:r>
        <w:rPr>
          <w:rFonts w:hint="eastAsia"/>
          <w:color w:val="auto"/>
          <w:lang w:val="en-US" w:eastAsia="zh-CN"/>
        </w:rPr>
        <w:t>10）《民用爆炸物品安全管理条例》(国务院令(2006)第466 号公布，自2006年9月1日起施行；国务院令〔2014〕第653号公布修正，2014年7月29日修正)</w:t>
      </w:r>
    </w:p>
    <w:p w14:paraId="1A9CB41F">
      <w:pPr>
        <w:pStyle w:val="4"/>
        <w:pageBreakBefore w:val="0"/>
        <w:widowControl w:val="0"/>
        <w:kinsoku/>
        <w:wordWrap/>
        <w:overflowPunct/>
        <w:topLinePunct w:val="0"/>
        <w:autoSpaceDE/>
        <w:autoSpaceDN/>
        <w:bidi w:val="0"/>
        <w:adjustRightInd/>
        <w:snapToGrid/>
        <w:spacing w:before="0" w:after="0"/>
        <w:textAlignment w:val="auto"/>
        <w:rPr>
          <w:rFonts w:hint="eastAsia" w:eastAsia="宋体"/>
          <w:color w:val="auto"/>
          <w:lang w:val="en-US" w:eastAsia="zh-CN"/>
        </w:rPr>
      </w:pPr>
      <w:bookmarkStart w:id="127" w:name="_Toc21799"/>
      <w:bookmarkStart w:id="128" w:name="_Toc25498"/>
      <w:r>
        <w:rPr>
          <w:rFonts w:hint="eastAsia"/>
          <w:color w:val="auto"/>
        </w:rPr>
        <w:t>1.3.</w:t>
      </w:r>
      <w:bookmarkEnd w:id="125"/>
      <w:bookmarkEnd w:id="126"/>
      <w:r>
        <w:rPr>
          <w:rFonts w:hint="eastAsia"/>
          <w:color w:val="auto"/>
          <w:lang w:val="en-US" w:eastAsia="zh-CN"/>
        </w:rPr>
        <w:t>3</w:t>
      </w:r>
      <w:r>
        <w:rPr>
          <w:rFonts w:hint="eastAsia"/>
          <w:color w:val="auto"/>
          <w:lang w:eastAsia="zh-CN"/>
        </w:rPr>
        <w:t>部门规章</w:t>
      </w:r>
      <w:bookmarkEnd w:id="127"/>
      <w:bookmarkEnd w:id="128"/>
    </w:p>
    <w:p w14:paraId="23460338">
      <w:pPr>
        <w:bidi w:val="0"/>
        <w:rPr>
          <w:rFonts w:hint="eastAsia"/>
          <w:color w:val="auto"/>
        </w:rPr>
      </w:pPr>
      <w:r>
        <w:rPr>
          <w:rFonts w:hint="eastAsia"/>
          <w:color w:val="auto"/>
        </w:rPr>
        <w:t>1）《安全生产事故隐患排查治理暂行规定》（原国家安全生产监督管理总局令第16号，自2008年2月1日起施行）</w:t>
      </w:r>
    </w:p>
    <w:p w14:paraId="40ED375F">
      <w:pPr>
        <w:bidi w:val="0"/>
        <w:rPr>
          <w:rFonts w:hint="eastAsia"/>
          <w:color w:val="auto"/>
        </w:rPr>
      </w:pPr>
      <w:r>
        <w:rPr>
          <w:rFonts w:hint="eastAsia"/>
          <w:color w:val="auto"/>
        </w:rPr>
        <w:t>2）《生产安全事故信息报告和处置办法》（原国家安全生产监督管理总局令第21号，自2009年7月1日起施行）</w:t>
      </w:r>
    </w:p>
    <w:p w14:paraId="7D0C9998">
      <w:pPr>
        <w:bidi w:val="0"/>
        <w:rPr>
          <w:rFonts w:hint="eastAsia"/>
          <w:color w:val="auto"/>
        </w:rPr>
      </w:pPr>
      <w:r>
        <w:rPr>
          <w:rFonts w:hint="eastAsia"/>
          <w:color w:val="auto"/>
        </w:rPr>
        <w:t>3）《电力设施保护条例实施细则》（中华人民共和国国家经济贸易委员会、公安部于1999年3月18日颁布实施，根据国家发展和改革委员会令第10号修改，修正条款自2011年6月30日起施行）</w:t>
      </w:r>
    </w:p>
    <w:p w14:paraId="6B304696">
      <w:pPr>
        <w:bidi w:val="0"/>
        <w:rPr>
          <w:rFonts w:hint="eastAsia"/>
          <w:color w:val="auto"/>
        </w:rPr>
      </w:pPr>
      <w:r>
        <w:rPr>
          <w:rFonts w:hint="eastAsia"/>
          <w:color w:val="auto"/>
        </w:rPr>
        <w:t>4）《安全生产培训管理办法》（国家安全生产监督管理总局令第44号公布，自2012年3月1日起施行；国家安全生产监督管理总局令第63号第一次修正，修正条款自2013年8月29日起施行；国家安全生产监督管理总局令第80号第二次修正，修正条款自2015年7月1日起施行）</w:t>
      </w:r>
    </w:p>
    <w:p w14:paraId="3009822E">
      <w:pPr>
        <w:bidi w:val="0"/>
        <w:rPr>
          <w:rFonts w:hint="eastAsia"/>
          <w:color w:val="auto"/>
        </w:rPr>
      </w:pPr>
      <w:r>
        <w:rPr>
          <w:rFonts w:hint="eastAsia"/>
          <w:color w:val="auto"/>
          <w:lang w:val="en-US" w:eastAsia="zh-CN"/>
        </w:rPr>
        <w:t>5</w:t>
      </w:r>
      <w:r>
        <w:rPr>
          <w:rFonts w:hint="eastAsia"/>
          <w:color w:val="auto"/>
        </w:rPr>
        <w:t>）《国家安全监管总局关于废止和修改非煤矿矿山领域九部规章的决定》（国家安全生产监督管理总局第78号令，2015年7月1日起施行）</w:t>
      </w:r>
    </w:p>
    <w:p w14:paraId="79C5E4F3">
      <w:pPr>
        <w:bidi w:val="0"/>
        <w:rPr>
          <w:rFonts w:hint="eastAsia"/>
          <w:color w:val="auto"/>
        </w:rPr>
      </w:pPr>
      <w:r>
        <w:rPr>
          <w:rFonts w:hint="eastAsia"/>
          <w:color w:val="auto"/>
          <w:lang w:val="en-US" w:eastAsia="zh-CN"/>
        </w:rPr>
        <w:t>6</w:t>
      </w:r>
      <w:r>
        <w:rPr>
          <w:rFonts w:hint="eastAsia"/>
          <w:color w:val="auto"/>
        </w:rPr>
        <w:t>）《国家安全监管总局关于废止和修改劳动防护用品和安全培训等领域十部规章的决定》（国家安全生产监督管理总局第80号令，2015年7月1日起施行）</w:t>
      </w:r>
    </w:p>
    <w:p w14:paraId="4DD1F688">
      <w:pPr>
        <w:bidi w:val="0"/>
        <w:rPr>
          <w:rFonts w:hint="eastAsia"/>
          <w:color w:val="auto"/>
        </w:rPr>
      </w:pPr>
      <w:r>
        <w:rPr>
          <w:rFonts w:hint="eastAsia"/>
          <w:color w:val="auto"/>
          <w:lang w:val="en-US" w:eastAsia="zh-CN"/>
        </w:rPr>
        <w:t>7</w:t>
      </w:r>
      <w:r>
        <w:rPr>
          <w:rFonts w:hint="eastAsia"/>
          <w:color w:val="auto"/>
        </w:rPr>
        <w:t>）《非煤矿矿山企业安全生产许可证实施办法》（国家安全生产监督管理总局令第20号公布，自2009年6月8日起施行；国家安全生产监督管理总局令第78号修正，修正条款自2015年7月1日起施行）</w:t>
      </w:r>
    </w:p>
    <w:p w14:paraId="765C227A">
      <w:pPr>
        <w:bidi w:val="0"/>
        <w:rPr>
          <w:rFonts w:hint="eastAsia"/>
          <w:color w:val="auto"/>
        </w:rPr>
      </w:pPr>
      <w:r>
        <w:rPr>
          <w:rFonts w:hint="eastAsia"/>
          <w:color w:val="auto"/>
          <w:lang w:val="en-US" w:eastAsia="zh-CN"/>
        </w:rPr>
        <w:t>8</w:t>
      </w:r>
      <w:r>
        <w:rPr>
          <w:rFonts w:hint="eastAsia"/>
          <w:color w:val="auto"/>
        </w:rPr>
        <w:t>）《金属非金属矿山建设项目安全设施目录（试行）》（国家安全生产监督管理总局第75号令，2015年7月1日起施行）</w:t>
      </w:r>
    </w:p>
    <w:p w14:paraId="122532C4">
      <w:pPr>
        <w:bidi w:val="0"/>
        <w:rPr>
          <w:rFonts w:hint="default"/>
          <w:color w:val="auto"/>
          <w:lang w:val="en-US" w:eastAsia="zh-CN"/>
        </w:rPr>
      </w:pPr>
      <w:r>
        <w:rPr>
          <w:rFonts w:hint="eastAsia"/>
          <w:color w:val="auto"/>
          <w:lang w:val="en-US" w:eastAsia="zh-CN"/>
        </w:rPr>
        <w:t>9）</w:t>
      </w:r>
      <w:r>
        <w:rPr>
          <w:rFonts w:hint="default"/>
          <w:color w:val="auto"/>
          <w:lang w:val="en-US" w:eastAsia="zh-CN"/>
        </w:rPr>
        <w:t>《特种作业人员安全技术培训考核管理规定》（国家安监总局令〔2010〕第30号发布，经国家安监总局令〔2013〕第63号、〔2015〕第80号修正</w:t>
      </w:r>
      <w:r>
        <w:rPr>
          <w:rFonts w:hint="eastAsia"/>
          <w:color w:val="auto"/>
          <w:lang w:val="en-US" w:eastAsia="zh-CN"/>
        </w:rPr>
        <w:t>，应急管理部令第</w:t>
      </w:r>
      <w:r>
        <w:rPr>
          <w:rFonts w:hint="default"/>
          <w:color w:val="auto"/>
          <w:lang w:val="en-US" w:eastAsia="zh-CN"/>
        </w:rPr>
        <w:t>〔20</w:t>
      </w:r>
      <w:r>
        <w:rPr>
          <w:rFonts w:hint="eastAsia"/>
          <w:color w:val="auto"/>
          <w:lang w:val="en-US" w:eastAsia="zh-CN"/>
        </w:rPr>
        <w:t>25</w:t>
      </w:r>
      <w:r>
        <w:rPr>
          <w:rFonts w:hint="default"/>
          <w:color w:val="auto"/>
          <w:lang w:val="en-US" w:eastAsia="zh-CN"/>
        </w:rPr>
        <w:t>〕</w:t>
      </w:r>
      <w:r>
        <w:rPr>
          <w:rFonts w:hint="eastAsia"/>
          <w:color w:val="auto"/>
          <w:lang w:val="en-US" w:eastAsia="zh-CN"/>
        </w:rPr>
        <w:t>19号修订</w:t>
      </w:r>
      <w:r>
        <w:rPr>
          <w:rFonts w:hint="default"/>
          <w:color w:val="auto"/>
          <w:lang w:val="en-US" w:eastAsia="zh-CN"/>
        </w:rPr>
        <w:t>，自20</w:t>
      </w:r>
      <w:r>
        <w:rPr>
          <w:rFonts w:hint="eastAsia"/>
          <w:color w:val="auto"/>
          <w:lang w:val="en-US" w:eastAsia="zh-CN"/>
        </w:rPr>
        <w:t>26</w:t>
      </w:r>
      <w:r>
        <w:rPr>
          <w:rFonts w:hint="default"/>
          <w:color w:val="auto"/>
          <w:lang w:val="en-US" w:eastAsia="zh-CN"/>
        </w:rPr>
        <w:t>年</w:t>
      </w:r>
      <w:r>
        <w:rPr>
          <w:rFonts w:hint="eastAsia"/>
          <w:color w:val="auto"/>
          <w:lang w:val="en-US" w:eastAsia="zh-CN"/>
        </w:rPr>
        <w:t>6</w:t>
      </w:r>
      <w:r>
        <w:rPr>
          <w:rFonts w:hint="default"/>
          <w:color w:val="auto"/>
          <w:lang w:val="en-US" w:eastAsia="zh-CN"/>
        </w:rPr>
        <w:t>月1日起施行）</w:t>
      </w:r>
    </w:p>
    <w:p w14:paraId="1147C53F">
      <w:pPr>
        <w:rPr>
          <w:rFonts w:hint="default"/>
          <w:color w:val="auto"/>
          <w:lang w:val="en-US" w:eastAsia="zh-CN"/>
        </w:rPr>
      </w:pPr>
      <w:r>
        <w:rPr>
          <w:rFonts w:hint="eastAsia"/>
          <w:color w:val="auto"/>
        </w:rPr>
        <w:t>1</w:t>
      </w:r>
      <w:r>
        <w:rPr>
          <w:rFonts w:hint="eastAsia"/>
          <w:color w:val="auto"/>
          <w:lang w:val="en-US" w:eastAsia="zh-CN"/>
        </w:rPr>
        <w:t>0</w:t>
      </w:r>
      <w:r>
        <w:rPr>
          <w:rFonts w:hint="eastAsia"/>
          <w:color w:val="auto"/>
        </w:rPr>
        <w:t>）《生产安全事故应急预案管理办法》</w:t>
      </w:r>
      <w:r>
        <w:rPr>
          <w:rFonts w:hint="default"/>
          <w:color w:val="auto"/>
          <w:lang w:val="en-US" w:eastAsia="zh-CN"/>
        </w:rPr>
        <w:t>（国家安监总局令第17号发布，经国家安监总局令第88号、应急管理部令第2号修正，自2009年5月1日起施行）</w:t>
      </w:r>
    </w:p>
    <w:p w14:paraId="2CECA353">
      <w:pPr>
        <w:bidi w:val="0"/>
        <w:rPr>
          <w:rFonts w:hint="eastAsia"/>
          <w:color w:val="auto"/>
          <w:lang w:eastAsia="zh-CN"/>
        </w:rPr>
      </w:pPr>
      <w:r>
        <w:rPr>
          <w:rFonts w:hint="eastAsia"/>
          <w:color w:val="auto"/>
          <w:lang w:val="en-US" w:eastAsia="zh-CN"/>
        </w:rPr>
        <w:t>11</w:t>
      </w:r>
      <w:r>
        <w:rPr>
          <w:rFonts w:hint="eastAsia"/>
          <w:color w:val="auto"/>
          <w:lang w:eastAsia="zh-CN"/>
        </w:rPr>
        <w:t>）《矿山地质环境保护规定》（自然资源部令第</w:t>
      </w:r>
      <w:r>
        <w:rPr>
          <w:rFonts w:hint="eastAsia"/>
          <w:color w:val="auto"/>
          <w:lang w:val="en-US" w:eastAsia="zh-CN"/>
        </w:rPr>
        <w:t>5号，2019年7月16日施行</w:t>
      </w:r>
      <w:r>
        <w:rPr>
          <w:rFonts w:hint="eastAsia"/>
          <w:color w:val="auto"/>
          <w:lang w:eastAsia="zh-CN"/>
        </w:rPr>
        <w:t>）</w:t>
      </w:r>
    </w:p>
    <w:p w14:paraId="622C0D08">
      <w:pPr>
        <w:bidi w:val="0"/>
        <w:rPr>
          <w:rFonts w:hint="eastAsia"/>
          <w:color w:val="auto"/>
          <w:lang w:val="en-US" w:eastAsia="zh-CN"/>
        </w:rPr>
      </w:pPr>
      <w:r>
        <w:rPr>
          <w:rFonts w:hint="eastAsia" w:ascii="宋体" w:hAnsi="宋体" w:eastAsia="宋体" w:cs="宋体"/>
          <w:color w:val="auto"/>
          <w:sz w:val="28"/>
          <w:szCs w:val="28"/>
          <w:highlight w:val="none"/>
          <w:lang w:val="en-US" w:eastAsia="zh-CN"/>
        </w:rPr>
        <w:t>1</w:t>
      </w:r>
      <w:r>
        <w:rPr>
          <w:rFonts w:hint="eastAsia"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《突发事件应急预案管理办法》（国办发〔20</w:t>
      </w:r>
      <w:r>
        <w:rPr>
          <w:rFonts w:hint="eastAsia" w:ascii="宋体" w:hAnsi="宋体" w:eastAsia="宋体" w:cs="宋体"/>
          <w:color w:val="auto"/>
          <w:sz w:val="28"/>
          <w:szCs w:val="28"/>
          <w:highlight w:val="none"/>
          <w:lang w:val="en-US" w:eastAsia="zh-CN"/>
        </w:rPr>
        <w:t>24</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号公布</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2024年1月31日施行</w:t>
      </w:r>
      <w:r>
        <w:rPr>
          <w:rFonts w:hint="eastAsia" w:ascii="宋体" w:hAnsi="宋体" w:eastAsia="宋体" w:cs="宋体"/>
          <w:color w:val="auto"/>
          <w:sz w:val="28"/>
          <w:szCs w:val="28"/>
          <w:highlight w:val="none"/>
          <w:lang w:eastAsia="zh-CN"/>
        </w:rPr>
        <w:t>）</w:t>
      </w:r>
    </w:p>
    <w:p w14:paraId="4796474B">
      <w:pPr>
        <w:bidi w:val="0"/>
        <w:rPr>
          <w:rFonts w:hint="eastAsia"/>
          <w:color w:val="auto"/>
          <w:lang w:val="en-US" w:eastAsia="zh-CN"/>
        </w:rPr>
      </w:pPr>
      <w:r>
        <w:rPr>
          <w:rFonts w:hint="eastAsia"/>
          <w:color w:val="auto"/>
          <w:lang w:val="en-US" w:eastAsia="zh-CN"/>
        </w:rPr>
        <w:t>13）《矿山救援规程》（应急管理部令第16号，自2024年7月1日起施行）</w:t>
      </w:r>
    </w:p>
    <w:p w14:paraId="24F2FB06">
      <w:pPr>
        <w:pStyle w:val="4"/>
        <w:pageBreakBefore w:val="0"/>
        <w:widowControl w:val="0"/>
        <w:kinsoku/>
        <w:wordWrap/>
        <w:overflowPunct/>
        <w:topLinePunct w:val="0"/>
        <w:autoSpaceDE/>
        <w:autoSpaceDN/>
        <w:bidi w:val="0"/>
        <w:adjustRightInd/>
        <w:snapToGrid/>
        <w:spacing w:before="0" w:after="0"/>
        <w:textAlignment w:val="auto"/>
        <w:rPr>
          <w:rFonts w:hint="default"/>
          <w:b/>
          <w:bCs/>
          <w:color w:val="auto"/>
          <w:lang w:val="en-US" w:eastAsia="zh-CN"/>
        </w:rPr>
      </w:pPr>
      <w:bookmarkStart w:id="129" w:name="_Toc15430"/>
      <w:bookmarkStart w:id="130" w:name="_Toc1394"/>
      <w:r>
        <w:rPr>
          <w:rFonts w:hint="eastAsia"/>
          <w:b/>
          <w:bCs/>
          <w:color w:val="auto"/>
          <w:lang w:val="en-US" w:eastAsia="zh-CN"/>
        </w:rPr>
        <w:t>1.3.4地方性法规</w:t>
      </w:r>
      <w:bookmarkEnd w:id="129"/>
      <w:bookmarkEnd w:id="130"/>
    </w:p>
    <w:p w14:paraId="19C333C5">
      <w:pPr>
        <w:bidi w:val="0"/>
        <w:rPr>
          <w:rFonts w:hint="eastAsia"/>
          <w:color w:val="auto"/>
          <w:lang w:val="en-US" w:eastAsia="zh-CN"/>
        </w:rPr>
      </w:pPr>
      <w:r>
        <w:rPr>
          <w:rFonts w:hint="eastAsia"/>
          <w:color w:val="auto"/>
          <w:lang w:val="en-US" w:eastAsia="zh-CN"/>
        </w:rPr>
        <w:t>1)《江西省实施&lt;中华人民共和国矿山安全法&gt;办法》(江西省第八届人民代表大会常务委员会第十一次会议通过，自1994年12月1日起施行；2010年9月17日江西省第十一届人民代表大会常务委员会第十八次会议第二次修正)</w:t>
      </w:r>
    </w:p>
    <w:p w14:paraId="4329B145">
      <w:pPr>
        <w:bidi w:val="0"/>
        <w:rPr>
          <w:rFonts w:hint="eastAsia"/>
          <w:color w:val="auto"/>
          <w:lang w:val="en-US" w:eastAsia="zh-CN"/>
        </w:rPr>
      </w:pPr>
      <w:r>
        <w:rPr>
          <w:rFonts w:hint="eastAsia"/>
          <w:color w:val="auto"/>
          <w:lang w:val="en-US" w:eastAsia="zh-CN"/>
        </w:rPr>
        <w:t>2)《江西省消防条例》(江西省第八届人民代表大会常务委员会第十九次会议通过，自1995年12月20日起施行；2020年11月25日江西省第十三届人民代表大会常务委员会第二十五次会议第六次修正)</w:t>
      </w:r>
    </w:p>
    <w:p w14:paraId="5EDD801A">
      <w:pPr>
        <w:bidi w:val="0"/>
        <w:rPr>
          <w:rFonts w:hint="eastAsia"/>
          <w:color w:val="auto"/>
          <w:lang w:val="en-US" w:eastAsia="zh-CN"/>
        </w:rPr>
      </w:pPr>
      <w:r>
        <w:rPr>
          <w:rFonts w:hint="eastAsia"/>
          <w:color w:val="auto"/>
          <w:lang w:val="en-US" w:eastAsia="zh-CN"/>
        </w:rPr>
        <w:t>3)《江西省安全生产条例》(江西省第十届人民代表大会常务委员会第二十八次会议通过，自2007年5月1日起施行；江西省第十四届人民代表大会常务委员会第三次会议第二次修订，自2023年9月1日起施行)</w:t>
      </w:r>
    </w:p>
    <w:p w14:paraId="10229574">
      <w:pPr>
        <w:bidi w:val="0"/>
        <w:rPr>
          <w:rFonts w:hint="eastAsia"/>
          <w:color w:val="auto"/>
          <w:lang w:val="en-US" w:eastAsia="zh-CN"/>
        </w:rPr>
      </w:pPr>
      <w:r>
        <w:rPr>
          <w:rFonts w:hint="eastAsia"/>
          <w:color w:val="auto"/>
          <w:lang w:val="en-US" w:eastAsia="zh-CN"/>
        </w:rPr>
        <w:t>4)《江西省突发事件应对条例》(江西省第十二届人民代表大会常务委员会第五次会议通过，自2013年9月1日起施行)</w:t>
      </w:r>
    </w:p>
    <w:p w14:paraId="033EEC15">
      <w:pPr>
        <w:bidi w:val="0"/>
        <w:rPr>
          <w:rFonts w:hint="eastAsia"/>
          <w:color w:val="auto"/>
          <w:lang w:val="en-US" w:eastAsia="zh-CN"/>
        </w:rPr>
      </w:pPr>
      <w:r>
        <w:rPr>
          <w:rFonts w:hint="eastAsia"/>
          <w:color w:val="auto"/>
          <w:lang w:val="en-US" w:eastAsia="zh-CN"/>
        </w:rPr>
        <w:t>5)《江西省矿产资源管理条例》(江西省第十二届人民代表大会常务委员会第十八次会议通过，自2015年7月1日起施行)</w:t>
      </w:r>
    </w:p>
    <w:p w14:paraId="1851F80F">
      <w:pPr>
        <w:pStyle w:val="4"/>
        <w:pageBreakBefore w:val="0"/>
        <w:widowControl w:val="0"/>
        <w:kinsoku/>
        <w:wordWrap/>
        <w:overflowPunct/>
        <w:topLinePunct w:val="0"/>
        <w:autoSpaceDE/>
        <w:autoSpaceDN/>
        <w:bidi w:val="0"/>
        <w:adjustRightInd/>
        <w:snapToGrid/>
        <w:spacing w:before="0" w:after="0"/>
        <w:textAlignment w:val="auto"/>
        <w:rPr>
          <w:rFonts w:hint="default"/>
          <w:b/>
          <w:bCs/>
          <w:color w:val="auto"/>
          <w:lang w:val="en-US" w:eastAsia="zh-CN"/>
        </w:rPr>
      </w:pPr>
      <w:bookmarkStart w:id="131" w:name="_Toc32628"/>
      <w:bookmarkStart w:id="132" w:name="_Toc20574"/>
      <w:r>
        <w:rPr>
          <w:rFonts w:hint="eastAsia"/>
          <w:b/>
          <w:bCs/>
          <w:color w:val="auto"/>
          <w:lang w:val="en-US" w:eastAsia="zh-CN"/>
        </w:rPr>
        <w:t>1.3.5地方政府规章</w:t>
      </w:r>
      <w:bookmarkEnd w:id="131"/>
      <w:bookmarkEnd w:id="132"/>
    </w:p>
    <w:p w14:paraId="7FB67896">
      <w:pPr>
        <w:bidi w:val="0"/>
        <w:rPr>
          <w:rFonts w:hint="eastAsia"/>
          <w:color w:val="auto"/>
        </w:rPr>
      </w:pPr>
      <w:r>
        <w:rPr>
          <w:rFonts w:hint="eastAsia"/>
          <w:color w:val="auto"/>
        </w:rPr>
        <w:t>1）《江西省电力设施保护办法》（江西省政府令52号发布，1997年 5 月5日起施行，江西省人民政府令200号，2012年9月17日起施行）</w:t>
      </w:r>
    </w:p>
    <w:p w14:paraId="620E4073">
      <w:pPr>
        <w:bidi w:val="0"/>
        <w:rPr>
          <w:rFonts w:hint="eastAsia"/>
          <w:color w:val="auto"/>
        </w:rPr>
      </w:pPr>
      <w:r>
        <w:rPr>
          <w:rFonts w:hint="eastAsia"/>
          <w:color w:val="auto"/>
        </w:rPr>
        <w:t>2）《江西省实施〈工伤保险条例〉办法》（2013年4月24日第3次省政府常务会议审议通过，2013年5月6日省政府令第204号公布，自2013年7月1日起施行）</w:t>
      </w:r>
    </w:p>
    <w:p w14:paraId="63AEF55A">
      <w:pPr>
        <w:bidi w:val="0"/>
        <w:rPr>
          <w:rFonts w:hint="default" w:cs="Times New Roman"/>
          <w:color w:val="auto"/>
          <w:lang w:val="en-US" w:eastAsia="zh-CN"/>
        </w:rPr>
      </w:pPr>
      <w:r>
        <w:rPr>
          <w:rFonts w:hint="eastAsia" w:cs="Times New Roman"/>
          <w:color w:val="auto"/>
        </w:rPr>
        <w:t>3）</w:t>
      </w:r>
      <w:r>
        <w:rPr>
          <w:rFonts w:hint="default" w:cs="Times New Roman"/>
          <w:color w:val="auto"/>
          <w:lang w:val="en-US" w:eastAsia="zh-CN"/>
        </w:rPr>
        <w:t>《江西省非煤矿矿山企业安全生产许可证实施办法》（赣政令〔2011〕189号发布，经赣政令〔2019〕241号</w:t>
      </w:r>
      <w:r>
        <w:rPr>
          <w:rFonts w:hint="eastAsia" w:cs="Times New Roman"/>
          <w:color w:val="auto"/>
          <w:lang w:val="en-US" w:eastAsia="zh-CN"/>
        </w:rPr>
        <w:t>、</w:t>
      </w:r>
      <w:r>
        <w:rPr>
          <w:rFonts w:hint="default" w:cs="Times New Roman"/>
          <w:color w:val="auto"/>
          <w:lang w:val="en-US" w:eastAsia="zh-CN"/>
        </w:rPr>
        <w:t>〔20</w:t>
      </w:r>
      <w:r>
        <w:rPr>
          <w:rFonts w:hint="eastAsia" w:cs="Times New Roman"/>
          <w:color w:val="auto"/>
          <w:lang w:val="en-US" w:eastAsia="zh-CN"/>
        </w:rPr>
        <w:t>25</w:t>
      </w:r>
      <w:r>
        <w:rPr>
          <w:rFonts w:hint="default" w:cs="Times New Roman"/>
          <w:color w:val="auto"/>
          <w:lang w:val="en-US" w:eastAsia="zh-CN"/>
        </w:rPr>
        <w:t>〕2</w:t>
      </w:r>
      <w:r>
        <w:rPr>
          <w:rFonts w:hint="eastAsia" w:cs="Times New Roman"/>
          <w:color w:val="auto"/>
          <w:lang w:val="en-US" w:eastAsia="zh-CN"/>
        </w:rPr>
        <w:t>73</w:t>
      </w:r>
      <w:r>
        <w:rPr>
          <w:rFonts w:hint="default" w:cs="Times New Roman"/>
          <w:color w:val="auto"/>
          <w:lang w:val="en-US" w:eastAsia="zh-CN"/>
        </w:rPr>
        <w:t>号修正，自2011年3月1日起施行）</w:t>
      </w:r>
    </w:p>
    <w:p w14:paraId="3058267D">
      <w:pPr>
        <w:bidi w:val="0"/>
        <w:rPr>
          <w:color w:val="auto"/>
        </w:rPr>
      </w:pPr>
      <w:r>
        <w:rPr>
          <w:rFonts w:hint="eastAsia"/>
          <w:color w:val="auto"/>
        </w:rPr>
        <w:t>4）《江西省生产安全事故隐患排查治理办法》（2021年6月9日省人民政府令第250号修正）</w:t>
      </w:r>
    </w:p>
    <w:p w14:paraId="5A17B04C">
      <w:pPr>
        <w:pStyle w:val="4"/>
        <w:pageBreakBefore w:val="0"/>
        <w:widowControl w:val="0"/>
        <w:kinsoku/>
        <w:wordWrap/>
        <w:overflowPunct/>
        <w:topLinePunct w:val="0"/>
        <w:autoSpaceDE/>
        <w:autoSpaceDN/>
        <w:bidi w:val="0"/>
        <w:adjustRightInd/>
        <w:snapToGrid/>
        <w:spacing w:before="0" w:after="0"/>
        <w:textAlignment w:val="auto"/>
        <w:rPr>
          <w:rFonts w:hint="default"/>
          <w:b/>
          <w:bCs/>
          <w:color w:val="auto"/>
          <w:lang w:val="en-US" w:eastAsia="zh-CN"/>
        </w:rPr>
      </w:pPr>
      <w:bookmarkStart w:id="133" w:name="_Toc22051"/>
      <w:bookmarkStart w:id="134" w:name="_Toc3716"/>
      <w:r>
        <w:rPr>
          <w:rFonts w:hint="eastAsia"/>
          <w:b/>
          <w:bCs/>
          <w:color w:val="auto"/>
          <w:lang w:val="en-US" w:eastAsia="zh-CN"/>
        </w:rPr>
        <w:t>1.3.6规范性文件</w:t>
      </w:r>
      <w:bookmarkEnd w:id="133"/>
      <w:bookmarkEnd w:id="134"/>
    </w:p>
    <w:p w14:paraId="61721CE3">
      <w:pPr>
        <w:bidi w:val="0"/>
        <w:rPr>
          <w:rFonts w:hint="eastAsia"/>
          <w:color w:val="auto"/>
        </w:rPr>
      </w:pPr>
      <w:r>
        <w:rPr>
          <w:rFonts w:hint="eastAsia"/>
          <w:color w:val="auto"/>
        </w:rPr>
        <w:t>1）《国务院关于进一步加强企业安全生产工作的通知》（国发〔2010〕23号，2010年7月19日）</w:t>
      </w:r>
    </w:p>
    <w:p w14:paraId="2865F1B8">
      <w:pPr>
        <w:bidi w:val="0"/>
        <w:rPr>
          <w:color w:val="auto"/>
        </w:rPr>
      </w:pPr>
      <w:r>
        <w:rPr>
          <w:rFonts w:hint="eastAsia"/>
          <w:color w:val="auto"/>
          <w:lang w:val="en-US" w:eastAsia="zh-CN"/>
        </w:rPr>
        <w:t>2</w:t>
      </w:r>
      <w:r>
        <w:rPr>
          <w:rFonts w:hint="eastAsia"/>
          <w:color w:val="auto"/>
        </w:rPr>
        <w:t>）《关于进一步加强矿山安全生产工作的意见》（中共中央办公厅、国务院办公厅，</w:t>
      </w:r>
      <w:r>
        <w:rPr>
          <w:rFonts w:hint="default"/>
          <w:color w:val="auto"/>
          <w:lang w:val="en-US" w:eastAsia="zh-CN"/>
        </w:rPr>
        <w:t>厅字〔2023〕21号</w:t>
      </w:r>
      <w:r>
        <w:rPr>
          <w:rFonts w:hint="eastAsia"/>
          <w:color w:val="auto"/>
          <w:lang w:val="en-US" w:eastAsia="zh-CN"/>
        </w:rPr>
        <w:t>，</w:t>
      </w:r>
      <w:r>
        <w:rPr>
          <w:rFonts w:hint="eastAsia"/>
          <w:color w:val="auto"/>
        </w:rPr>
        <w:t>2023年9月6日）</w:t>
      </w:r>
    </w:p>
    <w:p w14:paraId="7094E0D1">
      <w:pPr>
        <w:bidi w:val="0"/>
        <w:rPr>
          <w:rFonts w:hint="eastAsia"/>
          <w:color w:val="auto"/>
        </w:rPr>
      </w:pPr>
      <w:r>
        <w:rPr>
          <w:rFonts w:hint="eastAsia"/>
          <w:color w:val="auto"/>
          <w:lang w:val="en-US" w:eastAsia="zh-CN"/>
        </w:rPr>
        <w:t>3</w:t>
      </w:r>
      <w:r>
        <w:rPr>
          <w:rFonts w:hint="eastAsia"/>
          <w:color w:val="auto"/>
        </w:rPr>
        <w:t>）《国务院安委会办公室关于建立安全隐患排查治理体系的通知》（安委办〔2012〕1号）</w:t>
      </w:r>
    </w:p>
    <w:p w14:paraId="2AED75A0">
      <w:pPr>
        <w:bidi w:val="0"/>
        <w:rPr>
          <w:rFonts w:hint="eastAsia"/>
          <w:color w:val="auto"/>
        </w:rPr>
      </w:pPr>
      <w:r>
        <w:rPr>
          <w:rFonts w:hint="eastAsia"/>
          <w:color w:val="auto"/>
          <w:lang w:val="en-US" w:eastAsia="zh-CN"/>
        </w:rPr>
        <w:t>4</w:t>
      </w:r>
      <w:r>
        <w:rPr>
          <w:rFonts w:hint="eastAsia"/>
          <w:color w:val="auto"/>
        </w:rPr>
        <w:t>）《国家安全监管总局关于印发淘汰落后安全技术装备目录（2015年第一批）的通知》（安监总科技〔2015〕75号，2015年7月10日）</w:t>
      </w:r>
    </w:p>
    <w:p w14:paraId="752C0AFA">
      <w:pPr>
        <w:bidi w:val="0"/>
        <w:rPr>
          <w:rFonts w:hint="eastAsia"/>
          <w:color w:val="auto"/>
        </w:rPr>
      </w:pPr>
      <w:r>
        <w:rPr>
          <w:rFonts w:hint="eastAsia"/>
          <w:color w:val="auto"/>
          <w:lang w:val="en-US" w:eastAsia="zh-CN"/>
        </w:rPr>
        <w:t>5</w:t>
      </w:r>
      <w:r>
        <w:rPr>
          <w:rFonts w:hint="eastAsia"/>
          <w:color w:val="auto"/>
        </w:rPr>
        <w:t>）《国家安全监管总局关于发布金属非金属矿山禁止使用的设备及工艺目录（第二批）的通知》（安监总管一〔2015〕13号</w:t>
      </w:r>
      <w:r>
        <w:rPr>
          <w:rFonts w:hint="eastAsia"/>
          <w:color w:val="auto"/>
          <w:lang w:eastAsia="zh-CN"/>
        </w:rPr>
        <w:t>，</w:t>
      </w:r>
      <w:r>
        <w:rPr>
          <w:rFonts w:hint="eastAsia"/>
          <w:color w:val="auto"/>
        </w:rPr>
        <w:t>2015年2月13日）</w:t>
      </w:r>
    </w:p>
    <w:p w14:paraId="2EEEB44E">
      <w:pPr>
        <w:bidi w:val="0"/>
        <w:rPr>
          <w:rFonts w:hint="eastAsia"/>
          <w:color w:val="auto"/>
        </w:rPr>
      </w:pPr>
      <w:r>
        <w:rPr>
          <w:rFonts w:hint="eastAsia"/>
          <w:color w:val="auto"/>
          <w:lang w:val="en-US" w:eastAsia="zh-CN"/>
        </w:rPr>
        <w:t>6</w:t>
      </w:r>
      <w:r>
        <w:rPr>
          <w:rFonts w:hint="eastAsia"/>
          <w:color w:val="auto"/>
        </w:rPr>
        <w:t>）《国家安全监管总局关于印发企业安全生产责任体系五落实五到位规定的通知》（安监总办〔2015〕27号）</w:t>
      </w:r>
    </w:p>
    <w:p w14:paraId="5824C4D1">
      <w:pPr>
        <w:bidi w:val="0"/>
        <w:rPr>
          <w:rFonts w:hint="eastAsia"/>
          <w:color w:val="auto"/>
        </w:rPr>
      </w:pPr>
      <w:r>
        <w:rPr>
          <w:rFonts w:hint="eastAsia"/>
          <w:color w:val="auto"/>
          <w:lang w:val="en-US" w:eastAsia="zh-CN"/>
        </w:rPr>
        <w:t>7</w:t>
      </w:r>
      <w:r>
        <w:rPr>
          <w:rFonts w:hint="eastAsia"/>
          <w:color w:val="auto"/>
        </w:rPr>
        <w:t>）《国家安全监管总局关于非煤矿山安全生产风险分级监管工作的指导意见》（安监总管一〔2015〕91号）</w:t>
      </w:r>
    </w:p>
    <w:p w14:paraId="5D30581E">
      <w:pPr>
        <w:bidi w:val="0"/>
        <w:rPr>
          <w:rFonts w:hint="eastAsia"/>
          <w:color w:val="auto"/>
        </w:rPr>
      </w:pPr>
      <w:r>
        <w:rPr>
          <w:rFonts w:hint="eastAsia"/>
          <w:color w:val="auto"/>
          <w:lang w:val="en-US" w:eastAsia="zh-CN"/>
        </w:rPr>
        <w:t>8</w:t>
      </w:r>
      <w:r>
        <w:rPr>
          <w:rFonts w:hint="eastAsia"/>
          <w:color w:val="auto"/>
        </w:rPr>
        <w:t>）《国务院安委会办公室关于实施遏制重特大事故工作指南构建双重预防机制的意见》（安委办〔2016〕11号，2016年10月9日）</w:t>
      </w:r>
    </w:p>
    <w:p w14:paraId="3C4A0495">
      <w:pPr>
        <w:bidi w:val="0"/>
        <w:rPr>
          <w:rFonts w:hint="eastAsia"/>
          <w:color w:val="auto"/>
        </w:rPr>
      </w:pPr>
      <w:r>
        <w:rPr>
          <w:rFonts w:hint="eastAsia"/>
          <w:color w:val="auto"/>
          <w:lang w:val="en-US" w:eastAsia="zh-CN"/>
        </w:rPr>
        <w:t>9</w:t>
      </w:r>
      <w:r>
        <w:rPr>
          <w:rFonts w:hint="eastAsia"/>
          <w:color w:val="auto"/>
        </w:rPr>
        <w:t>）</w:t>
      </w:r>
      <w:r>
        <w:rPr>
          <w:rFonts w:hint="eastAsia"/>
          <w:color w:val="auto"/>
          <w:lang w:eastAsia="zh-CN"/>
        </w:rPr>
        <w:t>《</w:t>
      </w:r>
      <w:r>
        <w:rPr>
          <w:rFonts w:hint="eastAsia"/>
          <w:color w:val="auto"/>
        </w:rPr>
        <w:t>国务院安委会办公室关于印发</w:t>
      </w:r>
      <w:r>
        <w:rPr>
          <w:rFonts w:hint="eastAsia"/>
          <w:color w:val="auto"/>
          <w:lang w:val="en-US" w:eastAsia="zh-CN"/>
        </w:rPr>
        <w:t>&lt;</w:t>
      </w:r>
      <w:r>
        <w:rPr>
          <w:rFonts w:hint="eastAsia"/>
          <w:color w:val="auto"/>
        </w:rPr>
        <w:t>金属非金属地下矿山采空区事故隐患治理工作方案</w:t>
      </w:r>
      <w:r>
        <w:rPr>
          <w:rFonts w:hint="eastAsia"/>
          <w:color w:val="auto"/>
          <w:lang w:val="en-US" w:eastAsia="zh-CN"/>
        </w:rPr>
        <w:t>&gt;</w:t>
      </w:r>
      <w:r>
        <w:rPr>
          <w:rFonts w:hint="eastAsia"/>
          <w:color w:val="auto"/>
        </w:rPr>
        <w:t>的通知</w:t>
      </w:r>
      <w:r>
        <w:rPr>
          <w:rFonts w:hint="eastAsia"/>
          <w:color w:val="auto"/>
          <w:lang w:eastAsia="zh-CN"/>
        </w:rPr>
        <w:t>》</w:t>
      </w:r>
      <w:r>
        <w:rPr>
          <w:rFonts w:hint="eastAsia"/>
          <w:color w:val="auto"/>
        </w:rPr>
        <w:t>（安委办〔2016〕5号）</w:t>
      </w:r>
    </w:p>
    <w:p w14:paraId="4435EAD0">
      <w:pPr>
        <w:bidi w:val="0"/>
        <w:rPr>
          <w:rFonts w:hint="eastAsia"/>
          <w:color w:val="auto"/>
        </w:rPr>
      </w:pPr>
      <w:r>
        <w:rPr>
          <w:rFonts w:hint="eastAsia"/>
          <w:color w:val="auto"/>
          <w:lang w:val="en-US" w:eastAsia="zh-CN"/>
        </w:rPr>
        <w:t>10</w:t>
      </w:r>
      <w:r>
        <w:rPr>
          <w:rFonts w:hint="eastAsia"/>
          <w:color w:val="auto"/>
        </w:rPr>
        <w:t>）《国家安全监管总局办公厅关于强化遏制非煤矿山重特大事故工作举措的通知》（安监总厅管一函〔2016〕230号，2016年12月8日印发）</w:t>
      </w:r>
    </w:p>
    <w:p w14:paraId="18F00ABF">
      <w:pPr>
        <w:bidi w:val="0"/>
        <w:rPr>
          <w:rFonts w:hint="eastAsia"/>
          <w:color w:val="auto"/>
          <w:lang w:val="en-US" w:eastAsia="zh-CN"/>
        </w:rPr>
      </w:pPr>
      <w:r>
        <w:rPr>
          <w:rFonts w:hint="eastAsia"/>
          <w:color w:val="auto"/>
          <w:lang w:val="en-US" w:eastAsia="zh-CN"/>
        </w:rPr>
        <w:t>11）《</w:t>
      </w:r>
      <w:r>
        <w:rPr>
          <w:rFonts w:hint="default"/>
          <w:color w:val="auto"/>
          <w:lang w:val="en-US" w:eastAsia="zh-CN"/>
        </w:rPr>
        <w:t>关于印发</w:t>
      </w:r>
      <w:r>
        <w:rPr>
          <w:rFonts w:hint="eastAsia"/>
          <w:color w:val="auto"/>
          <w:lang w:val="en-US" w:eastAsia="zh-CN"/>
        </w:rPr>
        <w:t>&lt;</w:t>
      </w:r>
      <w:r>
        <w:rPr>
          <w:rFonts w:hint="default"/>
          <w:color w:val="auto"/>
          <w:lang w:val="en-US" w:eastAsia="zh-CN"/>
        </w:rPr>
        <w:t>安全生产责任保险实施办法</w:t>
      </w:r>
      <w:r>
        <w:rPr>
          <w:rFonts w:hint="eastAsia"/>
          <w:color w:val="auto"/>
          <w:lang w:val="en-US" w:eastAsia="zh-CN"/>
        </w:rPr>
        <w:t>&gt;</w:t>
      </w:r>
      <w:r>
        <w:rPr>
          <w:rFonts w:hint="default"/>
          <w:color w:val="auto"/>
          <w:lang w:val="en-US" w:eastAsia="zh-CN"/>
        </w:rPr>
        <w:t>的通知》</w:t>
      </w:r>
      <w:r>
        <w:rPr>
          <w:rFonts w:hint="eastAsia"/>
          <w:color w:val="auto"/>
          <w:lang w:val="en-US" w:eastAsia="zh-CN"/>
        </w:rPr>
        <w:t>（</w:t>
      </w:r>
      <w:r>
        <w:rPr>
          <w:rFonts w:hint="default"/>
          <w:color w:val="auto"/>
          <w:lang w:val="en-US" w:eastAsia="zh-CN"/>
        </w:rPr>
        <w:t>应急〔2025〕27号</w:t>
      </w:r>
      <w:r>
        <w:rPr>
          <w:rFonts w:hint="eastAsia"/>
          <w:color w:val="auto"/>
          <w:lang w:val="en-US" w:eastAsia="zh-CN"/>
        </w:rPr>
        <w:t>，2025年3月29日）</w:t>
      </w:r>
    </w:p>
    <w:p w14:paraId="07C443C6">
      <w:pPr>
        <w:bidi w:val="0"/>
        <w:rPr>
          <w:rFonts w:hint="eastAsia"/>
          <w:color w:val="auto"/>
        </w:rPr>
      </w:pPr>
      <w:r>
        <w:rPr>
          <w:rFonts w:hint="eastAsia"/>
          <w:color w:val="auto"/>
          <w:lang w:val="en-US" w:eastAsia="zh-CN"/>
        </w:rPr>
        <w:t>12</w:t>
      </w:r>
      <w:r>
        <w:rPr>
          <w:rFonts w:hint="eastAsia"/>
          <w:color w:val="auto"/>
        </w:rPr>
        <w:t>）《国家安全监管总局办公厅关于修改</w:t>
      </w:r>
      <w:r>
        <w:rPr>
          <w:rFonts w:hint="eastAsia"/>
          <w:color w:val="auto"/>
          <w:lang w:val="en-US" w:eastAsia="zh-CN"/>
        </w:rPr>
        <w:t>&lt;</w:t>
      </w:r>
      <w:r>
        <w:rPr>
          <w:rFonts w:hint="eastAsia"/>
          <w:color w:val="auto"/>
        </w:rPr>
        <w:t>用人单位劳动防护用品管理规范</w:t>
      </w:r>
      <w:r>
        <w:rPr>
          <w:rFonts w:hint="eastAsia"/>
          <w:color w:val="auto"/>
          <w:lang w:val="en-US" w:eastAsia="zh-CN"/>
        </w:rPr>
        <w:t>&gt;</w:t>
      </w:r>
      <w:r>
        <w:rPr>
          <w:rFonts w:hint="eastAsia"/>
          <w:color w:val="auto"/>
        </w:rPr>
        <w:t>的通知》（安监总厅安健一〔2018〕3号）</w:t>
      </w:r>
    </w:p>
    <w:p w14:paraId="52C91744">
      <w:pPr>
        <w:bidi w:val="0"/>
        <w:rPr>
          <w:rFonts w:hint="eastAsia"/>
          <w:color w:val="auto"/>
        </w:rPr>
      </w:pPr>
      <w:r>
        <w:rPr>
          <w:rFonts w:hint="eastAsia"/>
          <w:color w:val="auto"/>
          <w:lang w:val="en-US" w:eastAsia="zh-CN"/>
        </w:rPr>
        <w:t>13</w:t>
      </w:r>
      <w:r>
        <w:rPr>
          <w:rFonts w:hint="eastAsia"/>
          <w:color w:val="auto"/>
        </w:rPr>
        <w:t>）《国家矿山安全监察局关于开展非煤矿山安全生产专项检查的通知》（矿安〔2021〕5号）</w:t>
      </w:r>
    </w:p>
    <w:p w14:paraId="5BAC65AB">
      <w:pPr>
        <w:bidi w:val="0"/>
        <w:rPr>
          <w:rFonts w:hint="eastAsia"/>
          <w:color w:val="auto"/>
        </w:rPr>
      </w:pPr>
      <w:r>
        <w:rPr>
          <w:rFonts w:hint="eastAsia"/>
          <w:color w:val="auto"/>
          <w:lang w:val="en-US" w:eastAsia="zh-CN"/>
        </w:rPr>
        <w:t>14</w:t>
      </w:r>
      <w:r>
        <w:rPr>
          <w:rFonts w:hint="eastAsia"/>
          <w:color w:val="auto"/>
        </w:rPr>
        <w:t>）《应急管理部关于进一步做好安全生产责任保险工作的紧急通知》（应急〔2021〕61号）</w:t>
      </w:r>
    </w:p>
    <w:p w14:paraId="724C5E5F">
      <w:pPr>
        <w:bidi w:val="0"/>
        <w:rPr>
          <w:rFonts w:hint="eastAsia"/>
          <w:color w:val="auto"/>
        </w:rPr>
      </w:pPr>
      <w:r>
        <w:rPr>
          <w:rFonts w:hint="eastAsia"/>
          <w:color w:val="auto"/>
          <w:lang w:val="en-US" w:eastAsia="zh-CN"/>
        </w:rPr>
        <w:t>15</w:t>
      </w:r>
      <w:r>
        <w:rPr>
          <w:rFonts w:hint="eastAsia"/>
          <w:color w:val="auto"/>
        </w:rPr>
        <w:t>）《国家矿山安全监察局关于印发&lt;关于加强非煤矿山安全生产工作的指导意见&gt;的通知》（矿安〔2022〕4号）</w:t>
      </w:r>
    </w:p>
    <w:p w14:paraId="608D2C7E">
      <w:pPr>
        <w:bidi w:val="0"/>
        <w:rPr>
          <w:rFonts w:hint="eastAsia"/>
          <w:color w:val="auto"/>
        </w:rPr>
      </w:pPr>
      <w:r>
        <w:rPr>
          <w:rFonts w:hint="eastAsia"/>
          <w:color w:val="auto"/>
          <w:lang w:val="en-US" w:eastAsia="zh-CN"/>
        </w:rPr>
        <w:t>16</w:t>
      </w:r>
      <w:r>
        <w:rPr>
          <w:rFonts w:hint="eastAsia"/>
          <w:color w:val="auto"/>
        </w:rPr>
        <w:t>）《国家矿山安全监察局关于开展非煤地下矿山隐蔽致灾因素普查治理工作的通知》（矿安〔2022〕76号）</w:t>
      </w:r>
    </w:p>
    <w:p w14:paraId="64D1F46B">
      <w:pPr>
        <w:bidi w:val="0"/>
        <w:rPr>
          <w:rFonts w:hint="eastAsia"/>
          <w:color w:val="auto"/>
        </w:rPr>
      </w:pPr>
      <w:r>
        <w:rPr>
          <w:rFonts w:hint="eastAsia"/>
          <w:color w:val="auto"/>
          <w:lang w:val="en-US" w:eastAsia="zh-CN"/>
        </w:rPr>
        <w:t>17</w:t>
      </w:r>
      <w:r>
        <w:rPr>
          <w:rFonts w:hint="eastAsia"/>
          <w:color w:val="auto"/>
        </w:rPr>
        <w:t>）《国家矿山安全监察局关于印发&lt;金属非金属矿山重大事故隐患判定标准&gt;的通知》（矿安〔2022〕88号）</w:t>
      </w:r>
    </w:p>
    <w:p w14:paraId="2AA21779">
      <w:pPr>
        <w:bidi w:val="0"/>
        <w:rPr>
          <w:rFonts w:hint="eastAsia"/>
          <w:color w:val="auto"/>
        </w:rPr>
      </w:pPr>
      <w:r>
        <w:rPr>
          <w:rFonts w:hint="eastAsia"/>
          <w:color w:val="auto"/>
          <w:lang w:val="en-US" w:eastAsia="zh-CN"/>
        </w:rPr>
        <w:t>18</w:t>
      </w:r>
      <w:r>
        <w:rPr>
          <w:rFonts w:hint="eastAsia"/>
          <w:color w:val="auto"/>
        </w:rPr>
        <w:t>）《国家矿山安全监察局关于开展矿山安全培训专项检查工作的通知》 （矿〔2022〕125 号）</w:t>
      </w:r>
    </w:p>
    <w:p w14:paraId="05E5D597">
      <w:pPr>
        <w:bidi w:val="0"/>
        <w:rPr>
          <w:rFonts w:hint="eastAsia"/>
          <w:color w:val="auto"/>
        </w:rPr>
      </w:pPr>
      <w:r>
        <w:rPr>
          <w:rFonts w:hint="eastAsia"/>
          <w:color w:val="auto"/>
          <w:lang w:val="en-US" w:eastAsia="zh-CN"/>
        </w:rPr>
        <w:t>19</w:t>
      </w:r>
      <w:r>
        <w:rPr>
          <w:rFonts w:hint="eastAsia"/>
          <w:color w:val="auto"/>
        </w:rPr>
        <w:t>）《关于印发〈企业安全生产费用提取和使用管理办法〉的通知》（财资〔2022〕136号）</w:t>
      </w:r>
    </w:p>
    <w:p w14:paraId="1DCFEFAF">
      <w:pPr>
        <w:bidi w:val="0"/>
        <w:rPr>
          <w:rFonts w:hint="eastAsia"/>
          <w:color w:val="auto"/>
        </w:rPr>
      </w:pPr>
      <w:r>
        <w:rPr>
          <w:rFonts w:hint="eastAsia"/>
          <w:color w:val="auto"/>
          <w:lang w:val="en-US" w:eastAsia="zh-CN"/>
        </w:rPr>
        <w:t>20</w:t>
      </w:r>
      <w:r>
        <w:rPr>
          <w:rFonts w:hint="eastAsia"/>
          <w:color w:val="auto"/>
        </w:rPr>
        <w:t>）</w:t>
      </w:r>
      <w:r>
        <w:rPr>
          <w:rFonts w:hint="eastAsia"/>
          <w:color w:val="auto"/>
          <w:lang w:eastAsia="zh-CN"/>
        </w:rPr>
        <w:t>《</w:t>
      </w:r>
      <w:r>
        <w:rPr>
          <w:rFonts w:hint="eastAsia"/>
          <w:color w:val="auto"/>
        </w:rPr>
        <w:t>国家矿山安全监察局关于印发</w:t>
      </w:r>
      <w:r>
        <w:rPr>
          <w:rFonts w:hint="eastAsia"/>
          <w:color w:val="auto"/>
          <w:lang w:val="en-US" w:eastAsia="zh-CN"/>
        </w:rPr>
        <w:t>&lt;</w:t>
      </w:r>
      <w:r>
        <w:rPr>
          <w:rFonts w:hint="eastAsia"/>
          <w:color w:val="auto"/>
        </w:rPr>
        <w:t>非煤矿山安全风险分级监管办法</w:t>
      </w:r>
      <w:r>
        <w:rPr>
          <w:rFonts w:hint="eastAsia"/>
          <w:color w:val="auto"/>
          <w:lang w:val="en-US" w:eastAsia="zh-CN"/>
        </w:rPr>
        <w:t>&gt;</w:t>
      </w:r>
      <w:r>
        <w:rPr>
          <w:rFonts w:hint="eastAsia"/>
          <w:color w:val="auto"/>
        </w:rPr>
        <w:t>的通知</w:t>
      </w:r>
      <w:r>
        <w:rPr>
          <w:rFonts w:hint="eastAsia"/>
          <w:color w:val="auto"/>
          <w:lang w:eastAsia="zh-CN"/>
        </w:rPr>
        <w:t>》</w:t>
      </w:r>
      <w:r>
        <w:rPr>
          <w:rFonts w:hint="eastAsia"/>
          <w:color w:val="auto"/>
        </w:rPr>
        <w:t>（矿安〔2023〕1号）</w:t>
      </w:r>
    </w:p>
    <w:p w14:paraId="0743BD36">
      <w:pPr>
        <w:bidi w:val="0"/>
        <w:rPr>
          <w:rFonts w:hint="eastAsia"/>
          <w:color w:val="auto"/>
        </w:rPr>
      </w:pPr>
      <w:r>
        <w:rPr>
          <w:rFonts w:hint="eastAsia"/>
          <w:color w:val="auto"/>
          <w:lang w:val="en-US" w:eastAsia="zh-CN"/>
        </w:rPr>
        <w:t>21</w:t>
      </w:r>
      <w:r>
        <w:rPr>
          <w:rFonts w:hint="eastAsia"/>
          <w:color w:val="auto"/>
        </w:rPr>
        <w:t>）《国家矿山安全监察局关于做好非煤矿山灾害情况发生重大变化及时报告和出现事故征兆等紧急情况及时撤人工作的通知》（矿安〔2023〕60号）</w:t>
      </w:r>
    </w:p>
    <w:p w14:paraId="3C0DE11F">
      <w:pPr>
        <w:bidi w:val="0"/>
        <w:rPr>
          <w:rFonts w:hint="eastAsia"/>
          <w:color w:val="auto"/>
        </w:rPr>
      </w:pPr>
      <w:r>
        <w:rPr>
          <w:rFonts w:hint="eastAsia"/>
          <w:color w:val="auto"/>
          <w:lang w:val="en-US" w:eastAsia="zh-CN"/>
        </w:rPr>
        <w:t>22</w:t>
      </w:r>
      <w:r>
        <w:rPr>
          <w:rFonts w:hint="eastAsia"/>
          <w:color w:val="auto"/>
        </w:rPr>
        <w:t>）《国家矿山安全监察局关于印发</w:t>
      </w:r>
      <w:r>
        <w:rPr>
          <w:rFonts w:hint="eastAsia"/>
          <w:color w:val="auto"/>
          <w:lang w:val="en-US" w:eastAsia="zh-CN"/>
        </w:rPr>
        <w:t>&lt;</w:t>
      </w:r>
      <w:r>
        <w:rPr>
          <w:rFonts w:hint="eastAsia"/>
          <w:color w:val="auto"/>
        </w:rPr>
        <w:t>防范非煤矿山典型多发事故六十条措施</w:t>
      </w:r>
      <w:r>
        <w:rPr>
          <w:rFonts w:hint="eastAsia"/>
          <w:color w:val="auto"/>
          <w:lang w:val="en-US" w:eastAsia="zh-CN"/>
        </w:rPr>
        <w:t>&gt;</w:t>
      </w:r>
      <w:r>
        <w:rPr>
          <w:rFonts w:hint="eastAsia"/>
          <w:color w:val="auto"/>
        </w:rPr>
        <w:t>的通知》（矿安〔2023〕124号）</w:t>
      </w:r>
    </w:p>
    <w:p w14:paraId="108A6A41">
      <w:pPr>
        <w:bidi w:val="0"/>
        <w:rPr>
          <w:rFonts w:hint="eastAsia"/>
          <w:color w:val="auto"/>
        </w:rPr>
      </w:pPr>
      <w:r>
        <w:rPr>
          <w:rFonts w:hint="eastAsia"/>
          <w:color w:val="auto"/>
          <w:lang w:val="en-US" w:eastAsia="zh-CN"/>
        </w:rPr>
        <w:t>23</w:t>
      </w:r>
      <w:r>
        <w:rPr>
          <w:rFonts w:hint="eastAsia"/>
          <w:color w:val="auto"/>
        </w:rPr>
        <w:t>）《地下矿山动火作业安全管理规定》（国家矿山安全监察局2023年第28次局务会议审议通过，2023年11月22日）</w:t>
      </w:r>
    </w:p>
    <w:p w14:paraId="08E0F75F">
      <w:pPr>
        <w:bidi w:val="0"/>
        <w:rPr>
          <w:rFonts w:hint="eastAsia"/>
          <w:color w:val="auto"/>
          <w:lang w:val="en-US" w:eastAsia="zh-CN"/>
        </w:rPr>
      </w:pPr>
      <w:r>
        <w:rPr>
          <w:rFonts w:hint="eastAsia"/>
          <w:color w:val="auto"/>
          <w:lang w:val="en-US" w:eastAsia="zh-CN"/>
        </w:rPr>
        <w:t>24）《国务院安全生产委员会印发&lt;关于防范遏制矿山领域重特大生产安全事故的硬措施&gt;的通知》（安委</w:t>
      </w:r>
      <w:r>
        <w:rPr>
          <w:rFonts w:hint="eastAsia"/>
          <w:color w:val="auto"/>
        </w:rPr>
        <w:t>〔</w:t>
      </w:r>
      <w:r>
        <w:rPr>
          <w:rFonts w:hint="eastAsia"/>
          <w:color w:val="auto"/>
          <w:lang w:val="en-US" w:eastAsia="zh-CN"/>
        </w:rPr>
        <w:t>2024</w:t>
      </w:r>
      <w:r>
        <w:rPr>
          <w:rFonts w:hint="eastAsia"/>
          <w:color w:val="auto"/>
        </w:rPr>
        <w:t>〕</w:t>
      </w:r>
      <w:r>
        <w:rPr>
          <w:rFonts w:hint="eastAsia"/>
          <w:color w:val="auto"/>
          <w:lang w:val="en-US" w:eastAsia="zh-CN"/>
        </w:rPr>
        <w:t>1号，2024年1月16日）</w:t>
      </w:r>
    </w:p>
    <w:p w14:paraId="7D24C88C">
      <w:pPr>
        <w:bidi w:val="0"/>
        <w:rPr>
          <w:color w:val="auto"/>
        </w:rPr>
      </w:pPr>
      <w:r>
        <w:rPr>
          <w:rFonts w:hint="eastAsia"/>
          <w:color w:val="auto"/>
          <w:lang w:val="en-US" w:eastAsia="zh-CN"/>
        </w:rPr>
        <w:t>25</w:t>
      </w:r>
      <w:r>
        <w:rPr>
          <w:rFonts w:hint="eastAsia"/>
          <w:color w:val="auto"/>
        </w:rPr>
        <w:t>）《国家矿山安全监察局关于印发〈金属非金属矿山重大事故隐患判定标准补充情形〉的通知》（国家矿山安全监察局，矿安〔2024〕41号，2024年4月23日印发）</w:t>
      </w:r>
    </w:p>
    <w:p w14:paraId="56539F3D">
      <w:pPr>
        <w:bidi w:val="0"/>
        <w:rPr>
          <w:rFonts w:hint="eastAsia"/>
          <w:color w:val="auto"/>
          <w:lang w:val="en-US" w:eastAsia="zh-CN"/>
        </w:rPr>
      </w:pPr>
      <w:r>
        <w:rPr>
          <w:rFonts w:hint="eastAsia"/>
          <w:color w:val="auto"/>
          <w:lang w:val="en-US" w:eastAsia="zh-CN"/>
        </w:rPr>
        <w:t>26）《国家矿山安全监察局关于进一步加强非煤矿山安全生产行政许可工作的通知》（矿安〔2024〕70号，2024年6月28日）</w:t>
      </w:r>
    </w:p>
    <w:p w14:paraId="03A90870">
      <w:pPr>
        <w:bidi w:val="0"/>
        <w:rPr>
          <w:rFonts w:hint="eastAsia"/>
          <w:color w:val="auto"/>
          <w:lang w:val="en-US" w:eastAsia="zh-CN"/>
        </w:rPr>
      </w:pPr>
      <w:r>
        <w:rPr>
          <w:rFonts w:hint="eastAsia"/>
          <w:color w:val="auto"/>
          <w:lang w:val="en-US" w:eastAsia="zh-CN"/>
        </w:rPr>
        <w:t>27）《国家矿山安全监察局关于印发&lt;矿用自救器安全管理规定（试行）&gt;的通知</w:t>
      </w:r>
      <w:r>
        <w:rPr>
          <w:rFonts w:hint="eastAsia"/>
          <w:color w:val="auto"/>
        </w:rPr>
        <w:t>》（矿安〔</w:t>
      </w:r>
      <w:r>
        <w:rPr>
          <w:rFonts w:hint="default"/>
          <w:color w:val="auto"/>
        </w:rPr>
        <w:t>2025</w:t>
      </w:r>
      <w:r>
        <w:rPr>
          <w:rFonts w:hint="eastAsia"/>
          <w:color w:val="auto"/>
        </w:rPr>
        <w:t>〕</w:t>
      </w:r>
      <w:r>
        <w:rPr>
          <w:rFonts w:hint="default"/>
          <w:color w:val="auto"/>
        </w:rPr>
        <w:t>2</w:t>
      </w:r>
      <w:r>
        <w:rPr>
          <w:rFonts w:hint="eastAsia"/>
          <w:color w:val="auto"/>
        </w:rPr>
        <w:t>号</w:t>
      </w:r>
      <w:r>
        <w:rPr>
          <w:rFonts w:hint="eastAsia"/>
          <w:color w:val="auto"/>
          <w:lang w:eastAsia="zh-CN"/>
        </w:rPr>
        <w:t>，</w:t>
      </w:r>
      <w:r>
        <w:rPr>
          <w:rFonts w:hint="eastAsia"/>
          <w:color w:val="auto"/>
        </w:rPr>
        <w:t>2025年1月2日）</w:t>
      </w:r>
    </w:p>
    <w:p w14:paraId="2FFBA36F">
      <w:pPr>
        <w:bidi w:val="0"/>
        <w:rPr>
          <w:rFonts w:hint="default"/>
          <w:color w:val="auto"/>
          <w:lang w:val="en-US"/>
        </w:rPr>
      </w:pPr>
      <w:r>
        <w:rPr>
          <w:rFonts w:hint="eastAsia"/>
          <w:color w:val="auto"/>
          <w:lang w:val="en-US" w:eastAsia="zh-CN"/>
        </w:rPr>
        <w:t>28）《国家矿山安全监察局综合司关于明确矿山“五职”矿长和“五科”相关人员范围及相关要求的通知》（矿安综〔2025〕12号，2025年7月1日）。</w:t>
      </w:r>
    </w:p>
    <w:p w14:paraId="4159EEF8">
      <w:pPr>
        <w:bidi w:val="0"/>
        <w:rPr>
          <w:rFonts w:hint="eastAsia"/>
          <w:color w:val="auto"/>
        </w:rPr>
      </w:pPr>
      <w:r>
        <w:rPr>
          <w:rFonts w:hint="eastAsia"/>
          <w:color w:val="auto"/>
          <w:lang w:val="en-US" w:eastAsia="zh-CN"/>
        </w:rPr>
        <w:t>29</w:t>
      </w:r>
      <w:r>
        <w:rPr>
          <w:rFonts w:hint="eastAsia"/>
          <w:color w:val="auto"/>
        </w:rPr>
        <w:t>）《关于印发全省公安机关推行爆破服务“一体化”的实施意见的通知》（赣公字</w:t>
      </w:r>
      <w:r>
        <w:rPr>
          <w:rFonts w:hint="eastAsia"/>
          <w:color w:val="auto"/>
          <w:lang w:val="en-US" w:eastAsia="zh-CN"/>
        </w:rPr>
        <w:t>〔</w:t>
      </w:r>
      <w:r>
        <w:rPr>
          <w:rFonts w:hint="eastAsia"/>
          <w:color w:val="auto"/>
        </w:rPr>
        <w:t>2007</w:t>
      </w:r>
      <w:r>
        <w:rPr>
          <w:rFonts w:hint="eastAsia"/>
          <w:color w:val="auto"/>
          <w:lang w:val="en-US" w:eastAsia="zh-CN"/>
        </w:rPr>
        <w:t>〕</w:t>
      </w:r>
      <w:r>
        <w:rPr>
          <w:rFonts w:hint="eastAsia"/>
          <w:color w:val="auto"/>
        </w:rPr>
        <w:t>237号）</w:t>
      </w:r>
    </w:p>
    <w:p w14:paraId="553971BA">
      <w:pPr>
        <w:bidi w:val="0"/>
        <w:rPr>
          <w:rFonts w:hint="eastAsia"/>
          <w:color w:val="auto"/>
        </w:rPr>
      </w:pPr>
      <w:r>
        <w:rPr>
          <w:rFonts w:hint="eastAsia"/>
          <w:color w:val="auto"/>
          <w:lang w:val="en-US" w:eastAsia="zh-CN"/>
        </w:rPr>
        <w:t>30</w:t>
      </w:r>
      <w:r>
        <w:rPr>
          <w:rFonts w:hint="eastAsia"/>
          <w:color w:val="auto"/>
        </w:rPr>
        <w:t>）《江西省人民政府关于进一步加强企业安全生产工作的实施意见》（赣府发〔2010〕32号）</w:t>
      </w:r>
    </w:p>
    <w:p w14:paraId="343471A5">
      <w:pPr>
        <w:bidi w:val="0"/>
        <w:rPr>
          <w:rFonts w:hint="eastAsia"/>
          <w:color w:val="auto"/>
        </w:rPr>
      </w:pPr>
      <w:r>
        <w:rPr>
          <w:rFonts w:hint="eastAsia"/>
          <w:color w:val="auto"/>
          <w:lang w:val="en-US" w:eastAsia="zh-CN"/>
        </w:rPr>
        <w:t>31</w:t>
      </w:r>
      <w:r>
        <w:rPr>
          <w:rFonts w:hint="eastAsia"/>
          <w:color w:val="auto"/>
        </w:rPr>
        <w:t>）《转发国家安全监管总局关于切实做好防范自然灾害引发矿山生产安全事故的紧急通知》（赣安监管一〔2010〕237号）</w:t>
      </w:r>
    </w:p>
    <w:p w14:paraId="19B20BF4">
      <w:pPr>
        <w:bidi w:val="0"/>
        <w:rPr>
          <w:rFonts w:hint="eastAsia"/>
          <w:color w:val="auto"/>
        </w:rPr>
      </w:pPr>
      <w:r>
        <w:rPr>
          <w:rFonts w:hint="eastAsia"/>
          <w:color w:val="auto"/>
          <w:lang w:val="en-US" w:eastAsia="zh-CN"/>
        </w:rPr>
        <w:t>32</w:t>
      </w:r>
      <w:r>
        <w:rPr>
          <w:rFonts w:hint="eastAsia"/>
          <w:color w:val="auto"/>
        </w:rPr>
        <w:t>）《关于在全省非煤矿山企业推行安全生产责任保险工作的通知》（赣 安监管一字〔2011〕23号）</w:t>
      </w:r>
    </w:p>
    <w:p w14:paraId="766EE9C1">
      <w:pPr>
        <w:bidi w:val="0"/>
        <w:rPr>
          <w:rFonts w:hint="eastAsia"/>
          <w:color w:val="auto"/>
          <w:lang w:val="en-US" w:eastAsia="zh-CN"/>
        </w:rPr>
      </w:pPr>
      <w:r>
        <w:rPr>
          <w:rFonts w:hint="eastAsia"/>
          <w:color w:val="auto"/>
          <w:lang w:val="en-US" w:eastAsia="zh-CN"/>
        </w:rPr>
        <w:t>33）《关于实施全省非煤矿山企业安全生产责任保险有关事项的通知》（赣安监管一字〔2011〕64号，2011年1月28日）</w:t>
      </w:r>
    </w:p>
    <w:p w14:paraId="3A32679D">
      <w:pPr>
        <w:bidi w:val="0"/>
        <w:rPr>
          <w:rFonts w:hint="eastAsia"/>
          <w:color w:val="auto"/>
        </w:rPr>
      </w:pPr>
      <w:r>
        <w:rPr>
          <w:rFonts w:hint="eastAsia"/>
          <w:color w:val="auto"/>
          <w:lang w:val="en-US" w:eastAsia="zh-CN"/>
        </w:rPr>
        <w:t>34</w:t>
      </w:r>
      <w:r>
        <w:rPr>
          <w:rFonts w:hint="eastAsia"/>
          <w:color w:val="auto"/>
        </w:rPr>
        <w:t>）《关于印发〈江西省关于进一步加强高危行业企业生产安全事故应急预案管理规定(暂行)〉的通知》（赣安监管应急字〔2012〕63号）</w:t>
      </w:r>
    </w:p>
    <w:p w14:paraId="55ADF5E3">
      <w:pPr>
        <w:bidi w:val="0"/>
        <w:rPr>
          <w:rFonts w:hint="eastAsia"/>
          <w:color w:val="auto"/>
        </w:rPr>
      </w:pPr>
      <w:r>
        <w:rPr>
          <w:rFonts w:hint="eastAsia"/>
          <w:color w:val="auto"/>
          <w:lang w:val="en-US" w:eastAsia="zh-CN"/>
        </w:rPr>
        <w:t>35</w:t>
      </w:r>
      <w:r>
        <w:rPr>
          <w:rFonts w:hint="eastAsia"/>
          <w:color w:val="auto"/>
        </w:rPr>
        <w:t>）《江西省安委会关于加强生产经营单位事故隐患排查治理工作的指导意见》（赣安〔2014〕32号）</w:t>
      </w:r>
    </w:p>
    <w:p w14:paraId="49038060">
      <w:pPr>
        <w:bidi w:val="0"/>
        <w:rPr>
          <w:rFonts w:hint="eastAsia"/>
          <w:color w:val="auto"/>
        </w:rPr>
      </w:pPr>
      <w:r>
        <w:rPr>
          <w:rFonts w:hint="eastAsia"/>
          <w:color w:val="auto"/>
          <w:lang w:val="en-US" w:eastAsia="zh-CN"/>
        </w:rPr>
        <w:t>36</w:t>
      </w:r>
      <w:r>
        <w:rPr>
          <w:rFonts w:hint="eastAsia"/>
          <w:color w:val="auto"/>
        </w:rPr>
        <w:t>）《江西省安委会关于印发江西省企业安全生产标准化建设指导意见的通知》（赣安〔2018〕14号）</w:t>
      </w:r>
    </w:p>
    <w:p w14:paraId="4AAFC1AF">
      <w:pPr>
        <w:bidi w:val="0"/>
        <w:rPr>
          <w:rFonts w:hint="eastAsia"/>
          <w:color w:val="auto"/>
          <w:lang w:val="en-US" w:eastAsia="zh-CN"/>
        </w:rPr>
      </w:pPr>
      <w:r>
        <w:rPr>
          <w:rFonts w:hint="eastAsia"/>
          <w:color w:val="auto"/>
          <w:lang w:val="en-US" w:eastAsia="zh-CN"/>
        </w:rPr>
        <w:t>37）《省安委会、省应急管理厅、银保监会关于进一步规范安全生产责任保险工作的通知》（赣安办字〔2020〕82号）</w:t>
      </w:r>
    </w:p>
    <w:p w14:paraId="40549AB9">
      <w:pPr>
        <w:bidi w:val="0"/>
        <w:rPr>
          <w:rFonts w:hint="eastAsia"/>
          <w:color w:val="auto"/>
        </w:rPr>
      </w:pPr>
      <w:r>
        <w:rPr>
          <w:rFonts w:hint="eastAsia"/>
          <w:color w:val="auto"/>
          <w:lang w:val="en-US" w:eastAsia="zh-CN"/>
        </w:rPr>
        <w:t>38</w:t>
      </w:r>
      <w:r>
        <w:rPr>
          <w:rFonts w:hint="eastAsia"/>
          <w:color w:val="auto"/>
        </w:rPr>
        <w:t>）《江西省安委会关于印发</w:t>
      </w:r>
      <w:r>
        <w:rPr>
          <w:rFonts w:hint="eastAsia"/>
          <w:color w:val="auto"/>
          <w:lang w:val="en-US" w:eastAsia="zh-CN"/>
        </w:rPr>
        <w:t>&lt;</w:t>
      </w:r>
      <w:r>
        <w:rPr>
          <w:rFonts w:hint="eastAsia"/>
          <w:color w:val="auto"/>
        </w:rPr>
        <w:t>江西省安全生产专项整治三年行动“十大攻坚战”</w:t>
      </w:r>
      <w:r>
        <w:rPr>
          <w:rFonts w:hint="eastAsia"/>
          <w:color w:val="auto"/>
          <w:lang w:val="en-US" w:eastAsia="zh-CN"/>
        </w:rPr>
        <w:t>&gt;</w:t>
      </w:r>
      <w:r>
        <w:rPr>
          <w:rFonts w:hint="eastAsia"/>
          <w:color w:val="auto"/>
        </w:rPr>
        <w:t>工作方案的通知》（赣安〔2021〕2号）</w:t>
      </w:r>
    </w:p>
    <w:p w14:paraId="05CFF653">
      <w:pPr>
        <w:bidi w:val="0"/>
        <w:rPr>
          <w:rFonts w:hint="eastAsia"/>
          <w:color w:val="auto"/>
          <w:lang w:val="en-US" w:eastAsia="zh-CN"/>
        </w:rPr>
      </w:pPr>
      <w:r>
        <w:rPr>
          <w:rFonts w:hint="eastAsia"/>
          <w:color w:val="auto"/>
          <w:lang w:val="en-US" w:eastAsia="zh-CN"/>
        </w:rPr>
        <w:t>39）《自然资源部关于第一批废止和修改的部门规章的决定》（自然资源部令第12号，2023年8月3日施行）</w:t>
      </w:r>
    </w:p>
    <w:p w14:paraId="765210DD">
      <w:pPr>
        <w:keepNext w:val="0"/>
        <w:keepLines w:val="0"/>
        <w:pageBreakBefore w:val="0"/>
        <w:widowControl w:val="0"/>
        <w:tabs>
          <w:tab w:val="left" w:pos="0"/>
        </w:tabs>
        <w:kinsoku/>
        <w:wordWrap/>
        <w:overflowPunct/>
        <w:topLinePunct w:val="0"/>
        <w:autoSpaceDE/>
        <w:autoSpaceDN/>
        <w:bidi w:val="0"/>
        <w:adjustRightInd/>
        <w:snapToGrid/>
        <w:spacing w:line="600" w:lineRule="exact"/>
        <w:ind w:left="0" w:leftChars="0" w:right="0" w:rightChars="0" w:firstLine="560" w:firstLineChars="200"/>
        <w:textAlignment w:val="auto"/>
        <w:rPr>
          <w:rFonts w:hint="default" w:ascii="Times New Roman" w:hAnsi="Times New Roman" w:eastAsia="宋体" w:cs="Times New Roman"/>
          <w:color w:val="auto"/>
          <w:sz w:val="28"/>
          <w:szCs w:val="28"/>
          <w:lang w:val="en-US" w:eastAsia="zh-CN"/>
        </w:rPr>
      </w:pPr>
      <w:r>
        <w:rPr>
          <w:rFonts w:hint="eastAsia"/>
          <w:color w:val="auto"/>
          <w:lang w:val="en-US" w:eastAsia="zh-CN"/>
        </w:rPr>
        <w:t>40）</w:t>
      </w:r>
      <w:r>
        <w:rPr>
          <w:rFonts w:hint="default" w:ascii="Times New Roman" w:hAnsi="Times New Roman" w:eastAsia="宋体" w:cs="Times New Roman"/>
          <w:color w:val="auto"/>
          <w:sz w:val="28"/>
          <w:szCs w:val="28"/>
          <w:lang w:val="en-US" w:eastAsia="zh-CN"/>
        </w:rPr>
        <w:t>《国家矿山安全监察局综合司关于开展地下矿山违规无轨运输车辆自查自纠工作的通知》（矿安综〔2025〕14号）</w:t>
      </w:r>
    </w:p>
    <w:p w14:paraId="6759AB6C">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135" w:name="_Toc29177"/>
      <w:bookmarkStart w:id="136" w:name="_Toc14151"/>
      <w:bookmarkStart w:id="137" w:name="_Toc16592"/>
      <w:bookmarkStart w:id="138" w:name="_Toc27916"/>
      <w:bookmarkStart w:id="139" w:name="_Toc27155"/>
      <w:bookmarkStart w:id="140" w:name="_Toc4642"/>
      <w:bookmarkStart w:id="141" w:name="_Toc1554"/>
      <w:r>
        <w:rPr>
          <w:rFonts w:hint="eastAsia" w:ascii="宋体" w:hAnsi="宋体" w:eastAsia="宋体" w:cs="宋体"/>
          <w:color w:val="auto"/>
          <w:sz w:val="28"/>
          <w:szCs w:val="28"/>
          <w:lang w:val="en-US" w:eastAsia="zh-CN"/>
        </w:rPr>
        <w:t>1.3.</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 xml:space="preserve"> 标准、规范</w:t>
      </w:r>
      <w:bookmarkEnd w:id="135"/>
      <w:bookmarkEnd w:id="136"/>
      <w:bookmarkEnd w:id="137"/>
      <w:bookmarkEnd w:id="138"/>
      <w:bookmarkEnd w:id="139"/>
      <w:bookmarkEnd w:id="140"/>
      <w:bookmarkEnd w:id="141"/>
    </w:p>
    <w:p w14:paraId="07718F08">
      <w:pPr>
        <w:bidi w:val="0"/>
        <w:rPr>
          <w:rFonts w:hint="eastAsia"/>
          <w:color w:val="auto"/>
          <w:lang w:val="en-US" w:eastAsia="zh-CN"/>
        </w:rPr>
      </w:pPr>
      <w:bookmarkStart w:id="142" w:name="_Toc30370"/>
      <w:bookmarkStart w:id="143" w:name="_Toc26547"/>
      <w:bookmarkStart w:id="144" w:name="_Toc31552"/>
      <w:bookmarkStart w:id="145" w:name="_Toc10223"/>
      <w:bookmarkStart w:id="146" w:name="_Toc12494"/>
      <w:bookmarkStart w:id="147" w:name="_Toc21856"/>
      <w:r>
        <w:rPr>
          <w:rFonts w:hint="eastAsia"/>
          <w:color w:val="auto"/>
          <w:lang w:val="en-US" w:eastAsia="zh-CN"/>
        </w:rPr>
        <w:t>《建筑灭火器配置设计规范》                      GB50140-2005</w:t>
      </w:r>
    </w:p>
    <w:p w14:paraId="531EB717">
      <w:pPr>
        <w:bidi w:val="0"/>
        <w:rPr>
          <w:rFonts w:hint="eastAsia"/>
          <w:color w:val="auto"/>
          <w:lang w:val="en-US" w:eastAsia="zh-CN"/>
        </w:rPr>
      </w:pPr>
      <w:r>
        <w:rPr>
          <w:rFonts w:hint="eastAsia"/>
          <w:color w:val="auto"/>
          <w:lang w:val="en-US" w:eastAsia="zh-CN"/>
        </w:rPr>
        <w:t>《供配电系统设计规范》                          GB50052-2009</w:t>
      </w:r>
    </w:p>
    <w:p w14:paraId="783CD95C">
      <w:pPr>
        <w:bidi w:val="0"/>
        <w:rPr>
          <w:rFonts w:hint="eastAsia"/>
          <w:color w:val="auto"/>
          <w:lang w:val="en-US" w:eastAsia="zh-CN"/>
        </w:rPr>
      </w:pPr>
      <w:r>
        <w:rPr>
          <w:rFonts w:hint="eastAsia"/>
          <w:color w:val="auto"/>
          <w:lang w:val="en-US" w:eastAsia="zh-CN"/>
        </w:rPr>
        <w:t>《建筑物防雷设计规范》                          GB50057-2010</w:t>
      </w:r>
    </w:p>
    <w:p w14:paraId="7D9542B7">
      <w:pPr>
        <w:bidi w:val="0"/>
        <w:rPr>
          <w:rFonts w:hint="eastAsia"/>
          <w:color w:val="auto"/>
          <w:lang w:val="en-US" w:eastAsia="zh-CN"/>
        </w:rPr>
      </w:pPr>
      <w:r>
        <w:rPr>
          <w:rFonts w:hint="eastAsia"/>
          <w:color w:val="auto"/>
          <w:lang w:val="en-US" w:eastAsia="zh-CN"/>
        </w:rPr>
        <w:t>《低压配电设计规范》                            GB50054-2011</w:t>
      </w:r>
    </w:p>
    <w:p w14:paraId="40AFCC4A">
      <w:pPr>
        <w:bidi w:val="0"/>
        <w:rPr>
          <w:rFonts w:hint="eastAsia"/>
          <w:color w:val="auto"/>
          <w:lang w:val="en-US" w:eastAsia="zh-CN"/>
        </w:rPr>
      </w:pPr>
      <w:r>
        <w:rPr>
          <w:rFonts w:hint="eastAsia"/>
          <w:color w:val="auto"/>
          <w:lang w:val="en-US" w:eastAsia="zh-CN"/>
        </w:rPr>
        <w:t>《工业企业总平面设计规范》                      GB50187-2012</w:t>
      </w:r>
    </w:p>
    <w:p w14:paraId="6423660A">
      <w:pPr>
        <w:bidi w:val="0"/>
        <w:rPr>
          <w:rFonts w:hint="eastAsia"/>
          <w:color w:val="auto"/>
          <w:lang w:val="en-US" w:eastAsia="zh-CN"/>
        </w:rPr>
      </w:pPr>
      <w:r>
        <w:rPr>
          <w:rFonts w:hint="eastAsia"/>
          <w:color w:val="auto"/>
          <w:lang w:val="en-US" w:eastAsia="zh-CN"/>
        </w:rPr>
        <w:t>《爆破安全规程》                        GB6722-2014/XG1-2016</w:t>
      </w:r>
    </w:p>
    <w:p w14:paraId="4C33B824">
      <w:pPr>
        <w:bidi w:val="0"/>
        <w:rPr>
          <w:rFonts w:hint="eastAsia"/>
          <w:color w:val="auto"/>
          <w:lang w:val="en-US" w:eastAsia="zh-CN"/>
        </w:rPr>
      </w:pPr>
      <w:r>
        <w:rPr>
          <w:rFonts w:hint="eastAsia"/>
          <w:color w:val="auto"/>
          <w:lang w:val="en-US" w:eastAsia="zh-CN"/>
        </w:rPr>
        <w:t>《建筑设计防火规范（2018年版）》                GB50016-2014</w:t>
      </w:r>
    </w:p>
    <w:p w14:paraId="296D54E4">
      <w:pPr>
        <w:bidi w:val="0"/>
        <w:rPr>
          <w:rFonts w:hint="eastAsia"/>
          <w:color w:val="auto"/>
          <w:lang w:val="en-US" w:eastAsia="zh-CN"/>
        </w:rPr>
      </w:pPr>
      <w:r>
        <w:rPr>
          <w:rFonts w:hint="eastAsia"/>
          <w:color w:val="auto"/>
          <w:lang w:val="en-US" w:eastAsia="zh-CN"/>
        </w:rPr>
        <w:t>《中国地震动参数区划图》                        GB18306-2015</w:t>
      </w:r>
    </w:p>
    <w:p w14:paraId="0A0A383F">
      <w:pPr>
        <w:bidi w:val="0"/>
        <w:rPr>
          <w:rFonts w:hint="eastAsia"/>
          <w:color w:val="auto"/>
          <w:lang w:val="en-US" w:eastAsia="zh-CN"/>
        </w:rPr>
      </w:pPr>
      <w:r>
        <w:rPr>
          <w:rFonts w:hint="eastAsia"/>
          <w:color w:val="auto"/>
          <w:lang w:val="en-US" w:eastAsia="zh-CN"/>
        </w:rPr>
        <w:t>《危险化学品重大危险源辨识》                    GB18218-2018</w:t>
      </w:r>
    </w:p>
    <w:p w14:paraId="723C9049">
      <w:pPr>
        <w:bidi w:val="0"/>
        <w:rPr>
          <w:rFonts w:hint="eastAsia"/>
          <w:color w:val="auto"/>
          <w:lang w:val="en-US" w:eastAsia="zh-CN"/>
        </w:rPr>
      </w:pPr>
      <w:r>
        <w:rPr>
          <w:rFonts w:hint="eastAsia"/>
          <w:color w:val="auto"/>
          <w:lang w:val="en-US" w:eastAsia="zh-CN"/>
        </w:rPr>
        <w:t>《金属非金属矿山安全规程》                      GB16423-2020</w:t>
      </w:r>
    </w:p>
    <w:p w14:paraId="6C6F2EB4">
      <w:pPr>
        <w:bidi w:val="0"/>
        <w:rPr>
          <w:rFonts w:hint="eastAsia"/>
          <w:color w:val="auto"/>
          <w:lang w:val="en-US" w:eastAsia="zh-CN"/>
        </w:rPr>
      </w:pPr>
      <w:r>
        <w:rPr>
          <w:rFonts w:hint="eastAsia"/>
          <w:color w:val="auto"/>
          <w:lang w:val="en-US" w:eastAsia="zh-CN"/>
        </w:rPr>
        <w:t>《矿山电力设计标准》                            GB50070-2020</w:t>
      </w:r>
    </w:p>
    <w:p w14:paraId="509BC649">
      <w:pPr>
        <w:bidi w:val="0"/>
        <w:rPr>
          <w:rFonts w:hint="eastAsia"/>
          <w:color w:val="auto"/>
          <w:lang w:val="en-US" w:eastAsia="zh-CN"/>
        </w:rPr>
      </w:pPr>
      <w:r>
        <w:rPr>
          <w:rFonts w:hint="eastAsia"/>
          <w:color w:val="auto"/>
          <w:lang w:val="en-US" w:eastAsia="zh-CN"/>
        </w:rPr>
        <w:t>《个体防护装备配备规范 第1部分：总则》       GB39800.1-2020</w:t>
      </w:r>
    </w:p>
    <w:p w14:paraId="4D1CEA41">
      <w:pPr>
        <w:bidi w:val="0"/>
        <w:rPr>
          <w:rFonts w:hint="eastAsia"/>
          <w:color w:val="auto"/>
          <w:lang w:val="en-US" w:eastAsia="zh-CN"/>
        </w:rPr>
      </w:pPr>
      <w:r>
        <w:rPr>
          <w:rFonts w:hint="eastAsia"/>
          <w:color w:val="auto"/>
          <w:lang w:val="en-US" w:eastAsia="zh-CN"/>
        </w:rPr>
        <w:t>《个体防护装备配备规范 第4部分：非煤矿山》   GB39800.4-2020</w:t>
      </w:r>
    </w:p>
    <w:p w14:paraId="2A12CDA3">
      <w:pPr>
        <w:bidi w:val="0"/>
        <w:rPr>
          <w:rFonts w:hint="eastAsia"/>
          <w:color w:val="auto"/>
          <w:lang w:val="en-US" w:eastAsia="zh-CN"/>
        </w:rPr>
      </w:pPr>
      <w:r>
        <w:rPr>
          <w:rFonts w:hint="eastAsia"/>
          <w:color w:val="auto"/>
          <w:lang w:val="en-US" w:eastAsia="zh-CN"/>
        </w:rPr>
        <w:t>《安全色和安全标志》                             GB2894-2025</w:t>
      </w:r>
    </w:p>
    <w:p w14:paraId="07ED42E3">
      <w:pPr>
        <w:bidi w:val="0"/>
        <w:ind w:left="560" w:leftChars="200" w:firstLine="0" w:firstLineChars="0"/>
        <w:rPr>
          <w:rFonts w:hint="default"/>
          <w:color w:val="auto"/>
          <w:lang w:val="en-US" w:eastAsia="zh-CN"/>
        </w:rPr>
      </w:pPr>
      <w:r>
        <w:rPr>
          <w:rFonts w:hint="eastAsia"/>
          <w:color w:val="auto"/>
          <w:lang w:val="en-US" w:eastAsia="zh-CN"/>
        </w:rPr>
        <w:t>《高处作业分级》                                 GB3608-2025《生产过程安全基本要求》                        GB12801-2025</w:t>
      </w:r>
    </w:p>
    <w:p w14:paraId="7610EA9C">
      <w:pPr>
        <w:bidi w:val="0"/>
        <w:rPr>
          <w:rFonts w:hint="eastAsia"/>
          <w:color w:val="auto"/>
          <w:lang w:val="en-US" w:eastAsia="zh-CN"/>
        </w:rPr>
      </w:pPr>
      <w:r>
        <w:rPr>
          <w:rFonts w:hint="eastAsia"/>
          <w:color w:val="auto"/>
          <w:lang w:val="en-US" w:eastAsia="zh-CN"/>
        </w:rPr>
        <w:t>《生产安全事故分类与编码》                       GB6441-2025</w:t>
      </w:r>
    </w:p>
    <w:p w14:paraId="103F501F">
      <w:pPr>
        <w:bidi w:val="0"/>
        <w:rPr>
          <w:rFonts w:hint="default"/>
          <w:color w:val="auto"/>
          <w:lang w:val="en-US" w:eastAsia="zh-CN"/>
        </w:rPr>
      </w:pPr>
      <w:r>
        <w:rPr>
          <w:rFonts w:hint="eastAsia"/>
          <w:color w:val="auto"/>
          <w:lang w:val="en-US" w:eastAsia="zh-CN"/>
        </w:rPr>
        <w:t>《矿山安全标志》                              GB/T14161-2025</w:t>
      </w:r>
    </w:p>
    <w:p w14:paraId="4815EB0B">
      <w:pPr>
        <w:bidi w:val="0"/>
        <w:rPr>
          <w:rFonts w:hint="eastAsia"/>
          <w:color w:val="auto"/>
          <w:lang w:val="en-US" w:eastAsia="zh-CN"/>
        </w:rPr>
      </w:pPr>
      <w:r>
        <w:rPr>
          <w:rFonts w:hint="eastAsia"/>
          <w:color w:val="auto"/>
          <w:lang w:val="en-US" w:eastAsia="zh-CN"/>
        </w:rPr>
        <w:t>《矿山安全术语》                              GB/T15259-2008</w:t>
      </w:r>
    </w:p>
    <w:p w14:paraId="3A4F4A57">
      <w:pPr>
        <w:bidi w:val="0"/>
        <w:rPr>
          <w:rFonts w:hint="eastAsia"/>
          <w:color w:val="auto"/>
          <w:lang w:val="en-US" w:eastAsia="zh-CN"/>
        </w:rPr>
      </w:pPr>
      <w:r>
        <w:rPr>
          <w:rFonts w:hint="eastAsia"/>
          <w:color w:val="auto"/>
          <w:lang w:val="en-US" w:eastAsia="zh-CN"/>
        </w:rPr>
        <w:t>《建筑抗震设计标准（2024年版）》              GB/T50011-2010</w:t>
      </w:r>
    </w:p>
    <w:p w14:paraId="2C5E9811">
      <w:pPr>
        <w:bidi w:val="0"/>
        <w:rPr>
          <w:rFonts w:hint="eastAsia"/>
          <w:color w:val="auto"/>
          <w:lang w:val="en-US" w:eastAsia="zh-CN"/>
        </w:rPr>
      </w:pPr>
      <w:r>
        <w:rPr>
          <w:rFonts w:hint="eastAsia"/>
          <w:color w:val="auto"/>
          <w:lang w:val="en-US" w:eastAsia="zh-CN"/>
        </w:rPr>
        <w:t>《工业企业噪声控制设计规范》                  GB/T50087-2013</w:t>
      </w:r>
    </w:p>
    <w:p w14:paraId="0D5EC4AB">
      <w:pPr>
        <w:bidi w:val="0"/>
        <w:rPr>
          <w:color w:val="auto"/>
        </w:rPr>
      </w:pPr>
      <w:r>
        <w:rPr>
          <w:rFonts w:hint="eastAsia"/>
          <w:color w:val="auto"/>
          <w:lang w:val="en-US" w:eastAsia="zh-CN"/>
        </w:rPr>
        <w:t>《</w:t>
      </w:r>
      <w:r>
        <w:rPr>
          <w:rFonts w:hint="default"/>
          <w:color w:val="auto"/>
        </w:rPr>
        <w:t>大中型企业安全生产标准化管理体系要求</w:t>
      </w:r>
      <w:r>
        <w:rPr>
          <w:rFonts w:hint="eastAsia"/>
          <w:color w:val="auto"/>
          <w:lang w:val="en-US" w:eastAsia="zh-CN"/>
        </w:rPr>
        <w:t xml:space="preserve">》     </w:t>
      </w:r>
      <w:r>
        <w:rPr>
          <w:color w:val="auto"/>
        </w:rPr>
        <w:t>GB/T 33000-2025</w:t>
      </w:r>
    </w:p>
    <w:p w14:paraId="39953864">
      <w:pPr>
        <w:bidi w:val="0"/>
        <w:rPr>
          <w:rFonts w:hint="eastAsia"/>
          <w:color w:val="auto"/>
          <w:lang w:val="en-US" w:eastAsia="zh-CN"/>
        </w:rPr>
      </w:pPr>
      <w:r>
        <w:rPr>
          <w:rFonts w:hint="eastAsia"/>
          <w:color w:val="auto"/>
          <w:lang w:val="en-US" w:eastAsia="zh-CN"/>
        </w:rPr>
        <w:t>《用电安全导则》                              GB/T13869-2017</w:t>
      </w:r>
    </w:p>
    <w:p w14:paraId="1ECD7BE0">
      <w:pPr>
        <w:bidi w:val="0"/>
        <w:rPr>
          <w:rFonts w:hint="eastAsia"/>
          <w:color w:val="auto"/>
          <w:lang w:val="en-US" w:eastAsia="zh-CN"/>
        </w:rPr>
      </w:pPr>
      <w:r>
        <w:rPr>
          <w:rFonts w:hint="eastAsia"/>
          <w:color w:val="auto"/>
          <w:lang w:val="en-US" w:eastAsia="zh-CN"/>
        </w:rPr>
        <w:t>《生产经营单位生产安全事故应急预案编制导则》  GB/T29639-2020</w:t>
      </w:r>
    </w:p>
    <w:p w14:paraId="60BD7180">
      <w:pPr>
        <w:bidi w:val="0"/>
        <w:rPr>
          <w:rFonts w:hint="eastAsia"/>
          <w:color w:val="auto"/>
          <w:lang w:val="en-US" w:eastAsia="zh-CN"/>
        </w:rPr>
      </w:pPr>
      <w:r>
        <w:rPr>
          <w:rFonts w:hint="eastAsia"/>
          <w:color w:val="auto"/>
          <w:lang w:val="en-US" w:eastAsia="zh-CN"/>
        </w:rPr>
        <w:t>《矿区水文地质工程地质勘查规范》              GB/T12719-2021</w:t>
      </w:r>
    </w:p>
    <w:p w14:paraId="4E596CCE">
      <w:pPr>
        <w:bidi w:val="0"/>
        <w:rPr>
          <w:rFonts w:hint="eastAsia"/>
          <w:color w:val="auto"/>
          <w:lang w:val="en-US" w:eastAsia="zh-CN"/>
        </w:rPr>
      </w:pPr>
      <w:r>
        <w:rPr>
          <w:rFonts w:hint="eastAsia"/>
          <w:color w:val="auto"/>
          <w:lang w:val="en-US" w:eastAsia="zh-CN"/>
        </w:rPr>
        <w:t>《生产过程危险和有害因素分类与代码》          GB/T13861-2022</w:t>
      </w:r>
    </w:p>
    <w:p w14:paraId="03DABB6F">
      <w:pPr>
        <w:bidi w:val="0"/>
        <w:rPr>
          <w:rFonts w:hint="eastAsia"/>
          <w:color w:val="auto"/>
          <w:lang w:val="en-US" w:eastAsia="zh-CN"/>
        </w:rPr>
      </w:pPr>
      <w:r>
        <w:rPr>
          <w:rFonts w:hint="eastAsia"/>
          <w:color w:val="auto"/>
          <w:lang w:val="en-US" w:eastAsia="zh-CN"/>
        </w:rPr>
        <w:t>《金属非金属矿山充填工程技术标准》            GB/T51450-2022</w:t>
      </w:r>
    </w:p>
    <w:p w14:paraId="49CAF3E1">
      <w:pPr>
        <w:bidi w:val="0"/>
        <w:rPr>
          <w:rFonts w:hint="eastAsia"/>
          <w:color w:val="auto"/>
          <w:lang w:val="en-US" w:eastAsia="zh-CN"/>
        </w:rPr>
      </w:pPr>
      <w:r>
        <w:rPr>
          <w:rFonts w:hint="eastAsia"/>
          <w:color w:val="auto"/>
          <w:lang w:val="en-US" w:eastAsia="zh-CN"/>
        </w:rPr>
        <w:t>《工作场所有害因素职业接触限值第2部分：物理因素》</w:t>
      </w:r>
    </w:p>
    <w:p w14:paraId="05F692A6">
      <w:pPr>
        <w:bidi w:val="0"/>
        <w:ind w:firstLine="7280" w:firstLineChars="2600"/>
        <w:rPr>
          <w:rFonts w:hint="eastAsia"/>
          <w:color w:val="auto"/>
          <w:lang w:val="en-US" w:eastAsia="zh-CN"/>
        </w:rPr>
      </w:pPr>
      <w:r>
        <w:rPr>
          <w:rFonts w:hint="eastAsia"/>
          <w:color w:val="auto"/>
          <w:lang w:val="en-US" w:eastAsia="zh-CN"/>
        </w:rPr>
        <w:t>GBZ2.2-2007</w:t>
      </w:r>
    </w:p>
    <w:p w14:paraId="78DA3272">
      <w:pPr>
        <w:bidi w:val="0"/>
        <w:rPr>
          <w:rFonts w:hint="eastAsia"/>
          <w:color w:val="auto"/>
          <w:lang w:val="en-US" w:eastAsia="zh-CN"/>
        </w:rPr>
      </w:pPr>
      <w:r>
        <w:rPr>
          <w:rFonts w:hint="eastAsia"/>
          <w:color w:val="auto"/>
          <w:lang w:val="en-US" w:eastAsia="zh-CN"/>
        </w:rPr>
        <w:t>《工业企业设计卫生标准》                           GBZ1-2010</w:t>
      </w:r>
    </w:p>
    <w:p w14:paraId="5F620A19">
      <w:pPr>
        <w:bidi w:val="0"/>
        <w:rPr>
          <w:rFonts w:hint="eastAsia"/>
          <w:color w:val="auto"/>
          <w:lang w:val="en-US" w:eastAsia="zh-CN"/>
        </w:rPr>
      </w:pPr>
      <w:r>
        <w:rPr>
          <w:rFonts w:hint="eastAsia"/>
          <w:color w:val="auto"/>
          <w:lang w:val="en-US" w:eastAsia="zh-CN"/>
        </w:rPr>
        <w:t>《工作场所有害因素职业接触限值 第1部分：化学有害因素》行业标准第2号修改单                           GBZ 2.1-2019/XG2-2024</w:t>
      </w:r>
    </w:p>
    <w:p w14:paraId="7A59C4F2">
      <w:pPr>
        <w:bidi w:val="0"/>
        <w:rPr>
          <w:rFonts w:hint="eastAsia"/>
          <w:color w:val="auto"/>
          <w:lang w:val="en-US" w:eastAsia="zh-CN"/>
        </w:rPr>
      </w:pPr>
      <w:r>
        <w:rPr>
          <w:rFonts w:hint="eastAsia"/>
          <w:color w:val="auto"/>
          <w:lang w:val="en-US" w:eastAsia="zh-CN"/>
        </w:rPr>
        <w:t>《安全评价通则》                                 AQ8001-2007</w:t>
      </w:r>
    </w:p>
    <w:p w14:paraId="145BF838">
      <w:pPr>
        <w:bidi w:val="0"/>
        <w:rPr>
          <w:rFonts w:hint="default"/>
          <w:color w:val="auto"/>
          <w:lang w:val="en-US" w:eastAsia="zh-CN"/>
        </w:rPr>
      </w:pPr>
      <w:r>
        <w:rPr>
          <w:rFonts w:hint="eastAsia"/>
          <w:color w:val="auto"/>
          <w:lang w:val="en-US" w:eastAsia="zh-CN"/>
        </w:rPr>
        <w:t>《金属非金属地下矿山通风安全技术规范》           KA30-2026</w:t>
      </w:r>
    </w:p>
    <w:p w14:paraId="61D20ECC">
      <w:pPr>
        <w:bidi w:val="0"/>
        <w:rPr>
          <w:rFonts w:hint="eastAsia"/>
          <w:color w:val="auto"/>
          <w:lang w:val="en-US" w:eastAsia="zh-CN"/>
        </w:rPr>
      </w:pPr>
      <w:r>
        <w:rPr>
          <w:rFonts w:hint="eastAsia"/>
          <w:color w:val="auto"/>
          <w:lang w:val="en-US" w:eastAsia="zh-CN"/>
        </w:rPr>
        <w:t>《金属非金属地下矿山监测监控系统建设规范》       AQ2031-2011</w:t>
      </w:r>
    </w:p>
    <w:p w14:paraId="25966914">
      <w:pPr>
        <w:bidi w:val="0"/>
        <w:rPr>
          <w:rFonts w:hint="eastAsia"/>
          <w:color w:val="auto"/>
          <w:lang w:val="en-US" w:eastAsia="zh-CN"/>
        </w:rPr>
      </w:pPr>
      <w:r>
        <w:rPr>
          <w:rFonts w:hint="eastAsia"/>
          <w:color w:val="auto"/>
          <w:lang w:val="en-US" w:eastAsia="zh-CN"/>
        </w:rPr>
        <w:t>《金属非金属地下矿山人员定位系统建设规范》       AQ2032-2011</w:t>
      </w:r>
    </w:p>
    <w:p w14:paraId="7C436036">
      <w:pPr>
        <w:bidi w:val="0"/>
        <w:rPr>
          <w:rFonts w:hint="eastAsia"/>
          <w:color w:val="auto"/>
          <w:lang w:val="en-US" w:eastAsia="zh-CN"/>
        </w:rPr>
      </w:pPr>
      <w:r>
        <w:rPr>
          <w:rFonts w:hint="eastAsia"/>
          <w:color w:val="auto"/>
          <w:lang w:val="en-US" w:eastAsia="zh-CN"/>
        </w:rPr>
        <w:t>《金属非金属地下矿山通信联络系统建设规范》       AQ2036-2011</w:t>
      </w:r>
    </w:p>
    <w:p w14:paraId="7D44E709">
      <w:pPr>
        <w:bidi w:val="0"/>
        <w:rPr>
          <w:rFonts w:hint="eastAsia"/>
          <w:color w:val="auto"/>
          <w:lang w:val="en-US" w:eastAsia="zh-CN"/>
        </w:rPr>
      </w:pPr>
      <w:r>
        <w:rPr>
          <w:rFonts w:hint="eastAsia"/>
          <w:color w:val="auto"/>
          <w:lang w:val="en-US" w:eastAsia="zh-CN"/>
        </w:rPr>
        <w:t>《金属非金属地下矿山人员定位系统通用技术要求》 KA/T2051-2016</w:t>
      </w:r>
    </w:p>
    <w:p w14:paraId="4426E36E">
      <w:pPr>
        <w:bidi w:val="0"/>
        <w:rPr>
          <w:rFonts w:hint="eastAsia"/>
          <w:color w:val="auto"/>
          <w:lang w:val="en-US" w:eastAsia="zh-CN"/>
        </w:rPr>
      </w:pPr>
      <w:r>
        <w:rPr>
          <w:rFonts w:hint="eastAsia"/>
          <w:color w:val="auto"/>
          <w:lang w:val="en-US" w:eastAsia="zh-CN"/>
        </w:rPr>
        <w:t>《金属非金属地下矿山通信联络系统通用技术要求》 KA/T2052-2016</w:t>
      </w:r>
    </w:p>
    <w:p w14:paraId="51AFC2D8">
      <w:pPr>
        <w:bidi w:val="0"/>
        <w:rPr>
          <w:rFonts w:hint="eastAsia"/>
          <w:color w:val="auto"/>
          <w:lang w:val="en-US" w:eastAsia="zh-CN"/>
        </w:rPr>
      </w:pPr>
      <w:r>
        <w:rPr>
          <w:rFonts w:hint="eastAsia"/>
          <w:color w:val="auto"/>
          <w:lang w:val="en-US" w:eastAsia="zh-CN"/>
        </w:rPr>
        <w:t>《金属非金属地下矿山监测监控系统通用技术要求》 KA/T2053-2016</w:t>
      </w:r>
    </w:p>
    <w:p w14:paraId="09BD9376">
      <w:pPr>
        <w:bidi w:val="0"/>
        <w:rPr>
          <w:rFonts w:hint="eastAsia"/>
          <w:color w:val="auto"/>
          <w:lang w:val="en-US" w:eastAsia="zh-CN"/>
        </w:rPr>
      </w:pPr>
      <w:r>
        <w:rPr>
          <w:rFonts w:hint="eastAsia"/>
          <w:color w:val="auto"/>
          <w:lang w:val="en-US" w:eastAsia="zh-CN"/>
        </w:rPr>
        <w:t>《金属非金属地下矿山防治水安全技术规范》         AQ2061-2018</w:t>
      </w:r>
    </w:p>
    <w:p w14:paraId="41CF66B3">
      <w:pPr>
        <w:bidi w:val="0"/>
        <w:rPr>
          <w:rFonts w:hint="eastAsia"/>
          <w:color w:val="auto"/>
          <w:lang w:val="en-US" w:eastAsia="zh-CN"/>
        </w:rPr>
      </w:pPr>
      <w:r>
        <w:rPr>
          <w:rFonts w:hint="eastAsia"/>
          <w:color w:val="auto"/>
          <w:lang w:val="en-US" w:eastAsia="zh-CN"/>
        </w:rPr>
        <w:t>《金属非金属地下矿山无轨运人车辆安全技术要求》   AQ2070-2019</w:t>
      </w:r>
    </w:p>
    <w:p w14:paraId="009CA3C7">
      <w:pPr>
        <w:bidi w:val="0"/>
        <w:rPr>
          <w:rFonts w:hint="eastAsia"/>
          <w:color w:val="auto"/>
          <w:lang w:val="en-US" w:eastAsia="zh-CN"/>
        </w:rPr>
      </w:pPr>
      <w:r>
        <w:rPr>
          <w:rFonts w:hint="eastAsia"/>
          <w:color w:val="auto"/>
          <w:lang w:val="en-US" w:eastAsia="zh-CN"/>
        </w:rPr>
        <w:t>《金属非金属矿山在用设备设施安全检测检验目录》 KA/T2075-2019</w:t>
      </w:r>
    </w:p>
    <w:p w14:paraId="28EA6097">
      <w:pPr>
        <w:bidi w:val="0"/>
        <w:rPr>
          <w:rFonts w:hint="eastAsia"/>
          <w:color w:val="auto"/>
          <w:lang w:val="en-US" w:eastAsia="zh-CN"/>
        </w:rPr>
      </w:pPr>
      <w:r>
        <w:rPr>
          <w:rFonts w:hint="eastAsia"/>
          <w:color w:val="auto"/>
          <w:lang w:val="en-US" w:eastAsia="zh-CN"/>
        </w:rPr>
        <w:t>《金属非金属地下矿山紧急避险系统建设规范》     KA/T2033-2023</w:t>
      </w:r>
    </w:p>
    <w:p w14:paraId="6C392C5C">
      <w:pPr>
        <w:bidi w:val="0"/>
        <w:rPr>
          <w:rFonts w:hint="eastAsia"/>
          <w:color w:val="auto"/>
          <w:lang w:val="en-US" w:eastAsia="zh-CN"/>
        </w:rPr>
      </w:pPr>
      <w:r>
        <w:rPr>
          <w:rFonts w:hint="eastAsia"/>
          <w:color w:val="auto"/>
          <w:lang w:val="en-US" w:eastAsia="zh-CN"/>
        </w:rPr>
        <w:t>《金属非金属地下矿山压风自救系统建设规范》     KA/T2034-2023</w:t>
      </w:r>
    </w:p>
    <w:p w14:paraId="11E64788">
      <w:pPr>
        <w:bidi w:val="0"/>
        <w:rPr>
          <w:rFonts w:hint="eastAsia"/>
          <w:color w:val="auto"/>
          <w:lang w:val="en-US" w:eastAsia="zh-CN"/>
        </w:rPr>
      </w:pPr>
      <w:r>
        <w:rPr>
          <w:rFonts w:hint="eastAsia"/>
          <w:color w:val="auto"/>
          <w:lang w:val="en-US" w:eastAsia="zh-CN"/>
        </w:rPr>
        <w:t>《金属非金属地下矿山供水施救系统建设规范》     KA/T2035-2023</w:t>
      </w:r>
    </w:p>
    <w:p w14:paraId="688685C0">
      <w:pPr>
        <w:bidi w:val="0"/>
        <w:rPr>
          <w:rFonts w:hint="eastAsia"/>
          <w:color w:val="auto"/>
          <w:lang w:val="en-US" w:eastAsia="zh-CN"/>
        </w:rPr>
      </w:pPr>
      <w:r>
        <w:rPr>
          <w:rFonts w:hint="eastAsia"/>
          <w:color w:val="auto"/>
          <w:lang w:val="en-US" w:eastAsia="zh-CN"/>
        </w:rPr>
        <w:t>《金属非金属地下矿山在用人员定位系统安全检测检验规范》</w:t>
      </w:r>
    </w:p>
    <w:p w14:paraId="244D3179">
      <w:pPr>
        <w:bidi w:val="0"/>
        <w:ind w:firstLine="7000" w:firstLineChars="2500"/>
        <w:rPr>
          <w:rFonts w:hint="eastAsia"/>
          <w:color w:val="auto"/>
          <w:lang w:val="en-US" w:eastAsia="zh-CN"/>
        </w:rPr>
      </w:pPr>
      <w:r>
        <w:rPr>
          <w:rFonts w:hint="eastAsia"/>
          <w:color w:val="auto"/>
          <w:lang w:val="en-US" w:eastAsia="zh-CN"/>
        </w:rPr>
        <w:t>KA/T2080-2023</w:t>
      </w:r>
    </w:p>
    <w:p w14:paraId="68040E46">
      <w:pPr>
        <w:bidi w:val="0"/>
        <w:rPr>
          <w:rFonts w:hint="eastAsia"/>
          <w:color w:val="auto"/>
          <w:lang w:val="en-US" w:eastAsia="zh-CN"/>
        </w:rPr>
      </w:pPr>
      <w:r>
        <w:rPr>
          <w:rFonts w:hint="eastAsia"/>
          <w:color w:val="auto"/>
          <w:lang w:val="en-US" w:eastAsia="zh-CN"/>
        </w:rPr>
        <w:t>《矿山隐蔽致灾因素普查规范 第1部分：总则》    KA/T22.3-2024</w:t>
      </w:r>
    </w:p>
    <w:p w14:paraId="5451EAE0">
      <w:pPr>
        <w:bidi w:val="0"/>
        <w:rPr>
          <w:rFonts w:hint="eastAsia"/>
          <w:color w:val="auto"/>
          <w:lang w:val="en-US" w:eastAsia="zh-CN"/>
        </w:rPr>
      </w:pPr>
      <w:r>
        <w:rPr>
          <w:rFonts w:hint="eastAsia"/>
          <w:color w:val="auto"/>
          <w:lang w:val="en-US" w:eastAsia="zh-CN"/>
        </w:rPr>
        <w:t>《矿山隐蔽致灾因素普查规范 第3部分：金属非金属矿山及尾矿库》</w:t>
      </w:r>
    </w:p>
    <w:p w14:paraId="0DC8ED7C">
      <w:pPr>
        <w:bidi w:val="0"/>
        <w:ind w:firstLine="7000" w:firstLineChars="2500"/>
        <w:rPr>
          <w:rFonts w:hint="eastAsia"/>
          <w:color w:val="auto"/>
          <w:lang w:val="en-US" w:eastAsia="zh-CN"/>
        </w:rPr>
      </w:pPr>
      <w:r>
        <w:rPr>
          <w:rFonts w:hint="eastAsia"/>
          <w:color w:val="auto"/>
          <w:lang w:val="en-US" w:eastAsia="zh-CN"/>
        </w:rPr>
        <w:t>KA/T22.3-2024</w:t>
      </w:r>
    </w:p>
    <w:p w14:paraId="49B78DE3">
      <w:pPr>
        <w:bidi w:val="0"/>
        <w:rPr>
          <w:rFonts w:hint="eastAsia"/>
          <w:color w:val="auto"/>
          <w:lang w:val="en-US" w:eastAsia="zh-CN"/>
        </w:rPr>
      </w:pPr>
      <w:r>
        <w:rPr>
          <w:rFonts w:hint="eastAsia"/>
          <w:color w:val="auto"/>
          <w:lang w:val="en-US" w:eastAsia="zh-CN"/>
        </w:rPr>
        <w:t>《金属非金属矿山排土场安全生产规则》               KA23-2025</w:t>
      </w:r>
    </w:p>
    <w:p w14:paraId="240E5643">
      <w:pPr>
        <w:rPr>
          <w:rFonts w:hint="eastAsia"/>
          <w:color w:val="auto"/>
          <w:lang w:val="en-US" w:eastAsia="zh-CN"/>
        </w:rPr>
      </w:pPr>
      <w:r>
        <w:rPr>
          <w:rFonts w:hint="eastAsia"/>
          <w:color w:val="auto"/>
          <w:lang w:val="en-US" w:eastAsia="zh-CN"/>
        </w:rPr>
        <w:br w:type="page"/>
      </w:r>
    </w:p>
    <w:p w14:paraId="514C2759">
      <w:pPr>
        <w:pStyle w:val="4"/>
        <w:bidi w:val="0"/>
        <w:rPr>
          <w:rFonts w:hint="eastAsia" w:ascii="宋体" w:hAnsi="宋体" w:eastAsia="宋体" w:cs="宋体"/>
          <w:color w:val="auto"/>
          <w:szCs w:val="28"/>
          <w:lang w:val="en-US" w:eastAsia="zh-CN"/>
        </w:rPr>
      </w:pPr>
      <w:bookmarkStart w:id="148" w:name="_Toc13166"/>
      <w:r>
        <w:rPr>
          <w:rFonts w:hint="eastAsia"/>
          <w:color w:val="auto"/>
          <w:lang w:val="en-US" w:eastAsia="zh-CN"/>
        </w:rPr>
        <w:t>1.3.8 其他依据和主要技术资料</w:t>
      </w:r>
      <w:bookmarkEnd w:id="142"/>
      <w:bookmarkEnd w:id="143"/>
      <w:bookmarkEnd w:id="144"/>
      <w:bookmarkEnd w:id="145"/>
      <w:bookmarkEnd w:id="146"/>
      <w:bookmarkEnd w:id="147"/>
      <w:bookmarkEnd w:id="148"/>
    </w:p>
    <w:p w14:paraId="2506C738">
      <w:pPr>
        <w:pStyle w:val="25"/>
        <w:keepNext w:val="0"/>
        <w:keepLines w:val="0"/>
        <w:pageBreakBefore w:val="0"/>
        <w:widowControl w:val="0"/>
        <w:kinsoku w:val="0"/>
        <w:wordWrap/>
        <w:overflowPunct/>
        <w:topLinePunct w:val="0"/>
        <w:autoSpaceDE w:val="0"/>
        <w:autoSpaceDN w:val="0"/>
        <w:bidi w:val="0"/>
        <w:adjustRightInd w:val="0"/>
        <w:snapToGrid w:val="0"/>
        <w:spacing w:line="560" w:lineRule="exact"/>
        <w:ind w:firstLine="560" w:firstLineChars="200"/>
        <w:textAlignment w:val="baseline"/>
        <w:rPr>
          <w:rFonts w:hint="eastAsia"/>
          <w:color w:val="auto"/>
          <w:lang w:val="en-US" w:eastAsia="zh-CN"/>
        </w:rPr>
      </w:pPr>
      <w:r>
        <w:rPr>
          <w:rFonts w:hint="eastAsia" w:ascii="宋体" w:hAnsi="宋体" w:eastAsia="宋体" w:cs="宋体"/>
          <w:color w:val="auto"/>
          <w:sz w:val="28"/>
          <w:szCs w:val="28"/>
          <w:lang w:val="en-US" w:eastAsia="zh-CN"/>
        </w:rPr>
        <w:t>《江西临川鲁金矿业有限公司新建采选100t/d工程初步设计书》（山东省烟台黄金设计研究院</w:t>
      </w:r>
      <w:r>
        <w:rPr>
          <w:rFonts w:hint="eastAsia" w:cs="宋体"/>
          <w:color w:val="auto"/>
          <w:sz w:val="28"/>
          <w:szCs w:val="28"/>
          <w:lang w:val="en-US" w:eastAsia="zh-CN"/>
        </w:rPr>
        <w:t>，1</w:t>
      </w:r>
      <w:r>
        <w:rPr>
          <w:rFonts w:hint="eastAsia" w:ascii="宋体" w:hAnsi="宋体" w:eastAsia="宋体" w:cs="宋体"/>
          <w:color w:val="auto"/>
          <w:sz w:val="28"/>
          <w:szCs w:val="28"/>
          <w:lang w:val="en-US" w:eastAsia="zh-CN"/>
        </w:rPr>
        <w:t xml:space="preserve">999年4月） </w:t>
      </w:r>
    </w:p>
    <w:p w14:paraId="6D4ED54B">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《江西临川鲁金矿业有限公司茅排金矿100t/d采矿工程初步设计安全专篇》（山东黄金集团烟台设计研究工程有限公司</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 xml:space="preserve">2012年11月） </w:t>
      </w:r>
    </w:p>
    <w:p w14:paraId="35CD191C">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《江西临川鲁金矿业有限公司茅排金矿100t/d采矿工程初步设计安全专篇（变更）》（山东黄金集团烟台设计研究工程有限公司</w:t>
      </w:r>
      <w:r>
        <w:rPr>
          <w:rFonts w:hint="eastAsia" w:cs="宋体"/>
          <w:color w:val="auto"/>
          <w:sz w:val="28"/>
          <w:szCs w:val="28"/>
          <w:lang w:val="en-US" w:eastAsia="zh-CN"/>
        </w:rPr>
        <w:t>，</w:t>
      </w:r>
      <w:r>
        <w:rPr>
          <w:rFonts w:hint="eastAsia" w:ascii="宋体" w:hAnsi="宋体" w:eastAsia="宋体" w:cs="宋体"/>
          <w:color w:val="auto"/>
          <w:sz w:val="28"/>
          <w:szCs w:val="28"/>
          <w:lang w:val="en-US" w:eastAsia="zh-CN"/>
        </w:rPr>
        <w:t>2013年8月）</w:t>
      </w:r>
    </w:p>
    <w:p w14:paraId="03D7E43D">
      <w:pPr>
        <w:widowControl w:val="0"/>
        <w:kinsoku/>
        <w:adjustRightInd/>
        <w:snapToGrid/>
        <w:spacing w:line="560" w:lineRule="exact"/>
        <w:ind w:firstLine="592"/>
        <w:rPr>
          <w:rFonts w:hint="eastAsia" w:cs="宋体"/>
          <w:color w:val="auto"/>
          <w:sz w:val="28"/>
          <w:szCs w:val="28"/>
          <w:lang w:val="en-US" w:eastAsia="zh-CN"/>
        </w:rPr>
      </w:pPr>
      <w:r>
        <w:rPr>
          <w:rFonts w:hint="eastAsia" w:cs="宋体"/>
          <w:color w:val="auto"/>
          <w:sz w:val="28"/>
          <w:szCs w:val="28"/>
          <w:lang w:val="en-US" w:eastAsia="zh-CN"/>
        </w:rPr>
        <w:t>《江西临川鲁金矿业有限公司茅排金矿人员定位系统建设项目竣工报告》（江西普瑞智工程技术有限公司，2023年4月）</w:t>
      </w:r>
    </w:p>
    <w:p w14:paraId="57385092">
      <w:pPr>
        <w:bidi w:val="0"/>
        <w:rPr>
          <w:rFonts w:hint="eastAsia"/>
          <w:color w:val="auto"/>
          <w:lang w:val="en-US" w:eastAsia="zh-CN"/>
        </w:rPr>
      </w:pPr>
      <w:r>
        <w:rPr>
          <w:rFonts w:hint="eastAsia"/>
          <w:color w:val="auto"/>
          <w:lang w:val="en-US" w:eastAsia="zh-CN"/>
        </w:rPr>
        <w:t>《江西临川鲁金矿业有限公司民用爆炸物品储存库安全现状评价报告》（江西省赣华安全科技有限公司，2023年8月）</w:t>
      </w:r>
    </w:p>
    <w:p w14:paraId="3451B5EF">
      <w:pPr>
        <w:bidi w:val="0"/>
        <w:rPr>
          <w:rFonts w:hint="eastAsia"/>
          <w:color w:val="auto"/>
          <w:lang w:val="en-US" w:eastAsia="zh-CN"/>
        </w:rPr>
      </w:pPr>
      <w:r>
        <w:rPr>
          <w:rFonts w:hint="eastAsia"/>
          <w:color w:val="auto"/>
          <w:lang w:val="en-US" w:eastAsia="zh-CN"/>
        </w:rPr>
        <w:t>《</w:t>
      </w:r>
      <w:r>
        <w:rPr>
          <w:rFonts w:hint="eastAsia"/>
          <w:color w:val="auto"/>
        </w:rPr>
        <w:t>江西临川鲁金矿业有限公司茅排金矿隐蔽致灾因素普查治理报告</w:t>
      </w:r>
      <w:r>
        <w:rPr>
          <w:rFonts w:hint="eastAsia"/>
          <w:color w:val="auto"/>
          <w:lang w:val="en-US" w:eastAsia="zh-CN"/>
        </w:rPr>
        <w:t>》（</w:t>
      </w:r>
      <w:r>
        <w:rPr>
          <w:rFonts w:hint="eastAsia"/>
          <w:color w:val="auto"/>
        </w:rPr>
        <w:t>江西普瑞智工程技术有限公司</w:t>
      </w:r>
      <w:r>
        <w:rPr>
          <w:rFonts w:hint="eastAsia"/>
          <w:color w:val="auto"/>
          <w:lang w:val="en-US" w:eastAsia="zh-CN"/>
        </w:rPr>
        <w:t>、</w:t>
      </w:r>
      <w:r>
        <w:rPr>
          <w:rFonts w:hint="eastAsia"/>
          <w:color w:val="auto"/>
        </w:rPr>
        <w:t>江西省勘察设计研究院有限公司</w:t>
      </w:r>
      <w:r>
        <w:rPr>
          <w:rFonts w:hint="eastAsia"/>
          <w:color w:val="auto"/>
          <w:lang w:eastAsia="zh-CN"/>
        </w:rPr>
        <w:t>，</w:t>
      </w:r>
      <w:r>
        <w:rPr>
          <w:rFonts w:hint="eastAsia"/>
          <w:color w:val="auto"/>
          <w:lang w:val="en-US" w:eastAsia="zh-CN"/>
        </w:rPr>
        <w:t>2024年3月）</w:t>
      </w:r>
    </w:p>
    <w:p w14:paraId="38EC8620">
      <w:pPr>
        <w:bidi w:val="0"/>
        <w:rPr>
          <w:rFonts w:hint="eastAsia"/>
          <w:color w:val="auto"/>
          <w:lang w:val="en-US" w:eastAsia="zh-CN"/>
        </w:rPr>
      </w:pPr>
      <w:r>
        <w:rPr>
          <w:rFonts w:hint="eastAsia"/>
          <w:color w:val="auto"/>
          <w:lang w:val="zh-CN" w:eastAsia="zh-CN"/>
        </w:rPr>
        <w:t>《江西临川鲁金铁业有限公司茅排金矿物探勘查</w:t>
      </w:r>
      <w:r>
        <w:rPr>
          <w:rFonts w:hint="eastAsia"/>
          <w:color w:val="auto"/>
          <w:lang w:val="en-US" w:eastAsia="zh-CN"/>
        </w:rPr>
        <w:t>成果报告》（</w:t>
      </w:r>
      <w:r>
        <w:rPr>
          <w:rFonts w:hint="eastAsia"/>
          <w:color w:val="auto"/>
          <w:lang w:val="zh-CN" w:eastAsia="zh-CN"/>
        </w:rPr>
        <w:t>江西省勘察设计研究院有限公司，</w:t>
      </w:r>
      <w:r>
        <w:rPr>
          <w:rFonts w:hint="eastAsia"/>
          <w:color w:val="auto"/>
          <w:lang w:val="en-US" w:eastAsia="zh-CN"/>
        </w:rPr>
        <w:t>2024年3月）</w:t>
      </w:r>
    </w:p>
    <w:p w14:paraId="3CD97711">
      <w:pPr>
        <w:bidi w:val="0"/>
        <w:rPr>
          <w:rFonts w:hint="eastAsia"/>
          <w:color w:val="auto"/>
          <w:lang w:val="en-US" w:eastAsia="zh-CN"/>
        </w:rPr>
      </w:pPr>
      <w:r>
        <w:rPr>
          <w:rFonts w:hint="eastAsia"/>
          <w:color w:val="auto"/>
          <w:lang w:eastAsia="zh-CN"/>
        </w:rPr>
        <w:t>《</w:t>
      </w:r>
      <w:r>
        <w:rPr>
          <w:rFonts w:hint="eastAsia"/>
          <w:color w:val="auto"/>
          <w:lang w:val="en-US" w:eastAsia="zh-CN"/>
        </w:rPr>
        <w:t>矿山企业安全检测情况汇总表》（江西省矿检安全科技有限公司，2026年3月）</w:t>
      </w:r>
    </w:p>
    <w:p w14:paraId="3C4E497E">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企业提供的其他资料，含工商营业执照、采矿许可证、安全生产许可证、应急预案备案表、安全费用提取表、安全生产责任险缴纳证明、现状实测图纸、主要负责人及安全生产管理人员资格证书、特种作业人员资格证书及其他安全管理资料。</w:t>
      </w:r>
    </w:p>
    <w:p w14:paraId="5105236F">
      <w:pPr>
        <w:rPr>
          <w:rFonts w:hint="eastAsia" w:ascii="宋体" w:hAnsi="宋体" w:eastAsia="宋体" w:cs="宋体"/>
          <w:color w:val="auto"/>
          <w:sz w:val="28"/>
          <w:szCs w:val="28"/>
          <w:lang w:val="en-US" w:eastAsia="zh-CN"/>
        </w:rPr>
      </w:pPr>
      <w:bookmarkStart w:id="149" w:name="_Toc7456"/>
      <w:bookmarkStart w:id="150" w:name="_Toc1501"/>
      <w:bookmarkStart w:id="151" w:name="_Toc17449"/>
      <w:bookmarkStart w:id="152" w:name="_Toc16279"/>
      <w:bookmarkStart w:id="153" w:name="_Toc14443"/>
      <w:bookmarkStart w:id="154" w:name="_Toc2214"/>
      <w:bookmarkStart w:id="155" w:name="_Toc27635"/>
      <w:bookmarkStart w:id="156" w:name="_Toc25198"/>
      <w:bookmarkStart w:id="157" w:name="_Toc10761"/>
      <w:bookmarkStart w:id="158" w:name="_Toc14996"/>
      <w:r>
        <w:rPr>
          <w:rFonts w:hint="eastAsia" w:ascii="宋体" w:hAnsi="宋体" w:eastAsia="宋体" w:cs="宋体"/>
          <w:color w:val="auto"/>
          <w:sz w:val="28"/>
          <w:szCs w:val="28"/>
          <w:lang w:val="en-US" w:eastAsia="zh-CN"/>
        </w:rPr>
        <w:br w:type="page"/>
      </w:r>
    </w:p>
    <w:p w14:paraId="78FFB3F1">
      <w:pPr>
        <w:pStyle w:val="3"/>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159" w:name="_Toc22565"/>
      <w:r>
        <w:rPr>
          <w:rFonts w:hint="eastAsia" w:ascii="宋体" w:hAnsi="宋体" w:eastAsia="宋体" w:cs="宋体"/>
          <w:color w:val="auto"/>
          <w:sz w:val="28"/>
          <w:szCs w:val="28"/>
          <w:lang w:val="en-US" w:eastAsia="zh-CN"/>
        </w:rPr>
        <w:t>1.4 评价程序</w:t>
      </w:r>
      <w:bookmarkEnd w:id="149"/>
      <w:bookmarkEnd w:id="150"/>
      <w:bookmarkEnd w:id="151"/>
      <w:bookmarkEnd w:id="152"/>
      <w:bookmarkEnd w:id="153"/>
      <w:bookmarkEnd w:id="154"/>
      <w:bookmarkEnd w:id="155"/>
      <w:bookmarkEnd w:id="156"/>
      <w:bookmarkEnd w:id="157"/>
      <w:bookmarkEnd w:id="158"/>
      <w:bookmarkEnd w:id="159"/>
    </w:p>
    <w:p w14:paraId="5C453087">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本次安全现状评价工作程序如图 1-1 所示。</w:t>
      </w:r>
    </w:p>
    <w:p w14:paraId="29D93B97">
      <w:pPr>
        <w:pStyle w:val="15"/>
        <w:rPr>
          <w:rFonts w:hint="eastAsia" w:ascii="宋体" w:hAnsi="宋体" w:eastAsia="宋体" w:cs="宋体"/>
          <w:color w:val="auto"/>
          <w:sz w:val="28"/>
          <w:szCs w:val="28"/>
          <w:lang w:val="en-US" w:eastAsia="zh-CN"/>
        </w:rPr>
      </w:pPr>
    </w:p>
    <w:tbl>
      <w:tblPr>
        <w:tblStyle w:val="27"/>
        <w:tblW w:w="304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1"/>
        <w:gridCol w:w="1600"/>
      </w:tblGrid>
      <w:tr w14:paraId="3050F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jc w:val="center"/>
        </w:trPr>
        <w:tc>
          <w:tcPr>
            <w:tcW w:w="3041" w:type="dxa"/>
            <w:gridSpan w:val="2"/>
            <w:tcBorders>
              <w:left w:val="single" w:color="000000" w:sz="4" w:space="0"/>
              <w:right w:val="single" w:color="000000" w:sz="4" w:space="0"/>
            </w:tcBorders>
            <w:vAlign w:val="top"/>
          </w:tcPr>
          <w:p w14:paraId="0F4C22AB">
            <w:pPr>
              <w:spacing w:before="120" w:line="191"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10"/>
                <w:sz w:val="21"/>
                <w:szCs w:val="21"/>
              </w:rPr>
              <w:t>前</w:t>
            </w:r>
            <w:r>
              <w:rPr>
                <w:rFonts w:ascii="微软雅黑" w:hAnsi="微软雅黑" w:eastAsia="微软雅黑" w:cs="微软雅黑"/>
                <w:color w:val="auto"/>
                <w:spacing w:val="8"/>
                <w:sz w:val="21"/>
                <w:szCs w:val="21"/>
              </w:rPr>
              <w:t>期准备</w:t>
            </w:r>
          </w:p>
        </w:tc>
      </w:tr>
      <w:tr w14:paraId="6694C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441" w:type="dxa"/>
            <w:tcBorders>
              <w:left w:val="nil"/>
              <w:right w:val="single" w:color="000000" w:sz="4" w:space="0"/>
            </w:tcBorders>
            <w:vAlign w:val="top"/>
          </w:tcPr>
          <w:p w14:paraId="680DE2D0">
            <w:pPr>
              <w:jc w:val="center"/>
              <w:rPr>
                <w:rFonts w:ascii="Arial"/>
                <w:color w:val="auto"/>
                <w:sz w:val="21"/>
              </w:rPr>
            </w:pPr>
            <w:r>
              <w:rPr>
                <w:color w:val="auto"/>
              </w:rPr>
              <w:drawing>
                <wp:anchor distT="0" distB="0" distL="0" distR="0" simplePos="0" relativeHeight="251664384" behindDoc="0" locked="0" layoutInCell="1" allowOverlap="1">
                  <wp:simplePos x="0" y="0"/>
                  <wp:positionH relativeFrom="rightMargin">
                    <wp:posOffset>-49530</wp:posOffset>
                  </wp:positionH>
                  <wp:positionV relativeFrom="topMargin">
                    <wp:posOffset>153670</wp:posOffset>
                  </wp:positionV>
                  <wp:extent cx="106680" cy="108585"/>
                  <wp:effectExtent l="0" t="0" r="7620" b="5715"/>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
                          <a:stretch>
                            <a:fillRect/>
                          </a:stretch>
                        </pic:blipFill>
                        <pic:spPr>
                          <a:xfrm>
                            <a:off x="0" y="0"/>
                            <a:ext cx="106562" cy="108693"/>
                          </a:xfrm>
                          <a:prstGeom prst="rect">
                            <a:avLst/>
                          </a:prstGeom>
                        </pic:spPr>
                      </pic:pic>
                    </a:graphicData>
                  </a:graphic>
                </wp:anchor>
              </w:drawing>
            </w:r>
          </w:p>
        </w:tc>
        <w:tc>
          <w:tcPr>
            <w:tcW w:w="1600" w:type="dxa"/>
            <w:tcBorders>
              <w:left w:val="single" w:color="000000" w:sz="4" w:space="0"/>
              <w:right w:val="nil"/>
            </w:tcBorders>
            <w:vAlign w:val="top"/>
          </w:tcPr>
          <w:p w14:paraId="63A15482">
            <w:pPr>
              <w:jc w:val="center"/>
              <w:rPr>
                <w:rFonts w:ascii="Arial"/>
                <w:color w:val="auto"/>
                <w:sz w:val="21"/>
              </w:rPr>
            </w:pPr>
          </w:p>
        </w:tc>
      </w:tr>
      <w:tr w14:paraId="39751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3041" w:type="dxa"/>
            <w:gridSpan w:val="2"/>
            <w:tcBorders>
              <w:left w:val="single" w:color="000000" w:sz="4" w:space="0"/>
              <w:right w:val="single" w:color="000000" w:sz="4" w:space="0"/>
            </w:tcBorders>
            <w:vAlign w:val="top"/>
          </w:tcPr>
          <w:p w14:paraId="6A8AAE07">
            <w:pPr>
              <w:spacing w:before="113" w:line="192"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10"/>
                <w:sz w:val="21"/>
                <w:szCs w:val="21"/>
              </w:rPr>
              <w:t>辨</w:t>
            </w:r>
            <w:r>
              <w:rPr>
                <w:rFonts w:ascii="微软雅黑" w:hAnsi="微软雅黑" w:eastAsia="微软雅黑" w:cs="微软雅黑"/>
                <w:color w:val="auto"/>
                <w:spacing w:val="9"/>
                <w:sz w:val="21"/>
                <w:szCs w:val="21"/>
              </w:rPr>
              <w:t>识与分析危险、有害因素</w:t>
            </w:r>
          </w:p>
        </w:tc>
      </w:tr>
      <w:tr w14:paraId="71E73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441" w:type="dxa"/>
            <w:tcBorders>
              <w:left w:val="nil"/>
              <w:right w:val="single" w:color="000000" w:sz="4" w:space="0"/>
            </w:tcBorders>
            <w:vAlign w:val="top"/>
          </w:tcPr>
          <w:p w14:paraId="1B7E2C1E">
            <w:pPr>
              <w:jc w:val="center"/>
              <w:rPr>
                <w:rFonts w:ascii="Arial"/>
                <w:color w:val="auto"/>
                <w:sz w:val="21"/>
              </w:rPr>
            </w:pPr>
            <w:r>
              <w:rPr>
                <w:color w:val="auto"/>
              </w:rPr>
              <w:drawing>
                <wp:anchor distT="0" distB="0" distL="0" distR="0" simplePos="0" relativeHeight="251663360" behindDoc="0" locked="0" layoutInCell="1" allowOverlap="1">
                  <wp:simplePos x="0" y="0"/>
                  <wp:positionH relativeFrom="rightMargin">
                    <wp:posOffset>-49530</wp:posOffset>
                  </wp:positionH>
                  <wp:positionV relativeFrom="topMargin">
                    <wp:posOffset>153670</wp:posOffset>
                  </wp:positionV>
                  <wp:extent cx="106680" cy="108585"/>
                  <wp:effectExtent l="0" t="0" r="7620" b="5715"/>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2"/>
                          <a:stretch>
                            <a:fillRect/>
                          </a:stretch>
                        </pic:blipFill>
                        <pic:spPr>
                          <a:xfrm>
                            <a:off x="0" y="0"/>
                            <a:ext cx="106562" cy="108693"/>
                          </a:xfrm>
                          <a:prstGeom prst="rect">
                            <a:avLst/>
                          </a:prstGeom>
                        </pic:spPr>
                      </pic:pic>
                    </a:graphicData>
                  </a:graphic>
                </wp:anchor>
              </w:drawing>
            </w:r>
          </w:p>
        </w:tc>
        <w:tc>
          <w:tcPr>
            <w:tcW w:w="1600" w:type="dxa"/>
            <w:tcBorders>
              <w:left w:val="single" w:color="000000" w:sz="4" w:space="0"/>
              <w:right w:val="nil"/>
            </w:tcBorders>
            <w:vAlign w:val="top"/>
          </w:tcPr>
          <w:p w14:paraId="415746E3">
            <w:pPr>
              <w:jc w:val="center"/>
              <w:rPr>
                <w:rFonts w:ascii="Arial"/>
                <w:color w:val="auto"/>
                <w:sz w:val="21"/>
              </w:rPr>
            </w:pPr>
          </w:p>
        </w:tc>
      </w:tr>
      <w:tr w14:paraId="21207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3041" w:type="dxa"/>
            <w:gridSpan w:val="2"/>
            <w:tcBorders>
              <w:left w:val="single" w:color="000000" w:sz="4" w:space="0"/>
              <w:right w:val="single" w:color="000000" w:sz="4" w:space="0"/>
            </w:tcBorders>
            <w:vAlign w:val="top"/>
          </w:tcPr>
          <w:p w14:paraId="6A57FEDF">
            <w:pPr>
              <w:spacing w:before="113" w:line="192"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9"/>
                <w:sz w:val="21"/>
                <w:szCs w:val="21"/>
              </w:rPr>
              <w:t>划分评价单</w:t>
            </w:r>
            <w:r>
              <w:rPr>
                <w:rFonts w:ascii="微软雅黑" w:hAnsi="微软雅黑" w:eastAsia="微软雅黑" w:cs="微软雅黑"/>
                <w:color w:val="auto"/>
                <w:spacing w:val="7"/>
                <w:sz w:val="21"/>
                <w:szCs w:val="21"/>
              </w:rPr>
              <w:t>元</w:t>
            </w:r>
          </w:p>
        </w:tc>
      </w:tr>
      <w:tr w14:paraId="4841A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1441" w:type="dxa"/>
            <w:tcBorders>
              <w:left w:val="nil"/>
              <w:right w:val="single" w:color="000000" w:sz="4" w:space="0"/>
            </w:tcBorders>
            <w:vAlign w:val="top"/>
          </w:tcPr>
          <w:p w14:paraId="6DE1DF5B">
            <w:pPr>
              <w:jc w:val="center"/>
              <w:rPr>
                <w:rFonts w:ascii="Arial"/>
                <w:color w:val="auto"/>
                <w:sz w:val="21"/>
              </w:rPr>
            </w:pPr>
            <w:r>
              <w:rPr>
                <w:color w:val="auto"/>
              </w:rPr>
              <w:drawing>
                <wp:anchor distT="0" distB="0" distL="0" distR="0" simplePos="0" relativeHeight="251662336" behindDoc="0" locked="0" layoutInCell="1" allowOverlap="1">
                  <wp:simplePos x="0" y="0"/>
                  <wp:positionH relativeFrom="rightMargin">
                    <wp:posOffset>-49530</wp:posOffset>
                  </wp:positionH>
                  <wp:positionV relativeFrom="topMargin">
                    <wp:posOffset>154940</wp:posOffset>
                  </wp:positionV>
                  <wp:extent cx="106680" cy="108585"/>
                  <wp:effectExtent l="0" t="0" r="7620" b="5715"/>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3"/>
                          <a:stretch>
                            <a:fillRect/>
                          </a:stretch>
                        </pic:blipFill>
                        <pic:spPr>
                          <a:xfrm>
                            <a:off x="0" y="0"/>
                            <a:ext cx="106562" cy="108693"/>
                          </a:xfrm>
                          <a:prstGeom prst="rect">
                            <a:avLst/>
                          </a:prstGeom>
                        </pic:spPr>
                      </pic:pic>
                    </a:graphicData>
                  </a:graphic>
                </wp:anchor>
              </w:drawing>
            </w:r>
          </w:p>
        </w:tc>
        <w:tc>
          <w:tcPr>
            <w:tcW w:w="1600" w:type="dxa"/>
            <w:tcBorders>
              <w:left w:val="single" w:color="000000" w:sz="4" w:space="0"/>
              <w:right w:val="nil"/>
            </w:tcBorders>
            <w:vAlign w:val="top"/>
          </w:tcPr>
          <w:p w14:paraId="523636D7">
            <w:pPr>
              <w:jc w:val="center"/>
              <w:rPr>
                <w:rFonts w:ascii="Arial"/>
                <w:color w:val="auto"/>
                <w:sz w:val="21"/>
              </w:rPr>
            </w:pPr>
          </w:p>
        </w:tc>
      </w:tr>
      <w:tr w14:paraId="51576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3041" w:type="dxa"/>
            <w:gridSpan w:val="2"/>
            <w:tcBorders>
              <w:left w:val="single" w:color="000000" w:sz="4" w:space="0"/>
              <w:right w:val="single" w:color="000000" w:sz="4" w:space="0"/>
            </w:tcBorders>
            <w:vAlign w:val="top"/>
          </w:tcPr>
          <w:p w14:paraId="7F50AF30">
            <w:pPr>
              <w:spacing w:before="114" w:line="192"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9"/>
                <w:sz w:val="21"/>
                <w:szCs w:val="21"/>
              </w:rPr>
              <w:t>选择评价方</w:t>
            </w:r>
            <w:r>
              <w:rPr>
                <w:rFonts w:ascii="微软雅黑" w:hAnsi="微软雅黑" w:eastAsia="微软雅黑" w:cs="微软雅黑"/>
                <w:color w:val="auto"/>
                <w:spacing w:val="8"/>
                <w:sz w:val="21"/>
                <w:szCs w:val="21"/>
              </w:rPr>
              <w:t>法</w:t>
            </w:r>
          </w:p>
        </w:tc>
      </w:tr>
      <w:tr w14:paraId="6AD20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441" w:type="dxa"/>
            <w:tcBorders>
              <w:left w:val="nil"/>
              <w:right w:val="single" w:color="000000" w:sz="4" w:space="0"/>
            </w:tcBorders>
            <w:vAlign w:val="top"/>
          </w:tcPr>
          <w:p w14:paraId="0142B17C">
            <w:pPr>
              <w:jc w:val="center"/>
              <w:rPr>
                <w:rFonts w:ascii="Arial"/>
                <w:color w:val="auto"/>
                <w:sz w:val="21"/>
              </w:rPr>
            </w:pPr>
            <w:r>
              <w:rPr>
                <w:color w:val="auto"/>
              </w:rPr>
              <w:drawing>
                <wp:anchor distT="0" distB="0" distL="0" distR="0" simplePos="0" relativeHeight="251661312" behindDoc="0" locked="0" layoutInCell="1" allowOverlap="1">
                  <wp:simplePos x="0" y="0"/>
                  <wp:positionH relativeFrom="rightMargin">
                    <wp:posOffset>-49530</wp:posOffset>
                  </wp:positionH>
                  <wp:positionV relativeFrom="topMargin">
                    <wp:posOffset>156845</wp:posOffset>
                  </wp:positionV>
                  <wp:extent cx="106680" cy="108585"/>
                  <wp:effectExtent l="0" t="0" r="7620" b="5715"/>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4"/>
                          <a:stretch>
                            <a:fillRect/>
                          </a:stretch>
                        </pic:blipFill>
                        <pic:spPr>
                          <a:xfrm>
                            <a:off x="0" y="0"/>
                            <a:ext cx="106562" cy="108693"/>
                          </a:xfrm>
                          <a:prstGeom prst="rect">
                            <a:avLst/>
                          </a:prstGeom>
                        </pic:spPr>
                      </pic:pic>
                    </a:graphicData>
                  </a:graphic>
                </wp:anchor>
              </w:drawing>
            </w:r>
          </w:p>
        </w:tc>
        <w:tc>
          <w:tcPr>
            <w:tcW w:w="1600" w:type="dxa"/>
            <w:tcBorders>
              <w:left w:val="single" w:color="000000" w:sz="4" w:space="0"/>
              <w:right w:val="nil"/>
            </w:tcBorders>
            <w:vAlign w:val="top"/>
          </w:tcPr>
          <w:p w14:paraId="68F7971C">
            <w:pPr>
              <w:jc w:val="center"/>
              <w:rPr>
                <w:rFonts w:ascii="Arial"/>
                <w:color w:val="auto"/>
                <w:sz w:val="21"/>
              </w:rPr>
            </w:pPr>
          </w:p>
        </w:tc>
      </w:tr>
      <w:tr w14:paraId="37E39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3041" w:type="dxa"/>
            <w:gridSpan w:val="2"/>
            <w:tcBorders>
              <w:left w:val="single" w:color="000000" w:sz="4" w:space="0"/>
              <w:right w:val="single" w:color="000000" w:sz="4" w:space="0"/>
            </w:tcBorders>
            <w:vAlign w:val="top"/>
          </w:tcPr>
          <w:p w14:paraId="36EC9CF8">
            <w:pPr>
              <w:spacing w:before="116" w:line="192"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9"/>
                <w:sz w:val="21"/>
                <w:szCs w:val="21"/>
              </w:rPr>
              <w:t>定性、定量评价</w:t>
            </w:r>
          </w:p>
        </w:tc>
      </w:tr>
      <w:tr w14:paraId="348DB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441" w:type="dxa"/>
            <w:tcBorders>
              <w:left w:val="nil"/>
              <w:right w:val="single" w:color="000000" w:sz="4" w:space="0"/>
            </w:tcBorders>
            <w:vAlign w:val="top"/>
          </w:tcPr>
          <w:p w14:paraId="2DD7A497">
            <w:pPr>
              <w:jc w:val="center"/>
              <w:rPr>
                <w:rFonts w:ascii="Arial"/>
                <w:color w:val="auto"/>
                <w:sz w:val="21"/>
              </w:rPr>
            </w:pPr>
            <w:r>
              <w:rPr>
                <w:color w:val="auto"/>
              </w:rPr>
              <w:drawing>
                <wp:anchor distT="0" distB="0" distL="0" distR="0" simplePos="0" relativeHeight="251667456" behindDoc="0" locked="0" layoutInCell="1" allowOverlap="1">
                  <wp:simplePos x="0" y="0"/>
                  <wp:positionH relativeFrom="rightMargin">
                    <wp:posOffset>-49530</wp:posOffset>
                  </wp:positionH>
                  <wp:positionV relativeFrom="topMargin">
                    <wp:posOffset>156845</wp:posOffset>
                  </wp:positionV>
                  <wp:extent cx="106680" cy="108585"/>
                  <wp:effectExtent l="0" t="0" r="7620" b="571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5"/>
                          <a:stretch>
                            <a:fillRect/>
                          </a:stretch>
                        </pic:blipFill>
                        <pic:spPr>
                          <a:xfrm>
                            <a:off x="0" y="0"/>
                            <a:ext cx="106562" cy="108693"/>
                          </a:xfrm>
                          <a:prstGeom prst="rect">
                            <a:avLst/>
                          </a:prstGeom>
                        </pic:spPr>
                      </pic:pic>
                    </a:graphicData>
                  </a:graphic>
                </wp:anchor>
              </w:drawing>
            </w:r>
          </w:p>
        </w:tc>
        <w:tc>
          <w:tcPr>
            <w:tcW w:w="1600" w:type="dxa"/>
            <w:tcBorders>
              <w:left w:val="single" w:color="000000" w:sz="4" w:space="0"/>
              <w:right w:val="nil"/>
            </w:tcBorders>
            <w:vAlign w:val="top"/>
          </w:tcPr>
          <w:p w14:paraId="22F93848">
            <w:pPr>
              <w:jc w:val="center"/>
              <w:rPr>
                <w:rFonts w:ascii="Arial"/>
                <w:color w:val="auto"/>
                <w:sz w:val="21"/>
              </w:rPr>
            </w:pPr>
          </w:p>
        </w:tc>
      </w:tr>
      <w:tr w14:paraId="1C252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3041" w:type="dxa"/>
            <w:gridSpan w:val="2"/>
            <w:tcBorders>
              <w:left w:val="single" w:color="000000" w:sz="4" w:space="0"/>
              <w:right w:val="single" w:color="000000" w:sz="4" w:space="0"/>
            </w:tcBorders>
            <w:vAlign w:val="top"/>
          </w:tcPr>
          <w:p w14:paraId="3EDBCA5E">
            <w:pPr>
              <w:spacing w:before="118" w:line="192"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15"/>
                <w:sz w:val="21"/>
                <w:szCs w:val="21"/>
              </w:rPr>
              <w:t>提</w:t>
            </w:r>
            <w:r>
              <w:rPr>
                <w:rFonts w:ascii="微软雅黑" w:hAnsi="微软雅黑" w:eastAsia="微软雅黑" w:cs="微软雅黑"/>
                <w:color w:val="auto"/>
                <w:spacing w:val="8"/>
                <w:sz w:val="21"/>
                <w:szCs w:val="21"/>
              </w:rPr>
              <w:t>出安全对策措施建议</w:t>
            </w:r>
          </w:p>
        </w:tc>
      </w:tr>
      <w:tr w14:paraId="593CF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441" w:type="dxa"/>
            <w:tcBorders>
              <w:left w:val="nil"/>
              <w:right w:val="single" w:color="000000" w:sz="4" w:space="0"/>
            </w:tcBorders>
            <w:vAlign w:val="top"/>
          </w:tcPr>
          <w:p w14:paraId="4ADFECBE">
            <w:pPr>
              <w:jc w:val="center"/>
              <w:rPr>
                <w:rFonts w:ascii="Arial"/>
                <w:color w:val="auto"/>
                <w:sz w:val="21"/>
              </w:rPr>
            </w:pPr>
            <w:r>
              <w:rPr>
                <w:color w:val="auto"/>
              </w:rPr>
              <w:drawing>
                <wp:anchor distT="0" distB="0" distL="0" distR="0" simplePos="0" relativeHeight="251665408" behindDoc="0" locked="0" layoutInCell="1" allowOverlap="1">
                  <wp:simplePos x="0" y="0"/>
                  <wp:positionH relativeFrom="rightMargin">
                    <wp:posOffset>-49530</wp:posOffset>
                  </wp:positionH>
                  <wp:positionV relativeFrom="topMargin">
                    <wp:posOffset>156845</wp:posOffset>
                  </wp:positionV>
                  <wp:extent cx="106680" cy="108585"/>
                  <wp:effectExtent l="0" t="0" r="7620" b="5715"/>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16"/>
                          <a:stretch>
                            <a:fillRect/>
                          </a:stretch>
                        </pic:blipFill>
                        <pic:spPr>
                          <a:xfrm>
                            <a:off x="0" y="0"/>
                            <a:ext cx="106562" cy="108693"/>
                          </a:xfrm>
                          <a:prstGeom prst="rect">
                            <a:avLst/>
                          </a:prstGeom>
                        </pic:spPr>
                      </pic:pic>
                    </a:graphicData>
                  </a:graphic>
                </wp:anchor>
              </w:drawing>
            </w:r>
          </w:p>
        </w:tc>
        <w:tc>
          <w:tcPr>
            <w:tcW w:w="1600" w:type="dxa"/>
            <w:tcBorders>
              <w:left w:val="single" w:color="000000" w:sz="4" w:space="0"/>
              <w:right w:val="nil"/>
            </w:tcBorders>
            <w:vAlign w:val="top"/>
          </w:tcPr>
          <w:p w14:paraId="3B2D6DF1">
            <w:pPr>
              <w:jc w:val="center"/>
              <w:rPr>
                <w:rFonts w:ascii="Arial"/>
                <w:color w:val="auto"/>
                <w:sz w:val="21"/>
              </w:rPr>
            </w:pPr>
          </w:p>
        </w:tc>
      </w:tr>
      <w:tr w14:paraId="00718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3041" w:type="dxa"/>
            <w:gridSpan w:val="2"/>
            <w:tcBorders>
              <w:left w:val="single" w:color="000000" w:sz="4" w:space="0"/>
              <w:right w:val="single" w:color="000000" w:sz="4" w:space="0"/>
            </w:tcBorders>
            <w:vAlign w:val="top"/>
          </w:tcPr>
          <w:p w14:paraId="66800A94">
            <w:pPr>
              <w:spacing w:before="109" w:line="192"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10"/>
                <w:sz w:val="21"/>
                <w:szCs w:val="21"/>
              </w:rPr>
              <w:t>作出评价结论</w:t>
            </w:r>
          </w:p>
        </w:tc>
      </w:tr>
      <w:tr w14:paraId="1C811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441" w:type="dxa"/>
            <w:tcBorders>
              <w:left w:val="nil"/>
              <w:bottom w:val="single" w:color="000000" w:sz="4" w:space="0"/>
              <w:right w:val="single" w:color="000000" w:sz="4" w:space="0"/>
            </w:tcBorders>
            <w:vAlign w:val="top"/>
          </w:tcPr>
          <w:p w14:paraId="4BAC6C1A">
            <w:pPr>
              <w:jc w:val="center"/>
              <w:rPr>
                <w:rFonts w:ascii="Arial"/>
                <w:color w:val="auto"/>
                <w:sz w:val="21"/>
              </w:rPr>
            </w:pPr>
            <w:r>
              <w:rPr>
                <w:color w:val="auto"/>
              </w:rPr>
              <w:drawing>
                <wp:anchor distT="0" distB="0" distL="0" distR="0" simplePos="0" relativeHeight="251666432" behindDoc="0" locked="0" layoutInCell="1" allowOverlap="1">
                  <wp:simplePos x="0" y="0"/>
                  <wp:positionH relativeFrom="rightMargin">
                    <wp:posOffset>-49530</wp:posOffset>
                  </wp:positionH>
                  <wp:positionV relativeFrom="topMargin">
                    <wp:posOffset>157480</wp:posOffset>
                  </wp:positionV>
                  <wp:extent cx="106680" cy="108585"/>
                  <wp:effectExtent l="0" t="0" r="7620" b="5715"/>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7"/>
                          <a:stretch>
                            <a:fillRect/>
                          </a:stretch>
                        </pic:blipFill>
                        <pic:spPr>
                          <a:xfrm>
                            <a:off x="0" y="0"/>
                            <a:ext cx="106562" cy="108693"/>
                          </a:xfrm>
                          <a:prstGeom prst="rect">
                            <a:avLst/>
                          </a:prstGeom>
                        </pic:spPr>
                      </pic:pic>
                    </a:graphicData>
                  </a:graphic>
                </wp:anchor>
              </w:drawing>
            </w:r>
          </w:p>
        </w:tc>
        <w:tc>
          <w:tcPr>
            <w:tcW w:w="1600" w:type="dxa"/>
            <w:tcBorders>
              <w:left w:val="single" w:color="000000" w:sz="4" w:space="0"/>
              <w:bottom w:val="single" w:color="000000" w:sz="4" w:space="0"/>
              <w:right w:val="nil"/>
            </w:tcBorders>
            <w:vAlign w:val="top"/>
          </w:tcPr>
          <w:p w14:paraId="1C3B9484">
            <w:pPr>
              <w:jc w:val="center"/>
              <w:rPr>
                <w:rFonts w:ascii="Arial"/>
                <w:color w:val="auto"/>
                <w:sz w:val="21"/>
              </w:rPr>
            </w:pPr>
          </w:p>
        </w:tc>
      </w:tr>
      <w:tr w14:paraId="1A6326F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3041" w:type="dxa"/>
            <w:gridSpan w:val="2"/>
            <w:tcBorders>
              <w:top w:val="single" w:color="000000" w:sz="4" w:space="0"/>
            </w:tcBorders>
            <w:vAlign w:val="top"/>
          </w:tcPr>
          <w:p w14:paraId="007AB913">
            <w:pPr>
              <w:spacing w:before="109" w:line="192" w:lineRule="auto"/>
              <w:ind w:left="0" w:firstLine="0" w:firstLineChars="0"/>
              <w:jc w:val="center"/>
              <w:rPr>
                <w:rFonts w:ascii="微软雅黑" w:hAnsi="微软雅黑" w:eastAsia="微软雅黑" w:cs="微软雅黑"/>
                <w:color w:val="auto"/>
                <w:sz w:val="21"/>
                <w:szCs w:val="21"/>
              </w:rPr>
            </w:pPr>
            <w:r>
              <w:rPr>
                <w:rFonts w:ascii="微软雅黑" w:hAnsi="微软雅黑" w:eastAsia="微软雅黑" w:cs="微软雅黑"/>
                <w:color w:val="auto"/>
                <w:spacing w:val="10"/>
                <w:sz w:val="21"/>
                <w:szCs w:val="21"/>
              </w:rPr>
              <w:t>编</w:t>
            </w:r>
            <w:r>
              <w:rPr>
                <w:rFonts w:ascii="微软雅黑" w:hAnsi="微软雅黑" w:eastAsia="微软雅黑" w:cs="微软雅黑"/>
                <w:color w:val="auto"/>
                <w:spacing w:val="8"/>
                <w:sz w:val="21"/>
                <w:szCs w:val="21"/>
              </w:rPr>
              <w:t>制安全评价报告</w:t>
            </w:r>
          </w:p>
        </w:tc>
      </w:tr>
    </w:tbl>
    <w:p w14:paraId="3223D6A0">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宋体" w:hAnsi="宋体" w:eastAsia="宋体" w:cs="宋体"/>
          <w:color w:val="auto"/>
          <w:szCs w:val="28"/>
          <w:lang w:val="en-US" w:eastAsia="zh-CN"/>
        </w:rPr>
      </w:pPr>
      <w:r>
        <w:rPr>
          <w:rFonts w:hint="eastAsia" w:ascii="宋体" w:hAnsi="宋体" w:eastAsia="宋体" w:cs="宋体"/>
          <w:color w:val="auto"/>
          <w:szCs w:val="28"/>
          <w:lang w:val="en-US" w:eastAsia="zh-CN"/>
        </w:rPr>
        <w:t>图 1-1 安全评价程序图</w:t>
      </w:r>
    </w:p>
    <w:p w14:paraId="060F2688">
      <w:pPr>
        <w:spacing w:line="240" w:lineRule="auto"/>
        <w:jc w:val="left"/>
        <w:outlineLvl w:val="9"/>
        <w:rPr>
          <w:rFonts w:hint="eastAsia" w:ascii="宋体" w:hAnsi="宋体" w:eastAsia="宋体" w:cs="宋体"/>
          <w:b/>
          <w:snapToGrid w:val="0"/>
          <w:color w:val="auto"/>
          <w:kern w:val="44"/>
          <w:szCs w:val="28"/>
        </w:rPr>
      </w:pPr>
      <w:bookmarkStart w:id="160" w:name="_Toc31652"/>
      <w:bookmarkStart w:id="161" w:name="_Toc10901"/>
      <w:bookmarkStart w:id="162" w:name="_Toc6624"/>
      <w:bookmarkStart w:id="163" w:name="_Toc2453"/>
      <w:bookmarkStart w:id="164" w:name="_Toc24831"/>
      <w:bookmarkStart w:id="165" w:name="_Toc26018"/>
      <w:bookmarkStart w:id="166" w:name="_Toc569"/>
      <w:bookmarkStart w:id="167" w:name="_Toc9295"/>
      <w:bookmarkStart w:id="168" w:name="_Toc13610"/>
      <w:r>
        <w:rPr>
          <w:rFonts w:hint="eastAsia" w:ascii="宋体" w:hAnsi="宋体" w:eastAsia="宋体" w:cs="宋体"/>
          <w:b/>
          <w:snapToGrid w:val="0"/>
          <w:color w:val="auto"/>
          <w:kern w:val="44"/>
          <w:szCs w:val="28"/>
        </w:rPr>
        <w:br w:type="page"/>
      </w:r>
    </w:p>
    <w:p w14:paraId="0145FE27">
      <w:pPr>
        <w:pStyle w:val="2"/>
        <w:pageBreakBefore w:val="0"/>
        <w:wordWrap/>
        <w:overflowPunct/>
        <w:topLinePunct w:val="0"/>
        <w:bidi w:val="0"/>
        <w:spacing w:beforeLines="0" w:afterLines="0" w:line="600" w:lineRule="exact"/>
        <w:rPr>
          <w:rFonts w:hint="eastAsia"/>
          <w:color w:val="auto"/>
        </w:rPr>
      </w:pPr>
      <w:bookmarkStart w:id="169" w:name="_Toc30434"/>
      <w:r>
        <w:rPr>
          <w:rFonts w:hint="eastAsia"/>
          <w:color w:val="auto"/>
        </w:rPr>
        <w:t xml:space="preserve">2 </w:t>
      </w:r>
      <w:r>
        <w:rPr>
          <w:rFonts w:hint="eastAsia"/>
          <w:color w:val="auto"/>
          <w:lang w:val="en-US" w:eastAsia="zh-CN"/>
        </w:rPr>
        <w:t>评价</w:t>
      </w:r>
      <w:r>
        <w:rPr>
          <w:rFonts w:hint="eastAsia"/>
          <w:color w:val="auto"/>
        </w:rPr>
        <w:t>项目概况</w:t>
      </w:r>
      <w:bookmarkEnd w:id="160"/>
      <w:bookmarkEnd w:id="161"/>
      <w:bookmarkEnd w:id="162"/>
      <w:bookmarkEnd w:id="163"/>
      <w:bookmarkEnd w:id="164"/>
      <w:bookmarkEnd w:id="165"/>
      <w:bookmarkEnd w:id="166"/>
      <w:bookmarkEnd w:id="167"/>
      <w:bookmarkEnd w:id="168"/>
      <w:bookmarkEnd w:id="169"/>
    </w:p>
    <w:p w14:paraId="163BFCBC">
      <w:pPr>
        <w:pStyle w:val="3"/>
        <w:keepNext w:val="0"/>
        <w:keepLines w:val="0"/>
        <w:pageBreakBefore w:val="0"/>
        <w:widowControl/>
        <w:kinsoku/>
        <w:wordWrap/>
        <w:overflowPunct/>
        <w:topLinePunct w:val="0"/>
        <w:autoSpaceDE/>
        <w:autoSpaceDN/>
        <w:bidi w:val="0"/>
        <w:adjustRightInd/>
        <w:snapToGrid w:val="0"/>
        <w:spacing w:before="0" w:beforeLines="0" w:after="0" w:afterLines="0" w:line="600" w:lineRule="exact"/>
        <w:textAlignment w:val="auto"/>
        <w:rPr>
          <w:rFonts w:hint="eastAsia"/>
          <w:color w:val="auto"/>
          <w:lang w:val="en-US" w:eastAsia="zh-CN"/>
        </w:rPr>
      </w:pPr>
      <w:bookmarkStart w:id="170" w:name="_Toc9861"/>
      <w:bookmarkStart w:id="171" w:name="_Toc14659"/>
      <w:bookmarkStart w:id="172" w:name="_Toc30476"/>
      <w:bookmarkStart w:id="173" w:name="_Toc1986"/>
      <w:bookmarkStart w:id="174" w:name="_Toc16371"/>
      <w:bookmarkStart w:id="175" w:name="_Toc16720"/>
      <w:bookmarkStart w:id="176" w:name="_Toc351"/>
      <w:bookmarkStart w:id="177" w:name="_Toc18949"/>
      <w:bookmarkStart w:id="178" w:name="_Toc28366"/>
      <w:bookmarkStart w:id="179" w:name="_Toc24472"/>
      <w:bookmarkStart w:id="180" w:name="_Toc4977"/>
      <w:r>
        <w:rPr>
          <w:rFonts w:hint="eastAsia"/>
          <w:color w:val="auto"/>
          <w:lang w:val="en-US" w:eastAsia="zh-CN"/>
        </w:rPr>
        <w:t>2.1 企业概况</w:t>
      </w:r>
      <w:bookmarkEnd w:id="170"/>
      <w:bookmarkEnd w:id="171"/>
      <w:bookmarkEnd w:id="172"/>
      <w:bookmarkEnd w:id="173"/>
      <w:bookmarkEnd w:id="174"/>
      <w:bookmarkEnd w:id="175"/>
      <w:bookmarkEnd w:id="176"/>
      <w:bookmarkEnd w:id="177"/>
      <w:bookmarkEnd w:id="178"/>
      <w:bookmarkEnd w:id="179"/>
      <w:bookmarkEnd w:id="180"/>
    </w:p>
    <w:p w14:paraId="1E6780FC">
      <w:pPr>
        <w:pStyle w:val="4"/>
        <w:keepNext w:val="0"/>
        <w:keepLines w:val="0"/>
        <w:pageBreakBefore w:val="0"/>
        <w:widowControl/>
        <w:kinsoku/>
        <w:wordWrap/>
        <w:overflowPunct/>
        <w:topLinePunct w:val="0"/>
        <w:autoSpaceDE/>
        <w:autoSpaceDN/>
        <w:bidi w:val="0"/>
        <w:adjustRightInd/>
        <w:snapToGrid w:val="0"/>
        <w:spacing w:beforeLines="0" w:afterLines="0" w:line="600" w:lineRule="exact"/>
        <w:ind w:firstLine="0" w:firstLineChars="0"/>
        <w:textAlignment w:val="auto"/>
        <w:rPr>
          <w:rFonts w:hint="eastAsia" w:ascii="宋体" w:hAnsi="宋体" w:eastAsia="宋体" w:cs="宋体"/>
          <w:color w:val="auto"/>
          <w:szCs w:val="28"/>
          <w:lang w:val="en-US" w:eastAsia="zh-CN"/>
        </w:rPr>
      </w:pPr>
      <w:bookmarkStart w:id="181" w:name="_Toc18215"/>
      <w:bookmarkStart w:id="182" w:name="_Toc20755"/>
      <w:bookmarkStart w:id="183" w:name="_Toc3595"/>
      <w:bookmarkStart w:id="184" w:name="_Toc8492"/>
      <w:bookmarkStart w:id="185" w:name="_Toc2628"/>
      <w:bookmarkStart w:id="186" w:name="_Toc5137"/>
      <w:bookmarkStart w:id="187" w:name="_Toc10898"/>
      <w:r>
        <w:rPr>
          <w:rFonts w:hint="eastAsia"/>
          <w:color w:val="auto"/>
          <w:lang w:val="en-US" w:eastAsia="zh-CN"/>
        </w:rPr>
        <w:t>2.1.1 历史沿革及经济类型</w:t>
      </w:r>
      <w:bookmarkEnd w:id="181"/>
      <w:bookmarkEnd w:id="182"/>
      <w:bookmarkEnd w:id="183"/>
      <w:bookmarkEnd w:id="184"/>
      <w:bookmarkEnd w:id="185"/>
      <w:bookmarkEnd w:id="186"/>
      <w:bookmarkEnd w:id="187"/>
    </w:p>
    <w:p w14:paraId="5C0D11EE">
      <w:pPr>
        <w:pageBreakBefore w:val="0"/>
        <w:wordWrap/>
        <w:overflowPunct/>
        <w:topLinePunct w:val="0"/>
        <w:bidi w:val="0"/>
        <w:spacing w:line="600" w:lineRule="exact"/>
        <w:rPr>
          <w:rFonts w:hint="default"/>
          <w:color w:val="auto"/>
          <w:lang w:val="en-US" w:eastAsia="zh-CN"/>
        </w:rPr>
      </w:pPr>
      <w:r>
        <w:rPr>
          <w:rFonts w:hint="default"/>
          <w:color w:val="auto"/>
          <w:lang w:val="en-US" w:eastAsia="zh-CN"/>
        </w:rPr>
        <w:t>江西临川鲁金矿业有限公司为有限责任公司( 自然人投资或控股)，成立于1999年10月27日，法人代表赵贤典，统一社会信用代码：913610007057891870，经营范围为为黄金销售：五金交电、机</w:t>
      </w:r>
      <w:r>
        <w:rPr>
          <w:rFonts w:hint="default"/>
          <w:color w:val="auto"/>
        </w:rPr>
        <w:t>电化工、有色金属、建筑材料销售</w:t>
      </w:r>
      <w:r>
        <w:rPr>
          <w:rFonts w:hint="default"/>
          <w:color w:val="auto"/>
          <w:lang w:eastAsia="zh-CN"/>
        </w:rPr>
        <w:t>（</w:t>
      </w:r>
      <w:r>
        <w:rPr>
          <w:rFonts w:hint="default"/>
          <w:color w:val="auto"/>
          <w:lang w:val="en-US" w:eastAsia="zh-CN"/>
        </w:rPr>
        <w:t>油漆及化学品除外），</w:t>
      </w:r>
      <w:r>
        <w:rPr>
          <w:rFonts w:hint="default"/>
          <w:color w:val="auto"/>
        </w:rPr>
        <w:t>黄金开采</w:t>
      </w:r>
      <w:r>
        <w:rPr>
          <w:rFonts w:hint="default"/>
          <w:color w:val="auto"/>
          <w:lang w:eastAsia="zh-CN"/>
        </w:rPr>
        <w:t>（</w:t>
      </w:r>
      <w:r>
        <w:rPr>
          <w:rFonts w:hint="default"/>
          <w:color w:val="auto"/>
          <w:lang w:val="en-US" w:eastAsia="zh-CN"/>
        </w:rPr>
        <w:t>凭相关许可证经营）</w:t>
      </w:r>
      <w:r>
        <w:rPr>
          <w:rFonts w:hint="default"/>
          <w:color w:val="auto"/>
        </w:rPr>
        <w:t>。</w:t>
      </w:r>
    </w:p>
    <w:p w14:paraId="36A08BAE">
      <w:pPr>
        <w:pageBreakBefore w:val="0"/>
        <w:wordWrap/>
        <w:overflowPunct/>
        <w:topLinePunct w:val="0"/>
        <w:bidi w:val="0"/>
        <w:spacing w:line="600" w:lineRule="exact"/>
        <w:rPr>
          <w:rFonts w:hint="default"/>
          <w:color w:val="auto"/>
          <w:lang w:val="en-US" w:eastAsia="zh-CN"/>
        </w:rPr>
      </w:pPr>
      <w:r>
        <w:rPr>
          <w:rFonts w:hint="default"/>
          <w:color w:val="auto"/>
          <w:lang w:val="en-US" w:eastAsia="zh-CN"/>
        </w:rPr>
        <w:t>江西临川鲁金矿业有限公司茅排金矿（以下简称茅排金矿）是江西临川鲁金矿业有限公司下属矿山，开采矿种为金矿。矿区面积1.386km</w:t>
      </w:r>
      <w:r>
        <w:rPr>
          <w:rFonts w:hint="default"/>
          <w:color w:val="auto"/>
          <w:vertAlign w:val="superscript"/>
          <w:lang w:val="en-US" w:eastAsia="zh-CN"/>
        </w:rPr>
        <w:t>2</w:t>
      </w:r>
      <w:r>
        <w:rPr>
          <w:rFonts w:hint="default"/>
          <w:color w:val="auto"/>
          <w:lang w:val="en-US" w:eastAsia="zh-CN"/>
        </w:rPr>
        <w:t>，开采规模3万吨/a。矿山有简易公路通达矿区，外部为公路—汽车运输。在主平硐口下方设置有选矿厂及办公场地。</w:t>
      </w:r>
    </w:p>
    <w:p w14:paraId="00983F52">
      <w:pPr>
        <w:pageBreakBefore w:val="0"/>
        <w:wordWrap/>
        <w:overflowPunct/>
        <w:topLinePunct w:val="0"/>
        <w:bidi w:val="0"/>
        <w:spacing w:line="600" w:lineRule="exact"/>
        <w:rPr>
          <w:rFonts w:hint="eastAsia"/>
          <w:color w:val="auto"/>
        </w:rPr>
      </w:pPr>
      <w:r>
        <w:rPr>
          <w:rFonts w:hint="eastAsia"/>
          <w:color w:val="auto"/>
        </w:rPr>
        <w:t>1</w:t>
      </w:r>
      <w:r>
        <w:rPr>
          <w:rFonts w:hint="eastAsia"/>
          <w:color w:val="auto"/>
          <w:lang w:val="en-US" w:eastAsia="zh-CN"/>
        </w:rPr>
        <w:t>999年4月，江西临川鲁金矿业有限公司委托山东省烟台黄金设计研究院编制了《江西临川鲁金矿业有限公司新建采选100t/d工程初步设计书》，共设计 +370m、+320m、+270m、+220m、+170m、+120m 六个生产中段，并于2000年2月开工建设。</w:t>
      </w:r>
    </w:p>
    <w:p w14:paraId="5C685B6F">
      <w:pPr>
        <w:keepNext w:val="0"/>
        <w:keepLines w:val="0"/>
        <w:pageBreakBefore w:val="0"/>
        <w:widowControl w:val="0"/>
        <w:kinsoku/>
        <w:wordWrap/>
        <w:overflowPunct/>
        <w:topLinePunct w:val="0"/>
        <w:bidi w:val="0"/>
        <w:adjustRightInd/>
        <w:snapToGrid/>
        <w:spacing w:line="600" w:lineRule="exact"/>
        <w:ind w:firstLine="560" w:firstLineChars="200"/>
        <w:textAlignment w:val="auto"/>
        <w:rPr>
          <w:rFonts w:hint="eastAsia"/>
          <w:color w:val="auto"/>
        </w:rPr>
      </w:pPr>
      <w:r>
        <w:rPr>
          <w:rFonts w:hint="eastAsia"/>
          <w:color w:val="auto"/>
          <w:lang w:val="en-US" w:eastAsia="zh-CN"/>
        </w:rPr>
        <w:t>根据原</w:t>
      </w:r>
      <w:r>
        <w:rPr>
          <w:rFonts w:hint="eastAsia"/>
          <w:color w:val="auto"/>
        </w:rPr>
        <w:t>江西省安全生产监督管理局</w:t>
      </w:r>
      <w:r>
        <w:rPr>
          <w:rFonts w:hint="eastAsia"/>
          <w:color w:val="auto"/>
          <w:lang w:val="en-US" w:eastAsia="zh-CN"/>
        </w:rPr>
        <w:t>要求，</w:t>
      </w:r>
      <w:r>
        <w:rPr>
          <w:rFonts w:hint="eastAsia"/>
          <w:color w:val="auto"/>
        </w:rPr>
        <w:t>江西临川鲁金矿业有限公司委托山东省烟台黄金设计研究院</w:t>
      </w:r>
      <w:r>
        <w:rPr>
          <w:rFonts w:hint="eastAsia"/>
          <w:color w:val="auto"/>
          <w:lang w:val="en-US" w:eastAsia="zh-CN"/>
        </w:rPr>
        <w:t>于</w:t>
      </w:r>
      <w:r>
        <w:rPr>
          <w:rFonts w:hint="eastAsia"/>
          <w:color w:val="auto"/>
        </w:rPr>
        <w:t>201</w:t>
      </w:r>
      <w:r>
        <w:rPr>
          <w:rFonts w:hint="eastAsia"/>
          <w:color w:val="auto"/>
          <w:lang w:val="en-US" w:eastAsia="zh-CN"/>
        </w:rPr>
        <w:t>2</w:t>
      </w:r>
      <w:r>
        <w:rPr>
          <w:rFonts w:hint="eastAsia"/>
          <w:color w:val="auto"/>
        </w:rPr>
        <w:t>年</w:t>
      </w:r>
      <w:r>
        <w:rPr>
          <w:rFonts w:hint="eastAsia"/>
          <w:color w:val="auto"/>
          <w:lang w:val="en-US" w:eastAsia="zh-CN"/>
        </w:rPr>
        <w:t>11</w:t>
      </w:r>
      <w:r>
        <w:rPr>
          <w:rFonts w:hint="eastAsia"/>
          <w:color w:val="auto"/>
        </w:rPr>
        <w:t>月补充编制</w:t>
      </w:r>
      <w:r>
        <w:rPr>
          <w:rFonts w:hint="eastAsia"/>
          <w:color w:val="auto"/>
          <w:lang w:val="en-US" w:eastAsia="zh-CN"/>
        </w:rPr>
        <w:t>了</w:t>
      </w:r>
      <w:r>
        <w:rPr>
          <w:rFonts w:hint="eastAsia" w:ascii="宋体" w:hAnsi="宋体" w:eastAsia="宋体" w:cs="宋体"/>
          <w:color w:val="auto"/>
          <w:sz w:val="28"/>
          <w:szCs w:val="28"/>
          <w:lang w:val="en-US" w:eastAsia="zh-CN"/>
        </w:rPr>
        <w:t>《江西临川鲁金矿业有限公司茅排金矿100t/d采矿工程初步设计安全专篇》</w:t>
      </w:r>
      <w:r>
        <w:rPr>
          <w:rFonts w:hint="eastAsia" w:eastAsia="宋体"/>
          <w:color w:val="auto"/>
          <w:lang w:eastAsia="zh-CN"/>
        </w:rPr>
        <w:t>，</w:t>
      </w:r>
      <w:r>
        <w:rPr>
          <w:rFonts w:hint="eastAsia"/>
          <w:color w:val="auto"/>
        </w:rPr>
        <w:t>201</w:t>
      </w:r>
      <w:r>
        <w:rPr>
          <w:rFonts w:hint="eastAsia"/>
          <w:color w:val="auto"/>
          <w:lang w:val="en-US" w:eastAsia="zh-CN"/>
        </w:rPr>
        <w:t>3</w:t>
      </w:r>
      <w:r>
        <w:rPr>
          <w:rFonts w:hint="eastAsia"/>
          <w:color w:val="auto"/>
        </w:rPr>
        <w:t>年</w:t>
      </w:r>
      <w:r>
        <w:rPr>
          <w:rFonts w:hint="eastAsia"/>
          <w:color w:val="auto"/>
          <w:lang w:val="en-US" w:eastAsia="zh-CN"/>
        </w:rPr>
        <w:t>8</w:t>
      </w:r>
      <w:r>
        <w:rPr>
          <w:rFonts w:hint="eastAsia"/>
          <w:color w:val="auto"/>
        </w:rPr>
        <w:t>月编制</w:t>
      </w:r>
      <w:r>
        <w:rPr>
          <w:rFonts w:hint="eastAsia"/>
          <w:color w:val="auto"/>
          <w:lang w:val="en-US" w:eastAsia="zh-CN"/>
        </w:rPr>
        <w:t>了</w:t>
      </w:r>
      <w:r>
        <w:rPr>
          <w:rFonts w:hint="eastAsia" w:ascii="宋体" w:hAnsi="宋体" w:eastAsia="宋体" w:cs="宋体"/>
          <w:color w:val="auto"/>
          <w:sz w:val="28"/>
          <w:szCs w:val="28"/>
          <w:lang w:val="en-US" w:eastAsia="zh-CN"/>
        </w:rPr>
        <w:t>《江西临川鲁金矿业有限公司茅排金矿100t/d采矿工程初步设计安全专篇（变更）》</w:t>
      </w:r>
      <w:r>
        <w:rPr>
          <w:rFonts w:hint="eastAsia"/>
          <w:color w:val="auto"/>
        </w:rPr>
        <w:t>，设计采用分期开采。</w:t>
      </w:r>
    </w:p>
    <w:p w14:paraId="55B5F45E">
      <w:pPr>
        <w:pageBreakBefore w:val="0"/>
        <w:wordWrap/>
        <w:overflowPunct/>
        <w:topLinePunct w:val="0"/>
        <w:bidi w:val="0"/>
        <w:spacing w:line="600" w:lineRule="exact"/>
        <w:rPr>
          <w:rFonts w:hint="eastAsia"/>
          <w:color w:val="auto"/>
          <w:lang w:val="en-US" w:eastAsia="zh-CN"/>
        </w:rPr>
      </w:pPr>
      <w:r>
        <w:rPr>
          <w:rFonts w:hint="eastAsia"/>
          <w:color w:val="auto"/>
        </w:rPr>
        <w:t>2013年12月江西临川鲁金矿业有限公司委托江西矿安安全生产科学技术咨询中心有限公司编制了《江西临川鲁金矿业有限公司茅排金矿地下开采恢复建设一期工程安全验收评价报告》</w:t>
      </w:r>
      <w:r>
        <w:rPr>
          <w:rFonts w:hint="eastAsia"/>
          <w:color w:val="auto"/>
          <w:lang w:val="en-US" w:eastAsia="zh-CN"/>
        </w:rPr>
        <w:t>并通过评审。同年12月原江西省安全生产监督管理局组织专家组对茅排金矿地下开采恢复建设一期工程建设项目安全设施进行了现场验收并原则通过。矿山开采方式为地下开采，开拓方式为平硐开拓；采矿方法为浅孔留矿法，无轨汽车运输，单翼对角机械抽出式通风，平硐自流排水。</w:t>
      </w:r>
    </w:p>
    <w:p w14:paraId="574E19C2">
      <w:pPr>
        <w:pageBreakBefore w:val="0"/>
        <w:wordWrap/>
        <w:overflowPunct/>
        <w:topLinePunct w:val="0"/>
        <w:bidi w:val="0"/>
        <w:spacing w:line="600" w:lineRule="exact"/>
        <w:rPr>
          <w:rFonts w:hint="eastAsia"/>
          <w:color w:val="auto"/>
        </w:rPr>
      </w:pPr>
      <w:r>
        <w:rPr>
          <w:rFonts w:hint="eastAsia"/>
          <w:color w:val="auto"/>
          <w:lang w:val="en-US" w:eastAsia="zh-CN"/>
        </w:rPr>
        <w:t>江西临川鲁金矿业有限公司</w:t>
      </w:r>
      <w:r>
        <w:rPr>
          <w:rFonts w:hint="eastAsia"/>
          <w:color w:val="auto"/>
        </w:rPr>
        <w:t>茅排金矿于20</w:t>
      </w:r>
      <w:r>
        <w:rPr>
          <w:rFonts w:hint="eastAsia"/>
          <w:color w:val="auto"/>
          <w:lang w:val="en-US" w:eastAsia="zh-CN"/>
        </w:rPr>
        <w:t>23</w:t>
      </w:r>
      <w:r>
        <w:rPr>
          <w:rFonts w:hint="eastAsia"/>
          <w:color w:val="auto"/>
        </w:rPr>
        <w:t>年</w:t>
      </w:r>
      <w:r>
        <w:rPr>
          <w:rFonts w:hint="eastAsia"/>
          <w:color w:val="auto"/>
          <w:lang w:val="en-US" w:eastAsia="zh-CN"/>
        </w:rPr>
        <w:t>5</w:t>
      </w:r>
      <w:r>
        <w:rPr>
          <w:rFonts w:hint="eastAsia"/>
          <w:color w:val="auto"/>
        </w:rPr>
        <w:t>月</w:t>
      </w:r>
      <w:r>
        <w:rPr>
          <w:rFonts w:hint="eastAsia"/>
          <w:color w:val="auto"/>
          <w:lang w:val="en-US" w:eastAsia="zh-CN"/>
        </w:rPr>
        <w:t>24</w:t>
      </w:r>
      <w:r>
        <w:rPr>
          <w:rFonts w:hint="eastAsia"/>
          <w:color w:val="auto"/>
        </w:rPr>
        <w:t>日</w:t>
      </w:r>
      <w:r>
        <w:rPr>
          <w:rFonts w:hint="eastAsia"/>
          <w:color w:val="auto"/>
          <w:lang w:val="en-US" w:eastAsia="zh-CN"/>
        </w:rPr>
        <w:t>通过延续</w:t>
      </w:r>
      <w:r>
        <w:rPr>
          <w:rFonts w:hint="eastAsia"/>
          <w:color w:val="auto"/>
        </w:rPr>
        <w:t>取得江西省</w:t>
      </w:r>
      <w:r>
        <w:rPr>
          <w:rFonts w:hint="eastAsia"/>
          <w:color w:val="auto"/>
          <w:lang w:val="en-US" w:eastAsia="zh-CN"/>
        </w:rPr>
        <w:t>应急管理厅</w:t>
      </w:r>
      <w:r>
        <w:rPr>
          <w:rFonts w:hint="eastAsia"/>
          <w:color w:val="auto"/>
        </w:rPr>
        <w:t>颁发的安全生产许可证</w:t>
      </w:r>
      <w:r>
        <w:rPr>
          <w:rFonts w:hint="eastAsia"/>
          <w:color w:val="auto"/>
          <w:lang w:eastAsia="zh-CN"/>
        </w:rPr>
        <w:t>，</w:t>
      </w:r>
      <w:r>
        <w:rPr>
          <w:rFonts w:hint="eastAsia"/>
          <w:color w:val="auto"/>
        </w:rPr>
        <w:t>证书编号(赣)FM安许证字[2014]M1643号</w:t>
      </w:r>
      <w:r>
        <w:rPr>
          <w:rFonts w:hint="eastAsia"/>
          <w:color w:val="auto"/>
          <w:lang w:eastAsia="zh-CN"/>
        </w:rPr>
        <w:t>，</w:t>
      </w:r>
      <w:r>
        <w:rPr>
          <w:rFonts w:hint="eastAsia"/>
          <w:color w:val="auto"/>
        </w:rPr>
        <w:t>有效期</w:t>
      </w:r>
      <w:r>
        <w:rPr>
          <w:rFonts w:hint="eastAsia"/>
          <w:color w:val="auto"/>
          <w:lang w:val="en-US" w:eastAsia="zh-CN"/>
        </w:rPr>
        <w:t>2023年5月7日</w:t>
      </w:r>
      <w:r>
        <w:rPr>
          <w:rFonts w:hint="eastAsia"/>
          <w:color w:val="auto"/>
        </w:rPr>
        <w:t>至202</w:t>
      </w:r>
      <w:r>
        <w:rPr>
          <w:rFonts w:hint="eastAsia"/>
          <w:color w:val="auto"/>
          <w:lang w:val="en-US" w:eastAsia="zh-CN"/>
        </w:rPr>
        <w:t>6</w:t>
      </w:r>
      <w:r>
        <w:rPr>
          <w:rFonts w:hint="eastAsia"/>
          <w:color w:val="auto"/>
        </w:rPr>
        <w:t>年</w:t>
      </w:r>
      <w:r>
        <w:rPr>
          <w:rFonts w:hint="eastAsia"/>
          <w:color w:val="auto"/>
          <w:lang w:val="en-US" w:eastAsia="zh-CN"/>
        </w:rPr>
        <w:t>5</w:t>
      </w:r>
      <w:r>
        <w:rPr>
          <w:rFonts w:hint="eastAsia"/>
          <w:color w:val="auto"/>
        </w:rPr>
        <w:t>月</w:t>
      </w:r>
      <w:r>
        <w:rPr>
          <w:rFonts w:hint="eastAsia"/>
          <w:color w:val="auto"/>
          <w:lang w:val="en-US" w:eastAsia="zh-CN"/>
        </w:rPr>
        <w:t>6</w:t>
      </w:r>
      <w:r>
        <w:rPr>
          <w:rFonts w:hint="eastAsia"/>
          <w:color w:val="auto"/>
        </w:rPr>
        <w:t>日。</w:t>
      </w:r>
    </w:p>
    <w:p w14:paraId="2C93F679">
      <w:pPr>
        <w:pageBreakBefore w:val="0"/>
        <w:wordWrap/>
        <w:overflowPunct/>
        <w:topLinePunct w:val="0"/>
        <w:bidi w:val="0"/>
        <w:spacing w:line="600" w:lineRule="exact"/>
        <w:rPr>
          <w:rFonts w:hint="eastAsia"/>
          <w:color w:val="auto"/>
          <w:lang w:val="zh-CN" w:eastAsia="zh-CN"/>
        </w:rPr>
      </w:pPr>
      <w:r>
        <w:rPr>
          <w:rFonts w:hint="eastAsia"/>
          <w:color w:val="auto"/>
        </w:rPr>
        <w:t>为揭露和验证矿区内矿体厚度及赋存情况，核实采矿许可证范围内各矿体的矿体走向、倾向延伸情况及储量变化情况，江西临川鲁金矿业有限</w:t>
      </w:r>
      <w:r>
        <w:rPr>
          <w:rFonts w:hint="eastAsia"/>
          <w:color w:val="auto"/>
          <w:lang w:val="en-US" w:eastAsia="zh-CN"/>
        </w:rPr>
        <w:t>于2023年11月</w:t>
      </w:r>
      <w:r>
        <w:rPr>
          <w:rFonts w:hint="eastAsia"/>
          <w:color w:val="auto"/>
        </w:rPr>
        <w:t>委托江西省中赣投勘察设计有限公司编制</w:t>
      </w:r>
      <w:r>
        <w:rPr>
          <w:rFonts w:hint="eastAsia"/>
          <w:color w:val="auto"/>
          <w:lang w:val="en-US" w:eastAsia="zh-CN"/>
        </w:rPr>
        <w:t>了</w:t>
      </w:r>
      <w:r>
        <w:rPr>
          <w:rFonts w:hint="eastAsia"/>
          <w:color w:val="auto"/>
        </w:rPr>
        <w:t>《江西临川鲁金矿业有限公司茅排金矿坑探工程安全专篇》</w:t>
      </w:r>
      <w:r>
        <w:rPr>
          <w:rFonts w:hint="eastAsia"/>
          <w:color w:val="auto"/>
          <w:lang w:eastAsia="zh-CN"/>
        </w:rPr>
        <w:t>（</w:t>
      </w:r>
      <w:r>
        <w:rPr>
          <w:rFonts w:hint="eastAsia"/>
          <w:color w:val="auto"/>
          <w:lang w:val="en-US" w:eastAsia="zh-CN"/>
        </w:rPr>
        <w:t>以下简称《</w:t>
      </w:r>
      <w:r>
        <w:rPr>
          <w:rFonts w:hint="eastAsia"/>
          <w:color w:val="auto"/>
        </w:rPr>
        <w:t>坑探工程安全专篇</w:t>
      </w:r>
      <w:r>
        <w:rPr>
          <w:rFonts w:hint="eastAsia"/>
          <w:color w:val="auto"/>
          <w:lang w:val="en-US" w:eastAsia="zh-CN"/>
        </w:rPr>
        <w:t>》</w:t>
      </w:r>
      <w:r>
        <w:rPr>
          <w:rFonts w:hint="eastAsia"/>
          <w:color w:val="auto"/>
          <w:lang w:eastAsia="zh-CN"/>
        </w:rPr>
        <w:t>）</w:t>
      </w:r>
      <w:r>
        <w:rPr>
          <w:rFonts w:hint="eastAsia"/>
          <w:color w:val="auto"/>
        </w:rPr>
        <w:t>。</w:t>
      </w:r>
      <w:r>
        <w:rPr>
          <w:rFonts w:hint="eastAsia"/>
          <w:color w:val="auto"/>
          <w:lang w:val="en-US" w:eastAsia="zh-CN"/>
        </w:rPr>
        <w:t>抚州市临川区应急管理局</w:t>
      </w:r>
      <w:r>
        <w:rPr>
          <w:rFonts w:hint="eastAsia"/>
          <w:color w:val="auto"/>
          <w:lang w:val="zh-CN" w:eastAsia="zh-CN"/>
        </w:rPr>
        <w:t>以</w:t>
      </w:r>
      <w:r>
        <w:rPr>
          <w:rFonts w:hint="eastAsia"/>
          <w:color w:val="auto"/>
          <w:lang w:val="en-US" w:eastAsia="zh-CN"/>
        </w:rPr>
        <w:t>临应急非煤项目审字〔2023〕001号</w:t>
      </w:r>
      <w:r>
        <w:rPr>
          <w:rFonts w:hint="eastAsia"/>
          <w:color w:val="auto"/>
          <w:lang w:val="zh-CN" w:eastAsia="zh-CN"/>
        </w:rPr>
        <w:t>通过了</w:t>
      </w:r>
      <w:r>
        <w:rPr>
          <w:rFonts w:hint="eastAsia"/>
          <w:color w:val="auto"/>
          <w:lang w:val="en-US" w:eastAsia="zh-CN"/>
        </w:rPr>
        <w:t>《坑探安全专篇》</w:t>
      </w:r>
      <w:r>
        <w:rPr>
          <w:rFonts w:hint="eastAsia"/>
          <w:color w:val="auto"/>
          <w:lang w:val="zh-CN" w:eastAsia="zh-CN"/>
        </w:rPr>
        <w:t>审查。</w:t>
      </w:r>
    </w:p>
    <w:p w14:paraId="53B78FFF">
      <w:pPr>
        <w:pStyle w:val="4"/>
        <w:keepNext w:val="0"/>
        <w:keepLines w:val="0"/>
        <w:pageBreakBefore w:val="0"/>
        <w:wordWrap/>
        <w:overflowPunct/>
        <w:topLinePunct w:val="0"/>
        <w:bidi w:val="0"/>
        <w:snapToGrid w:val="0"/>
        <w:spacing w:beforeLines="0" w:afterLines="0" w:line="600" w:lineRule="exact"/>
        <w:rPr>
          <w:rFonts w:hint="eastAsia"/>
          <w:color w:val="auto"/>
          <w:lang w:val="en-US" w:eastAsia="zh-CN"/>
        </w:rPr>
      </w:pPr>
      <w:bookmarkStart w:id="188" w:name="_Toc1063"/>
      <w:r>
        <w:rPr>
          <w:rFonts w:hint="eastAsia"/>
          <w:color w:val="auto"/>
          <w:lang w:val="en-US" w:eastAsia="zh-CN"/>
        </w:rPr>
        <w:t>2.1.2 机构设置及人员配备</w:t>
      </w:r>
      <w:bookmarkEnd w:id="188"/>
    </w:p>
    <w:p w14:paraId="14F5D096">
      <w:pPr>
        <w:pageBreakBefore w:val="0"/>
        <w:wordWrap/>
        <w:overflowPunct/>
        <w:topLinePunct w:val="0"/>
        <w:bidi w:val="0"/>
        <w:spacing w:line="600" w:lineRule="exact"/>
        <w:rPr>
          <w:rFonts w:hint="eastAsia"/>
          <w:color w:val="auto"/>
          <w:lang w:val="en-US" w:eastAsia="zh-CN"/>
        </w:rPr>
      </w:pPr>
      <w:r>
        <w:rPr>
          <w:rFonts w:hint="eastAsia"/>
          <w:color w:val="auto"/>
          <w:lang w:val="en-US" w:eastAsia="zh-CN"/>
        </w:rPr>
        <w:t>江西临川鲁金矿业有限公司下设2个生产单位(采场、选厂)、3个职能部门(办公室、生产技术科、安全科)，</w:t>
      </w:r>
      <w:r>
        <w:rPr>
          <w:rFonts w:hint="eastAsia"/>
          <w:color w:val="auto"/>
        </w:rPr>
        <w:t>茅排金矿</w:t>
      </w:r>
      <w:r>
        <w:rPr>
          <w:rFonts w:hint="eastAsia"/>
          <w:color w:val="auto"/>
          <w:lang w:val="en-US" w:eastAsia="zh-CN"/>
        </w:rPr>
        <w:t>现有员工18人。</w:t>
      </w:r>
    </w:p>
    <w:p w14:paraId="22DAD046">
      <w:pPr>
        <w:pageBreakBefore w:val="0"/>
        <w:wordWrap/>
        <w:overflowPunct/>
        <w:topLinePunct w:val="0"/>
        <w:bidi w:val="0"/>
        <w:spacing w:line="600" w:lineRule="exact"/>
        <w:rPr>
          <w:rFonts w:hint="eastAsia"/>
          <w:color w:val="auto"/>
          <w:lang w:val="en-US" w:eastAsia="zh-CN"/>
        </w:rPr>
      </w:pPr>
      <w:r>
        <w:rPr>
          <w:rFonts w:hint="eastAsia"/>
          <w:color w:val="auto"/>
          <w:lang w:val="en-US" w:eastAsia="zh-CN"/>
        </w:rPr>
        <w:t>爆破作业外包给</w:t>
      </w:r>
      <w:r>
        <w:rPr>
          <w:rFonts w:hint="eastAsia"/>
          <w:color w:val="auto"/>
          <w:lang w:eastAsia="zh-CN"/>
        </w:rPr>
        <w:t>新余国泰爆破工程有限责任公司</w:t>
      </w:r>
      <w:r>
        <w:rPr>
          <w:rFonts w:hint="eastAsia"/>
          <w:color w:val="auto"/>
          <w:lang w:val="en-US" w:eastAsia="zh-CN"/>
        </w:rPr>
        <w:t>。</w:t>
      </w:r>
    </w:p>
    <w:p w14:paraId="6EFB3A97">
      <w:pPr>
        <w:pStyle w:val="4"/>
        <w:keepNext w:val="0"/>
        <w:keepLines w:val="0"/>
        <w:pageBreakBefore w:val="0"/>
        <w:wordWrap/>
        <w:overflowPunct/>
        <w:topLinePunct w:val="0"/>
        <w:bidi w:val="0"/>
        <w:snapToGrid w:val="0"/>
        <w:spacing w:beforeLines="0" w:afterLines="0" w:line="600" w:lineRule="exact"/>
        <w:rPr>
          <w:rFonts w:hint="eastAsia" w:eastAsia="宋体" w:cs="Times New Roman"/>
          <w:color w:val="auto"/>
          <w:lang w:val="en-US" w:eastAsia="zh-CN"/>
        </w:rPr>
      </w:pPr>
      <w:bookmarkStart w:id="189" w:name="_Toc30016"/>
      <w:r>
        <w:rPr>
          <w:rFonts w:hint="eastAsia" w:eastAsia="宋体" w:cs="Times New Roman"/>
          <w:color w:val="auto"/>
          <w:lang w:val="en-US" w:eastAsia="zh-CN"/>
        </w:rPr>
        <w:t>2.1.3 企业证照证件情况</w:t>
      </w:r>
      <w:bookmarkEnd w:id="189"/>
    </w:p>
    <w:p w14:paraId="72189855">
      <w:pPr>
        <w:pageBreakBefore w:val="0"/>
        <w:wordWrap/>
        <w:overflowPunct/>
        <w:topLinePunct w:val="0"/>
        <w:bidi w:val="0"/>
        <w:spacing w:line="600" w:lineRule="exact"/>
        <w:rPr>
          <w:rFonts w:hint="eastAsia"/>
          <w:color w:val="auto"/>
          <w:lang w:val="en-US" w:eastAsia="zh-CN"/>
        </w:rPr>
      </w:pPr>
      <w:r>
        <w:rPr>
          <w:rFonts w:hint="eastAsia"/>
          <w:color w:val="auto"/>
          <w:lang w:val="en-US" w:eastAsia="zh-CN"/>
        </w:rPr>
        <w:t>企业证照和相关人员证照证件情况，见表2.1-1。</w:t>
      </w:r>
    </w:p>
    <w:p w14:paraId="0AAAAAC8">
      <w:pPr>
        <w:rPr>
          <w:rFonts w:hint="eastAsia"/>
          <w:color w:val="auto"/>
          <w:lang w:val="en-US" w:eastAsia="zh-CN"/>
        </w:rPr>
      </w:pPr>
      <w:r>
        <w:rPr>
          <w:rFonts w:hint="eastAsia"/>
          <w:color w:val="auto"/>
          <w:lang w:val="en-US" w:eastAsia="zh-CN"/>
        </w:rPr>
        <w:br w:type="page"/>
      </w:r>
    </w:p>
    <w:p w14:paraId="56628171">
      <w:pPr>
        <w:keepNext w:val="0"/>
        <w:keepLines w:val="0"/>
        <w:pageBreakBefore w:val="0"/>
        <w:widowControl/>
        <w:kinsoku w:val="0"/>
        <w:wordWrap/>
        <w:overflowPunct/>
        <w:topLinePunct w:val="0"/>
        <w:autoSpaceDE/>
        <w:autoSpaceDN/>
        <w:bidi w:val="0"/>
        <w:adjustRightInd w:val="0"/>
        <w:snapToGrid w:val="0"/>
        <w:spacing w:line="600" w:lineRule="exact"/>
        <w:jc w:val="center"/>
        <w:textAlignment w:val="baseline"/>
        <w:rPr>
          <w:rFonts w:hint="eastAsia"/>
          <w:color w:val="auto"/>
          <w:lang w:val="en-US" w:eastAsia="zh-CN"/>
        </w:rPr>
      </w:pPr>
      <w:r>
        <w:rPr>
          <w:rFonts w:hint="eastAsia"/>
          <w:color w:val="auto"/>
          <w:lang w:val="en-US" w:eastAsia="zh-CN"/>
        </w:rPr>
        <w:t>表2.1-1 企业证照和相关人员证照一览表</w:t>
      </w:r>
    </w:p>
    <w:tbl>
      <w:tblPr>
        <w:tblStyle w:val="19"/>
        <w:tblpPr w:leftFromText="180" w:rightFromText="180" w:vertAnchor="text" w:horzAnchor="page" w:tblpX="1385" w:tblpY="548"/>
        <w:tblOverlap w:val="never"/>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696"/>
        <w:gridCol w:w="2407"/>
        <w:gridCol w:w="1428"/>
        <w:gridCol w:w="2021"/>
        <w:gridCol w:w="1080"/>
      </w:tblGrid>
      <w:tr w14:paraId="70C9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663" w:type="dxa"/>
            <w:vAlign w:val="center"/>
          </w:tcPr>
          <w:p w14:paraId="274C5AFD">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1696" w:type="dxa"/>
            <w:vAlign w:val="center"/>
          </w:tcPr>
          <w:p w14:paraId="319C5658">
            <w:pPr>
              <w:widowControl w:val="0"/>
              <w:spacing w:line="300" w:lineRule="exact"/>
              <w:ind w:firstLine="0" w:firstLineChar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证照名称</w:t>
            </w:r>
          </w:p>
        </w:tc>
        <w:tc>
          <w:tcPr>
            <w:tcW w:w="2407" w:type="dxa"/>
            <w:vAlign w:val="center"/>
          </w:tcPr>
          <w:p w14:paraId="5061BAA5">
            <w:pPr>
              <w:widowControl w:val="0"/>
              <w:spacing w:line="300" w:lineRule="exact"/>
              <w:ind w:firstLine="0" w:firstLineChar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证照编号</w:t>
            </w:r>
          </w:p>
        </w:tc>
        <w:tc>
          <w:tcPr>
            <w:tcW w:w="1428" w:type="dxa"/>
            <w:vAlign w:val="center"/>
          </w:tcPr>
          <w:p w14:paraId="38C99B7F">
            <w:pPr>
              <w:widowControl w:val="0"/>
              <w:spacing w:line="300" w:lineRule="exact"/>
              <w:ind w:firstLine="0" w:firstLineChar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有效期限</w:t>
            </w:r>
          </w:p>
        </w:tc>
        <w:tc>
          <w:tcPr>
            <w:tcW w:w="2021" w:type="dxa"/>
            <w:vAlign w:val="center"/>
          </w:tcPr>
          <w:p w14:paraId="1D1B342C">
            <w:pPr>
              <w:widowControl w:val="0"/>
              <w:spacing w:line="300" w:lineRule="exact"/>
              <w:ind w:firstLine="0" w:firstLineChar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发证机关</w:t>
            </w:r>
          </w:p>
        </w:tc>
        <w:tc>
          <w:tcPr>
            <w:tcW w:w="1080" w:type="dxa"/>
            <w:vAlign w:val="center"/>
          </w:tcPr>
          <w:p w14:paraId="2F2E430D">
            <w:pPr>
              <w:widowControl w:val="0"/>
              <w:spacing w:line="300" w:lineRule="exact"/>
              <w:ind w:firstLine="0" w:firstLineChars="0"/>
              <w:jc w:val="center"/>
              <w:rPr>
                <w:rFonts w:hint="default" w:ascii="宋体" w:hAnsi="宋体" w:eastAsia="宋体" w:cs="宋体"/>
                <w:color w:val="auto"/>
                <w:sz w:val="21"/>
                <w:szCs w:val="21"/>
                <w:vertAlign w:val="baseline"/>
                <w:lang w:val="en-US" w:eastAsia="zh-CN"/>
              </w:rPr>
            </w:pPr>
            <w:r>
              <w:rPr>
                <w:rFonts w:hint="eastAsia" w:cs="宋体"/>
                <w:color w:val="auto"/>
                <w:sz w:val="21"/>
                <w:szCs w:val="21"/>
                <w:vertAlign w:val="baseline"/>
                <w:lang w:val="en-US" w:eastAsia="zh-CN"/>
              </w:rPr>
              <w:t>备注</w:t>
            </w:r>
          </w:p>
        </w:tc>
      </w:tr>
      <w:tr w14:paraId="49EE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63" w:type="dxa"/>
            <w:vAlign w:val="center"/>
          </w:tcPr>
          <w:p w14:paraId="22CDF033">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696" w:type="dxa"/>
            <w:vAlign w:val="center"/>
          </w:tcPr>
          <w:p w14:paraId="3988AC6A">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安全生产许可证</w:t>
            </w:r>
          </w:p>
          <w:p w14:paraId="50D64DFC">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（地下开采）</w:t>
            </w:r>
          </w:p>
        </w:tc>
        <w:tc>
          <w:tcPr>
            <w:tcW w:w="2407" w:type="dxa"/>
            <w:vAlign w:val="center"/>
          </w:tcPr>
          <w:p w14:paraId="49E58337">
            <w:pPr>
              <w:widowControl w:val="0"/>
              <w:spacing w:line="300" w:lineRule="exact"/>
              <w:ind w:firstLine="0" w:firstLineChars="0"/>
              <w:jc w:val="both"/>
              <w:rPr>
                <w:rFonts w:hint="eastAsia" w:ascii="宋体" w:hAnsi="宋体" w:eastAsia="宋体" w:cs="宋体"/>
                <w:color w:val="auto"/>
                <w:sz w:val="21"/>
                <w:szCs w:val="21"/>
                <w:vertAlign w:val="baseline"/>
              </w:rPr>
            </w:pPr>
            <w:r>
              <w:rPr>
                <w:rFonts w:hint="eastAsia" w:ascii="宋体" w:hAnsi="宋体" w:eastAsia="宋体" w:cs="宋体"/>
                <w:b w:val="0"/>
                <w:bCs w:val="0"/>
                <w:color w:val="auto"/>
                <w:spacing w:val="20"/>
                <w:sz w:val="21"/>
                <w:szCs w:val="21"/>
              </w:rPr>
              <w:t>(</w:t>
            </w:r>
            <w:r>
              <w:rPr>
                <w:rFonts w:hint="eastAsia" w:ascii="宋体" w:hAnsi="宋体" w:eastAsia="宋体" w:cs="宋体"/>
                <w:b w:val="0"/>
                <w:bCs w:val="0"/>
                <w:color w:val="auto"/>
                <w:spacing w:val="16"/>
                <w:sz w:val="21"/>
                <w:szCs w:val="21"/>
              </w:rPr>
              <w:t>赣)</w:t>
            </w:r>
            <w:r>
              <w:rPr>
                <w:rFonts w:hint="eastAsia" w:ascii="宋体" w:hAnsi="宋体" w:eastAsia="宋体" w:cs="宋体"/>
                <w:b w:val="0"/>
                <w:bCs w:val="0"/>
                <w:color w:val="auto"/>
                <w:sz w:val="21"/>
                <w:szCs w:val="21"/>
              </w:rPr>
              <w:t>FM</w:t>
            </w:r>
            <w:r>
              <w:rPr>
                <w:rFonts w:hint="eastAsia" w:ascii="宋体" w:hAnsi="宋体" w:eastAsia="宋体" w:cs="宋体"/>
                <w:b w:val="0"/>
                <w:bCs w:val="0"/>
                <w:color w:val="auto"/>
                <w:spacing w:val="16"/>
                <w:sz w:val="21"/>
                <w:szCs w:val="21"/>
              </w:rPr>
              <w:t xml:space="preserve"> 安许证字</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pacing w:val="-13"/>
                <w:sz w:val="21"/>
                <w:szCs w:val="21"/>
              </w:rPr>
              <w:t>[2014]</w:t>
            </w:r>
            <w:r>
              <w:rPr>
                <w:rFonts w:hint="eastAsia" w:ascii="宋体" w:hAnsi="宋体" w:eastAsia="宋体" w:cs="宋体"/>
                <w:b w:val="0"/>
                <w:bCs w:val="0"/>
                <w:color w:val="auto"/>
                <w:spacing w:val="-12"/>
                <w:sz w:val="21"/>
                <w:szCs w:val="21"/>
              </w:rPr>
              <w:t>M</w:t>
            </w:r>
            <w:r>
              <w:rPr>
                <w:rFonts w:hint="eastAsia" w:ascii="宋体" w:hAnsi="宋体" w:eastAsia="宋体" w:cs="宋体"/>
                <w:b w:val="0"/>
                <w:bCs w:val="0"/>
                <w:color w:val="auto"/>
                <w:spacing w:val="-13"/>
                <w:sz w:val="21"/>
                <w:szCs w:val="21"/>
              </w:rPr>
              <w:t>1643号</w:t>
            </w:r>
          </w:p>
        </w:tc>
        <w:tc>
          <w:tcPr>
            <w:tcW w:w="1428" w:type="dxa"/>
            <w:vAlign w:val="center"/>
          </w:tcPr>
          <w:p w14:paraId="399AF5D5">
            <w:pPr>
              <w:widowControl w:val="0"/>
              <w:spacing w:line="300" w:lineRule="exact"/>
              <w:ind w:firstLine="0" w:firstLineChars="0"/>
              <w:jc w:val="both"/>
              <w:rPr>
                <w:rFonts w:hint="eastAsia" w:ascii="宋体" w:hAnsi="宋体" w:eastAsia="宋体" w:cs="宋体"/>
                <w:color w:val="auto"/>
                <w:sz w:val="21"/>
                <w:szCs w:val="21"/>
                <w:vertAlign w:val="baseline"/>
              </w:rPr>
            </w:pPr>
            <w:r>
              <w:rPr>
                <w:rFonts w:hint="eastAsia" w:ascii="宋体" w:hAnsi="宋体" w:eastAsia="宋体" w:cs="宋体"/>
                <w:b w:val="0"/>
                <w:bCs w:val="0"/>
                <w:color w:val="auto"/>
                <w:spacing w:val="-2"/>
                <w:sz w:val="21"/>
                <w:szCs w:val="21"/>
                <w:lang w:val="en-US" w:eastAsia="zh-CN"/>
              </w:rPr>
              <w:t>202</w:t>
            </w:r>
            <w:r>
              <w:rPr>
                <w:rFonts w:hint="eastAsia" w:cs="宋体"/>
                <w:b w:val="0"/>
                <w:bCs w:val="0"/>
                <w:color w:val="auto"/>
                <w:spacing w:val="-2"/>
                <w:sz w:val="21"/>
                <w:szCs w:val="21"/>
                <w:lang w:val="en-US" w:eastAsia="zh-CN"/>
              </w:rPr>
              <w:t>6.</w:t>
            </w:r>
            <w:r>
              <w:rPr>
                <w:rFonts w:hint="eastAsia" w:ascii="宋体" w:hAnsi="宋体" w:eastAsia="宋体" w:cs="宋体"/>
                <w:b w:val="0"/>
                <w:bCs w:val="0"/>
                <w:color w:val="auto"/>
                <w:spacing w:val="-2"/>
                <w:sz w:val="21"/>
                <w:szCs w:val="21"/>
                <w:lang w:val="en-US" w:eastAsia="zh-CN"/>
              </w:rPr>
              <w:t>05</w:t>
            </w:r>
            <w:r>
              <w:rPr>
                <w:rFonts w:hint="eastAsia" w:cs="宋体"/>
                <w:b w:val="0"/>
                <w:bCs w:val="0"/>
                <w:color w:val="auto"/>
                <w:spacing w:val="-2"/>
                <w:sz w:val="21"/>
                <w:szCs w:val="21"/>
                <w:lang w:val="en-US" w:eastAsia="zh-CN"/>
              </w:rPr>
              <w:t>.</w:t>
            </w:r>
            <w:r>
              <w:rPr>
                <w:rFonts w:hint="eastAsia" w:ascii="宋体" w:hAnsi="宋体" w:eastAsia="宋体" w:cs="宋体"/>
                <w:b w:val="0"/>
                <w:bCs w:val="0"/>
                <w:color w:val="auto"/>
                <w:spacing w:val="-2"/>
                <w:sz w:val="21"/>
                <w:szCs w:val="21"/>
                <w:lang w:val="en-US" w:eastAsia="zh-CN"/>
              </w:rPr>
              <w:t>06</w:t>
            </w:r>
            <w:r>
              <w:rPr>
                <w:rFonts w:hint="eastAsia" w:cs="宋体"/>
                <w:b w:val="0"/>
                <w:bCs w:val="0"/>
                <w:color w:val="auto"/>
                <w:spacing w:val="-2"/>
                <w:sz w:val="21"/>
                <w:szCs w:val="21"/>
                <w:lang w:val="en-US" w:eastAsia="zh-CN"/>
              </w:rPr>
              <w:t>.</w:t>
            </w:r>
          </w:p>
        </w:tc>
        <w:tc>
          <w:tcPr>
            <w:tcW w:w="2021" w:type="dxa"/>
            <w:vAlign w:val="center"/>
          </w:tcPr>
          <w:p w14:paraId="7C155A57">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江西省应急管理厅</w:t>
            </w:r>
          </w:p>
        </w:tc>
        <w:tc>
          <w:tcPr>
            <w:tcW w:w="1080" w:type="dxa"/>
            <w:vAlign w:val="center"/>
          </w:tcPr>
          <w:p w14:paraId="1699CBC6">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p>
        </w:tc>
      </w:tr>
      <w:tr w14:paraId="3A38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63" w:type="dxa"/>
            <w:vAlign w:val="center"/>
          </w:tcPr>
          <w:p w14:paraId="376C26DD">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w:t>
            </w:r>
          </w:p>
        </w:tc>
        <w:tc>
          <w:tcPr>
            <w:tcW w:w="1696" w:type="dxa"/>
            <w:vAlign w:val="center"/>
          </w:tcPr>
          <w:p w14:paraId="3F2537D8">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营业执照</w:t>
            </w:r>
          </w:p>
        </w:tc>
        <w:tc>
          <w:tcPr>
            <w:tcW w:w="2407" w:type="dxa"/>
            <w:vAlign w:val="center"/>
          </w:tcPr>
          <w:p w14:paraId="26E4461E">
            <w:pPr>
              <w:widowControl w:val="0"/>
              <w:spacing w:line="300" w:lineRule="exact"/>
              <w:ind w:firstLine="0" w:firstLineChars="0"/>
              <w:jc w:val="both"/>
              <w:rPr>
                <w:rFonts w:hint="eastAsia" w:ascii="宋体" w:hAnsi="宋体" w:eastAsia="宋体" w:cs="宋体"/>
                <w:color w:val="auto"/>
                <w:sz w:val="21"/>
                <w:szCs w:val="21"/>
                <w:vertAlign w:val="baseline"/>
              </w:rPr>
            </w:pPr>
            <w:r>
              <w:rPr>
                <w:rFonts w:hint="eastAsia" w:ascii="宋体" w:hAnsi="宋体" w:eastAsia="宋体" w:cs="宋体"/>
                <w:b w:val="0"/>
                <w:bCs w:val="0"/>
                <w:color w:val="auto"/>
                <w:spacing w:val="-13"/>
                <w:sz w:val="21"/>
                <w:szCs w:val="21"/>
              </w:rPr>
              <w:t>91361000705789187</w:t>
            </w:r>
            <w:r>
              <w:rPr>
                <w:rFonts w:hint="eastAsia" w:ascii="宋体" w:hAnsi="宋体" w:eastAsia="宋体" w:cs="宋体"/>
                <w:b w:val="0"/>
                <w:bCs w:val="0"/>
                <w:color w:val="auto"/>
                <w:spacing w:val="-12"/>
                <w:sz w:val="21"/>
                <w:szCs w:val="21"/>
              </w:rPr>
              <w:t>0</w:t>
            </w:r>
          </w:p>
        </w:tc>
        <w:tc>
          <w:tcPr>
            <w:tcW w:w="1428" w:type="dxa"/>
            <w:vAlign w:val="center"/>
          </w:tcPr>
          <w:p w14:paraId="73C4CE8E">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1999</w:t>
            </w:r>
            <w:r>
              <w:rPr>
                <w:rFonts w:hint="eastAsia" w:cs="宋体"/>
                <w:color w:val="auto"/>
                <w:sz w:val="21"/>
                <w:szCs w:val="21"/>
                <w:vertAlign w:val="baseline"/>
                <w:lang w:val="en-US" w:eastAsia="zh-CN"/>
              </w:rPr>
              <w:t>.</w:t>
            </w:r>
            <w:r>
              <w:rPr>
                <w:rFonts w:hint="eastAsia" w:ascii="宋体" w:hAnsi="宋体" w:eastAsia="宋体" w:cs="宋体"/>
                <w:color w:val="auto"/>
                <w:sz w:val="21"/>
                <w:szCs w:val="21"/>
                <w:vertAlign w:val="baseline"/>
                <w:lang w:val="en-US" w:eastAsia="zh-CN"/>
              </w:rPr>
              <w:t>10</w:t>
            </w:r>
            <w:r>
              <w:rPr>
                <w:rFonts w:hint="eastAsia" w:cs="宋体"/>
                <w:color w:val="auto"/>
                <w:sz w:val="21"/>
                <w:szCs w:val="21"/>
                <w:vertAlign w:val="baseline"/>
                <w:lang w:val="en-US" w:eastAsia="zh-CN"/>
              </w:rPr>
              <w:t>.</w:t>
            </w:r>
            <w:r>
              <w:rPr>
                <w:rFonts w:hint="eastAsia" w:ascii="宋体" w:hAnsi="宋体" w:eastAsia="宋体" w:cs="宋体"/>
                <w:color w:val="auto"/>
                <w:sz w:val="21"/>
                <w:szCs w:val="21"/>
                <w:vertAlign w:val="baseline"/>
                <w:lang w:val="en-US" w:eastAsia="zh-CN"/>
              </w:rPr>
              <w:t>27</w:t>
            </w:r>
            <w:r>
              <w:rPr>
                <w:rFonts w:hint="eastAsia" w:cs="宋体"/>
                <w:color w:val="auto"/>
                <w:sz w:val="21"/>
                <w:szCs w:val="21"/>
                <w:vertAlign w:val="baseline"/>
                <w:lang w:val="en-US" w:eastAsia="zh-CN"/>
              </w:rPr>
              <w:t>.</w:t>
            </w:r>
            <w:r>
              <w:rPr>
                <w:rFonts w:hint="eastAsia" w:ascii="宋体" w:hAnsi="宋体" w:eastAsia="宋体" w:cs="宋体"/>
                <w:color w:val="auto"/>
                <w:sz w:val="21"/>
                <w:szCs w:val="21"/>
                <w:vertAlign w:val="baseline"/>
                <w:lang w:val="en-US" w:eastAsia="zh-CN"/>
              </w:rPr>
              <w:t>至长期</w:t>
            </w:r>
          </w:p>
        </w:tc>
        <w:tc>
          <w:tcPr>
            <w:tcW w:w="2021" w:type="dxa"/>
            <w:vAlign w:val="center"/>
          </w:tcPr>
          <w:p w14:paraId="13E2ACA5">
            <w:pPr>
              <w:widowControl w:val="0"/>
              <w:spacing w:line="300" w:lineRule="exact"/>
              <w:ind w:firstLine="0" w:firstLineChars="0"/>
              <w:jc w:val="both"/>
              <w:rPr>
                <w:rFonts w:hint="eastAsia" w:ascii="宋体" w:hAnsi="宋体" w:eastAsia="宋体" w:cs="宋体"/>
                <w:color w:val="auto"/>
                <w:sz w:val="21"/>
                <w:szCs w:val="21"/>
                <w:vertAlign w:val="baseline"/>
              </w:rPr>
            </w:pPr>
            <w:r>
              <w:rPr>
                <w:rFonts w:hint="eastAsia" w:ascii="宋体" w:hAnsi="宋体" w:eastAsia="宋体" w:cs="宋体"/>
                <w:b w:val="0"/>
                <w:bCs w:val="0"/>
                <w:color w:val="auto"/>
                <w:spacing w:val="9"/>
                <w:sz w:val="21"/>
                <w:szCs w:val="21"/>
              </w:rPr>
              <w:t>抚州市市场监督</w:t>
            </w:r>
            <w:r>
              <w:rPr>
                <w:rFonts w:hint="eastAsia" w:ascii="宋体" w:hAnsi="宋体" w:eastAsia="宋体" w:cs="宋体"/>
                <w:b w:val="0"/>
                <w:bCs w:val="0"/>
                <w:color w:val="auto"/>
                <w:spacing w:val="8"/>
                <w:sz w:val="21"/>
                <w:szCs w:val="21"/>
              </w:rPr>
              <w:t>管</w:t>
            </w:r>
            <w:r>
              <w:rPr>
                <w:rFonts w:hint="eastAsia" w:ascii="宋体" w:hAnsi="宋体" w:eastAsia="宋体" w:cs="宋体"/>
                <w:b w:val="0"/>
                <w:bCs w:val="0"/>
                <w:color w:val="auto"/>
                <w:spacing w:val="7"/>
                <w:sz w:val="21"/>
                <w:szCs w:val="21"/>
              </w:rPr>
              <w:t>理</w:t>
            </w:r>
            <w:r>
              <w:rPr>
                <w:rFonts w:hint="eastAsia" w:ascii="宋体" w:hAnsi="宋体" w:eastAsia="宋体" w:cs="宋体"/>
                <w:b w:val="0"/>
                <w:bCs w:val="0"/>
                <w:color w:val="auto"/>
                <w:spacing w:val="6"/>
                <w:sz w:val="21"/>
                <w:szCs w:val="21"/>
              </w:rPr>
              <w:t>局</w:t>
            </w:r>
          </w:p>
        </w:tc>
        <w:tc>
          <w:tcPr>
            <w:tcW w:w="1080" w:type="dxa"/>
            <w:vAlign w:val="center"/>
          </w:tcPr>
          <w:p w14:paraId="4EA968A8">
            <w:pPr>
              <w:widowControl w:val="0"/>
              <w:spacing w:line="300" w:lineRule="exact"/>
              <w:ind w:firstLine="0" w:firstLineChars="0"/>
              <w:jc w:val="both"/>
              <w:rPr>
                <w:rFonts w:hint="eastAsia" w:ascii="宋体" w:hAnsi="宋体" w:eastAsia="宋体" w:cs="宋体"/>
                <w:b w:val="0"/>
                <w:bCs w:val="0"/>
                <w:color w:val="auto"/>
                <w:spacing w:val="9"/>
                <w:sz w:val="21"/>
                <w:szCs w:val="21"/>
              </w:rPr>
            </w:pPr>
          </w:p>
        </w:tc>
      </w:tr>
      <w:tr w14:paraId="3C59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63" w:type="dxa"/>
            <w:vAlign w:val="center"/>
          </w:tcPr>
          <w:p w14:paraId="026FF2AF">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w:t>
            </w:r>
          </w:p>
        </w:tc>
        <w:tc>
          <w:tcPr>
            <w:tcW w:w="1696" w:type="dxa"/>
            <w:vAlign w:val="center"/>
          </w:tcPr>
          <w:p w14:paraId="7AADC351">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采矿许可证</w:t>
            </w:r>
          </w:p>
        </w:tc>
        <w:tc>
          <w:tcPr>
            <w:tcW w:w="2407" w:type="dxa"/>
            <w:vAlign w:val="center"/>
          </w:tcPr>
          <w:p w14:paraId="30A99659">
            <w:pPr>
              <w:widowControl w:val="0"/>
              <w:spacing w:line="300" w:lineRule="exact"/>
              <w:ind w:firstLine="0" w:firstLineChars="0"/>
              <w:jc w:val="both"/>
              <w:rPr>
                <w:rFonts w:hint="eastAsia" w:ascii="宋体" w:hAnsi="宋体" w:eastAsia="宋体" w:cs="宋体"/>
                <w:color w:val="auto"/>
                <w:sz w:val="21"/>
                <w:szCs w:val="21"/>
                <w:vertAlign w:val="baseline"/>
              </w:rPr>
            </w:pPr>
            <w:r>
              <w:rPr>
                <w:rFonts w:hint="eastAsia" w:ascii="宋体" w:hAnsi="宋体" w:eastAsia="宋体" w:cs="宋体"/>
                <w:b w:val="0"/>
                <w:bCs w:val="0"/>
                <w:color w:val="auto"/>
                <w:spacing w:val="-12"/>
                <w:sz w:val="21"/>
                <w:szCs w:val="21"/>
              </w:rPr>
              <w:t>C</w:t>
            </w:r>
            <w:r>
              <w:rPr>
                <w:rFonts w:hint="eastAsia" w:ascii="宋体" w:hAnsi="宋体" w:eastAsia="宋体" w:cs="宋体"/>
                <w:b w:val="0"/>
                <w:bCs w:val="0"/>
                <w:color w:val="auto"/>
                <w:spacing w:val="-24"/>
                <w:sz w:val="21"/>
                <w:szCs w:val="21"/>
              </w:rPr>
              <w:t>3</w:t>
            </w:r>
            <w:r>
              <w:rPr>
                <w:rFonts w:hint="eastAsia" w:ascii="宋体" w:hAnsi="宋体" w:eastAsia="宋体" w:cs="宋体"/>
                <w:b w:val="0"/>
                <w:bCs w:val="0"/>
                <w:color w:val="auto"/>
                <w:spacing w:val="-16"/>
                <w:sz w:val="21"/>
                <w:szCs w:val="21"/>
              </w:rPr>
              <w:t>6</w:t>
            </w:r>
            <w:r>
              <w:rPr>
                <w:rFonts w:hint="eastAsia" w:ascii="宋体" w:hAnsi="宋体" w:eastAsia="宋体" w:cs="宋体"/>
                <w:b w:val="0"/>
                <w:bCs w:val="0"/>
                <w:color w:val="auto"/>
                <w:spacing w:val="-12"/>
                <w:sz w:val="21"/>
                <w:szCs w:val="21"/>
              </w:rPr>
              <w:t>00002009104120039441</w:t>
            </w:r>
          </w:p>
        </w:tc>
        <w:tc>
          <w:tcPr>
            <w:tcW w:w="1428" w:type="dxa"/>
            <w:vAlign w:val="center"/>
          </w:tcPr>
          <w:p w14:paraId="11C39440">
            <w:pPr>
              <w:widowControl w:val="0"/>
              <w:spacing w:line="300" w:lineRule="exact"/>
              <w:ind w:firstLine="0" w:firstLineChars="0"/>
              <w:jc w:val="both"/>
              <w:rPr>
                <w:rFonts w:hint="eastAsia" w:ascii="宋体" w:hAnsi="宋体" w:eastAsia="宋体" w:cs="宋体"/>
                <w:color w:val="auto"/>
                <w:sz w:val="21"/>
                <w:szCs w:val="21"/>
                <w:vertAlign w:val="baseline"/>
              </w:rPr>
            </w:pPr>
            <w:r>
              <w:rPr>
                <w:rFonts w:hint="eastAsia" w:ascii="宋体" w:hAnsi="宋体" w:eastAsia="宋体" w:cs="宋体"/>
                <w:b w:val="0"/>
                <w:bCs w:val="0"/>
                <w:color w:val="auto"/>
                <w:spacing w:val="-2"/>
                <w:sz w:val="21"/>
                <w:szCs w:val="21"/>
              </w:rPr>
              <w:t>202</w:t>
            </w:r>
            <w:r>
              <w:rPr>
                <w:rFonts w:hint="eastAsia" w:cs="宋体"/>
                <w:b w:val="0"/>
                <w:bCs w:val="0"/>
                <w:color w:val="auto"/>
                <w:spacing w:val="-2"/>
                <w:sz w:val="21"/>
                <w:szCs w:val="21"/>
                <w:lang w:val="en-US" w:eastAsia="zh-CN"/>
              </w:rPr>
              <w:t>9.9.</w:t>
            </w:r>
            <w:r>
              <w:rPr>
                <w:rFonts w:hint="eastAsia" w:ascii="宋体" w:hAnsi="宋体" w:eastAsia="宋体" w:cs="宋体"/>
                <w:b w:val="0"/>
                <w:bCs w:val="0"/>
                <w:color w:val="auto"/>
                <w:spacing w:val="-2"/>
                <w:sz w:val="21"/>
                <w:szCs w:val="21"/>
              </w:rPr>
              <w:t>1</w:t>
            </w:r>
            <w:r>
              <w:rPr>
                <w:rFonts w:hint="eastAsia" w:ascii="宋体" w:hAnsi="宋体" w:eastAsia="宋体" w:cs="宋体"/>
                <w:b w:val="0"/>
                <w:bCs w:val="0"/>
                <w:color w:val="auto"/>
                <w:spacing w:val="-2"/>
                <w:sz w:val="21"/>
                <w:szCs w:val="21"/>
                <w:lang w:val="en-US" w:eastAsia="zh-CN"/>
              </w:rPr>
              <w:t>7</w:t>
            </w:r>
            <w:r>
              <w:rPr>
                <w:rFonts w:hint="eastAsia" w:cs="宋体"/>
                <w:b w:val="0"/>
                <w:bCs w:val="0"/>
                <w:color w:val="auto"/>
                <w:spacing w:val="-2"/>
                <w:sz w:val="21"/>
                <w:szCs w:val="21"/>
                <w:lang w:val="en-US" w:eastAsia="zh-CN"/>
              </w:rPr>
              <w:t>.</w:t>
            </w:r>
          </w:p>
        </w:tc>
        <w:tc>
          <w:tcPr>
            <w:tcW w:w="2021" w:type="dxa"/>
            <w:vAlign w:val="center"/>
          </w:tcPr>
          <w:p w14:paraId="741DFE00">
            <w:pPr>
              <w:widowControl w:val="0"/>
              <w:spacing w:line="300" w:lineRule="exact"/>
              <w:ind w:firstLine="0" w:firstLineChars="0"/>
              <w:jc w:val="both"/>
              <w:rPr>
                <w:rFonts w:hint="default" w:ascii="宋体" w:hAnsi="宋体" w:eastAsia="宋体" w:cs="宋体"/>
                <w:color w:val="auto"/>
                <w:sz w:val="21"/>
                <w:szCs w:val="21"/>
                <w:vertAlign w:val="baseline"/>
                <w:lang w:val="en-US" w:eastAsia="zh-CN"/>
              </w:rPr>
            </w:pPr>
            <w:r>
              <w:rPr>
                <w:rFonts w:hint="eastAsia" w:ascii="宋体" w:hAnsi="宋体" w:eastAsia="宋体" w:cs="宋体"/>
                <w:b w:val="0"/>
                <w:bCs w:val="0"/>
                <w:color w:val="auto"/>
                <w:spacing w:val="11"/>
                <w:sz w:val="21"/>
                <w:szCs w:val="21"/>
              </w:rPr>
              <w:t>江</w:t>
            </w:r>
            <w:r>
              <w:rPr>
                <w:rFonts w:hint="eastAsia" w:ascii="宋体" w:hAnsi="宋体" w:eastAsia="宋体" w:cs="宋体"/>
                <w:b w:val="0"/>
                <w:bCs w:val="0"/>
                <w:color w:val="auto"/>
                <w:spacing w:val="8"/>
                <w:sz w:val="21"/>
                <w:szCs w:val="21"/>
              </w:rPr>
              <w:t>西省</w:t>
            </w:r>
            <w:r>
              <w:rPr>
                <w:rFonts w:hint="eastAsia" w:cs="宋体"/>
                <w:b w:val="0"/>
                <w:bCs w:val="0"/>
                <w:color w:val="auto"/>
                <w:spacing w:val="8"/>
                <w:sz w:val="21"/>
                <w:szCs w:val="21"/>
                <w:lang w:val="en-US" w:eastAsia="zh-CN"/>
              </w:rPr>
              <w:t>自然资源厅</w:t>
            </w:r>
          </w:p>
        </w:tc>
        <w:tc>
          <w:tcPr>
            <w:tcW w:w="1080" w:type="dxa"/>
            <w:vAlign w:val="center"/>
          </w:tcPr>
          <w:p w14:paraId="0AD89A28">
            <w:pPr>
              <w:widowControl w:val="0"/>
              <w:spacing w:line="300" w:lineRule="exact"/>
              <w:ind w:firstLine="0" w:firstLineChars="0"/>
              <w:jc w:val="both"/>
              <w:rPr>
                <w:rFonts w:hint="eastAsia" w:ascii="宋体" w:hAnsi="宋体" w:eastAsia="宋体" w:cs="宋体"/>
                <w:b w:val="0"/>
                <w:bCs w:val="0"/>
                <w:color w:val="auto"/>
                <w:spacing w:val="11"/>
                <w:sz w:val="21"/>
                <w:szCs w:val="21"/>
              </w:rPr>
            </w:pPr>
          </w:p>
        </w:tc>
      </w:tr>
      <w:tr w14:paraId="49F1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63" w:type="dxa"/>
            <w:vAlign w:val="center"/>
          </w:tcPr>
          <w:p w14:paraId="77A18775">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w:t>
            </w:r>
          </w:p>
        </w:tc>
        <w:tc>
          <w:tcPr>
            <w:tcW w:w="1696" w:type="dxa"/>
            <w:vAlign w:val="center"/>
          </w:tcPr>
          <w:p w14:paraId="22C4FE63">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rPr>
              <w:t>矿山主要负责人安全资格证</w:t>
            </w:r>
          </w:p>
        </w:tc>
        <w:tc>
          <w:tcPr>
            <w:tcW w:w="2407" w:type="dxa"/>
            <w:vAlign w:val="center"/>
          </w:tcPr>
          <w:p w14:paraId="4DD4C014">
            <w:pPr>
              <w:widowControl w:val="0"/>
              <w:spacing w:line="300" w:lineRule="exact"/>
              <w:ind w:firstLine="0" w:firstLineChars="0"/>
              <w:jc w:val="center"/>
              <w:rPr>
                <w:rFonts w:hint="eastAsia" w:cs="宋体"/>
                <w:b w:val="0"/>
                <w:bCs w:val="0"/>
                <w:color w:val="auto"/>
                <w:spacing w:val="-2"/>
                <w:sz w:val="21"/>
                <w:szCs w:val="21"/>
                <w:lang w:val="en-US" w:eastAsia="zh-CN"/>
              </w:rPr>
            </w:pPr>
            <w:r>
              <w:rPr>
                <w:rFonts w:hint="eastAsia" w:cs="宋体"/>
                <w:b w:val="0"/>
                <w:bCs w:val="0"/>
                <w:color w:val="auto"/>
                <w:spacing w:val="-2"/>
                <w:sz w:val="21"/>
                <w:szCs w:val="21"/>
                <w:lang w:val="en-US" w:eastAsia="zh-CN"/>
              </w:rPr>
              <w:t>王德雀</w:t>
            </w:r>
          </w:p>
          <w:p w14:paraId="5AA37CEE">
            <w:pPr>
              <w:widowControl w:val="0"/>
              <w:spacing w:line="300" w:lineRule="exact"/>
              <w:ind w:firstLine="0" w:firstLineChars="0"/>
              <w:jc w:val="center"/>
              <w:rPr>
                <w:rFonts w:hint="default"/>
                <w:color w:val="auto"/>
                <w:spacing w:val="-2"/>
                <w:sz w:val="21"/>
                <w:szCs w:val="21"/>
                <w:lang w:val="en-US" w:eastAsia="zh-CN"/>
              </w:rPr>
            </w:pPr>
            <w:r>
              <w:rPr>
                <w:rFonts w:hint="eastAsia" w:cs="宋体"/>
                <w:b w:val="0"/>
                <w:bCs w:val="0"/>
                <w:color w:val="auto"/>
                <w:spacing w:val="-2"/>
                <w:sz w:val="21"/>
                <w:szCs w:val="21"/>
                <w:lang w:val="en-US" w:eastAsia="zh-CN"/>
              </w:rPr>
              <w:t>33****************</w:t>
            </w:r>
          </w:p>
        </w:tc>
        <w:tc>
          <w:tcPr>
            <w:tcW w:w="1428" w:type="dxa"/>
            <w:vAlign w:val="center"/>
          </w:tcPr>
          <w:p w14:paraId="035EC687">
            <w:pPr>
              <w:widowControl w:val="0"/>
              <w:spacing w:line="300" w:lineRule="exact"/>
              <w:ind w:firstLine="0" w:firstLineChars="0"/>
              <w:jc w:val="both"/>
              <w:rPr>
                <w:rFonts w:hint="eastAsia" w:ascii="宋体" w:hAnsi="宋体" w:eastAsia="宋体" w:cs="宋体"/>
                <w:b w:val="0"/>
                <w:bCs w:val="0"/>
                <w:color w:val="auto"/>
                <w:spacing w:val="-2"/>
                <w:sz w:val="21"/>
                <w:szCs w:val="21"/>
              </w:rPr>
            </w:pPr>
            <w:r>
              <w:rPr>
                <w:rFonts w:hint="eastAsia" w:ascii="宋体" w:hAnsi="宋体" w:eastAsia="宋体" w:cs="宋体"/>
                <w:b w:val="0"/>
                <w:bCs w:val="0"/>
                <w:color w:val="auto"/>
                <w:spacing w:val="-2"/>
                <w:sz w:val="21"/>
                <w:szCs w:val="21"/>
              </w:rPr>
              <w:t>202</w:t>
            </w:r>
            <w:r>
              <w:rPr>
                <w:rFonts w:hint="eastAsia" w:cs="宋体"/>
                <w:b w:val="0"/>
                <w:bCs w:val="0"/>
                <w:color w:val="auto"/>
                <w:spacing w:val="-2"/>
                <w:sz w:val="21"/>
                <w:szCs w:val="21"/>
                <w:lang w:val="en-US" w:eastAsia="zh-CN"/>
              </w:rPr>
              <w:t>7.1.</w:t>
            </w:r>
            <w:r>
              <w:rPr>
                <w:rFonts w:hint="eastAsia" w:ascii="宋体" w:hAnsi="宋体" w:eastAsia="宋体" w:cs="宋体"/>
                <w:b w:val="0"/>
                <w:bCs w:val="0"/>
                <w:color w:val="auto"/>
                <w:spacing w:val="-2"/>
                <w:sz w:val="21"/>
                <w:szCs w:val="21"/>
              </w:rPr>
              <w:t>1</w:t>
            </w:r>
            <w:r>
              <w:rPr>
                <w:rFonts w:hint="eastAsia" w:ascii="宋体" w:hAnsi="宋体" w:eastAsia="宋体" w:cs="宋体"/>
                <w:b w:val="0"/>
                <w:bCs w:val="0"/>
                <w:color w:val="auto"/>
                <w:spacing w:val="-2"/>
                <w:sz w:val="21"/>
                <w:szCs w:val="21"/>
                <w:lang w:val="en-US" w:eastAsia="zh-CN"/>
              </w:rPr>
              <w:t>7</w:t>
            </w:r>
            <w:r>
              <w:rPr>
                <w:rFonts w:hint="eastAsia" w:cs="宋体"/>
                <w:b w:val="0"/>
                <w:bCs w:val="0"/>
                <w:color w:val="auto"/>
                <w:spacing w:val="-2"/>
                <w:sz w:val="21"/>
                <w:szCs w:val="21"/>
                <w:lang w:val="en-US" w:eastAsia="zh-CN"/>
              </w:rPr>
              <w:t>.</w:t>
            </w:r>
          </w:p>
        </w:tc>
        <w:tc>
          <w:tcPr>
            <w:tcW w:w="2021" w:type="dxa"/>
            <w:vAlign w:val="center"/>
          </w:tcPr>
          <w:p w14:paraId="21D89814">
            <w:pPr>
              <w:widowControl w:val="0"/>
              <w:spacing w:line="300" w:lineRule="exact"/>
              <w:ind w:firstLine="0" w:firstLineChars="0"/>
              <w:jc w:val="center"/>
              <w:rPr>
                <w:rFonts w:hint="eastAsia" w:ascii="宋体" w:hAnsi="宋体" w:eastAsia="宋体" w:cs="宋体"/>
                <w:b w:val="0"/>
                <w:bCs w:val="0"/>
                <w:color w:val="auto"/>
                <w:spacing w:val="-2"/>
                <w:sz w:val="21"/>
                <w:szCs w:val="21"/>
                <w:lang w:val="en-US" w:eastAsia="zh-CN"/>
              </w:rPr>
            </w:pPr>
            <w:r>
              <w:rPr>
                <w:rFonts w:hint="eastAsia" w:cs="宋体"/>
                <w:b w:val="0"/>
                <w:bCs w:val="0"/>
                <w:color w:val="auto"/>
                <w:spacing w:val="-2"/>
                <w:sz w:val="21"/>
                <w:szCs w:val="21"/>
                <w:lang w:val="en-US" w:eastAsia="zh-CN"/>
              </w:rPr>
              <w:t>赣州市行政审批局</w:t>
            </w:r>
          </w:p>
        </w:tc>
        <w:tc>
          <w:tcPr>
            <w:tcW w:w="1080" w:type="dxa"/>
            <w:vAlign w:val="center"/>
          </w:tcPr>
          <w:p w14:paraId="178E08E9">
            <w:pPr>
              <w:widowControl w:val="0"/>
              <w:spacing w:line="300" w:lineRule="exact"/>
              <w:ind w:firstLine="0" w:firstLineChars="0"/>
              <w:jc w:val="center"/>
              <w:rPr>
                <w:rFonts w:hint="default" w:cs="宋体"/>
                <w:b w:val="0"/>
                <w:bCs w:val="0"/>
                <w:color w:val="auto"/>
                <w:spacing w:val="-2"/>
                <w:sz w:val="21"/>
                <w:szCs w:val="21"/>
                <w:lang w:val="en-US" w:eastAsia="zh-CN"/>
              </w:rPr>
            </w:pPr>
            <w:r>
              <w:rPr>
                <w:rFonts w:hint="eastAsia" w:cs="宋体"/>
                <w:b w:val="0"/>
                <w:bCs w:val="0"/>
                <w:color w:val="auto"/>
                <w:spacing w:val="-2"/>
                <w:sz w:val="21"/>
                <w:szCs w:val="21"/>
                <w:lang w:val="en-US" w:eastAsia="zh-CN"/>
              </w:rPr>
              <w:t>矿长</w:t>
            </w:r>
          </w:p>
        </w:tc>
      </w:tr>
      <w:tr w14:paraId="4A41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63" w:type="dxa"/>
            <w:vMerge w:val="restart"/>
            <w:vAlign w:val="center"/>
          </w:tcPr>
          <w:p w14:paraId="148299CB">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cs="宋体"/>
                <w:color w:val="auto"/>
                <w:sz w:val="21"/>
                <w:szCs w:val="21"/>
                <w:vertAlign w:val="baseline"/>
                <w:lang w:val="en-US" w:eastAsia="zh-CN"/>
              </w:rPr>
              <w:t>5</w:t>
            </w:r>
          </w:p>
        </w:tc>
        <w:tc>
          <w:tcPr>
            <w:tcW w:w="1696" w:type="dxa"/>
            <w:vAlign w:val="center"/>
          </w:tcPr>
          <w:p w14:paraId="4624F99F">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rPr>
              <w:t>安全管理人员资格证</w:t>
            </w:r>
          </w:p>
        </w:tc>
        <w:tc>
          <w:tcPr>
            <w:tcW w:w="2407" w:type="dxa"/>
            <w:vAlign w:val="center"/>
          </w:tcPr>
          <w:p w14:paraId="077AD07E">
            <w:pPr>
              <w:widowControl w:val="0"/>
              <w:spacing w:line="300" w:lineRule="exact"/>
              <w:ind w:firstLine="0" w:firstLineChars="0"/>
              <w:jc w:val="both"/>
              <w:rPr>
                <w:rFonts w:hint="eastAsia" w:ascii="宋体" w:hAnsi="宋体" w:eastAsia="宋体" w:cs="宋体"/>
                <w:b w:val="0"/>
                <w:bCs w:val="0"/>
                <w:color w:val="auto"/>
                <w:spacing w:val="16"/>
                <w:sz w:val="21"/>
                <w:szCs w:val="21"/>
              </w:rPr>
            </w:pPr>
          </w:p>
        </w:tc>
        <w:tc>
          <w:tcPr>
            <w:tcW w:w="1428" w:type="dxa"/>
            <w:vAlign w:val="center"/>
          </w:tcPr>
          <w:p w14:paraId="690EF697">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2021" w:type="dxa"/>
            <w:vAlign w:val="center"/>
          </w:tcPr>
          <w:p w14:paraId="7D9412A9">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080" w:type="dxa"/>
            <w:vAlign w:val="center"/>
          </w:tcPr>
          <w:p w14:paraId="3C285562">
            <w:pPr>
              <w:widowControl w:val="0"/>
              <w:spacing w:line="300" w:lineRule="exact"/>
              <w:jc w:val="center"/>
              <w:rPr>
                <w:rFonts w:hint="eastAsia" w:ascii="宋体" w:hAnsi="宋体" w:eastAsia="宋体" w:cs="宋体"/>
                <w:color w:val="auto"/>
                <w:sz w:val="21"/>
                <w:szCs w:val="21"/>
                <w:vertAlign w:val="baseline"/>
                <w:lang w:val="en-US" w:eastAsia="zh-CN"/>
              </w:rPr>
            </w:pPr>
          </w:p>
        </w:tc>
      </w:tr>
      <w:tr w14:paraId="0338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63" w:type="dxa"/>
            <w:vMerge w:val="continue"/>
            <w:vAlign w:val="center"/>
          </w:tcPr>
          <w:p w14:paraId="2898CF48">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696" w:type="dxa"/>
            <w:vAlign w:val="center"/>
          </w:tcPr>
          <w:p w14:paraId="01F49085">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叶初荣</w:t>
            </w:r>
          </w:p>
        </w:tc>
        <w:tc>
          <w:tcPr>
            <w:tcW w:w="2407" w:type="dxa"/>
            <w:vAlign w:val="center"/>
          </w:tcPr>
          <w:p w14:paraId="5E9958DC">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36</w:t>
            </w:r>
            <w:r>
              <w:rPr>
                <w:rFonts w:hint="eastAsia" w:cs="宋体"/>
                <w:b w:val="0"/>
                <w:bCs w:val="0"/>
                <w:color w:val="auto"/>
                <w:spacing w:val="-2"/>
                <w:sz w:val="21"/>
                <w:szCs w:val="21"/>
                <w:lang w:val="en-US" w:eastAsia="zh-CN"/>
              </w:rPr>
              <w:t>****************</w:t>
            </w:r>
          </w:p>
        </w:tc>
        <w:tc>
          <w:tcPr>
            <w:tcW w:w="1428" w:type="dxa"/>
            <w:vAlign w:val="center"/>
          </w:tcPr>
          <w:p w14:paraId="6282F50B">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2027.01.17.</w:t>
            </w:r>
          </w:p>
        </w:tc>
        <w:tc>
          <w:tcPr>
            <w:tcW w:w="2021" w:type="dxa"/>
            <w:vAlign w:val="center"/>
          </w:tcPr>
          <w:p w14:paraId="2EF6236A">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赣州市行政审批局</w:t>
            </w:r>
          </w:p>
        </w:tc>
        <w:tc>
          <w:tcPr>
            <w:tcW w:w="1080" w:type="dxa"/>
            <w:vAlign w:val="center"/>
          </w:tcPr>
          <w:p w14:paraId="2F607A62">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总工程师</w:t>
            </w:r>
          </w:p>
        </w:tc>
      </w:tr>
      <w:tr w14:paraId="787A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63" w:type="dxa"/>
            <w:vMerge w:val="continue"/>
            <w:vAlign w:val="center"/>
          </w:tcPr>
          <w:p w14:paraId="62CDC132">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696" w:type="dxa"/>
            <w:vAlign w:val="center"/>
          </w:tcPr>
          <w:p w14:paraId="6083D289">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杨荣超</w:t>
            </w:r>
          </w:p>
        </w:tc>
        <w:tc>
          <w:tcPr>
            <w:tcW w:w="2407" w:type="dxa"/>
            <w:vAlign w:val="center"/>
          </w:tcPr>
          <w:p w14:paraId="145F9692">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33</w:t>
            </w:r>
            <w:r>
              <w:rPr>
                <w:rFonts w:hint="eastAsia" w:cs="宋体"/>
                <w:b w:val="0"/>
                <w:bCs w:val="0"/>
                <w:color w:val="auto"/>
                <w:spacing w:val="-2"/>
                <w:sz w:val="21"/>
                <w:szCs w:val="21"/>
                <w:lang w:val="en-US" w:eastAsia="zh-CN"/>
              </w:rPr>
              <w:t>****************</w:t>
            </w:r>
          </w:p>
        </w:tc>
        <w:tc>
          <w:tcPr>
            <w:tcW w:w="1428" w:type="dxa"/>
            <w:vAlign w:val="center"/>
          </w:tcPr>
          <w:p w14:paraId="1B2E096A">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2028.09.21.</w:t>
            </w:r>
          </w:p>
        </w:tc>
        <w:tc>
          <w:tcPr>
            <w:tcW w:w="2021" w:type="dxa"/>
            <w:vAlign w:val="center"/>
          </w:tcPr>
          <w:p w14:paraId="722CA4C5">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包头市应急管理局</w:t>
            </w:r>
          </w:p>
        </w:tc>
        <w:tc>
          <w:tcPr>
            <w:tcW w:w="1080" w:type="dxa"/>
            <w:vAlign w:val="center"/>
          </w:tcPr>
          <w:p w14:paraId="1F4B370C">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生产副矿长</w:t>
            </w:r>
          </w:p>
        </w:tc>
      </w:tr>
      <w:tr w14:paraId="084C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63" w:type="dxa"/>
            <w:vMerge w:val="continue"/>
            <w:vAlign w:val="center"/>
          </w:tcPr>
          <w:p w14:paraId="37F5FD7D">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696" w:type="dxa"/>
            <w:vAlign w:val="center"/>
          </w:tcPr>
          <w:p w14:paraId="16384C9D">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王涛</w:t>
            </w:r>
          </w:p>
        </w:tc>
        <w:tc>
          <w:tcPr>
            <w:tcW w:w="2407" w:type="dxa"/>
            <w:vAlign w:val="center"/>
          </w:tcPr>
          <w:p w14:paraId="12BDA25F">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37</w:t>
            </w:r>
            <w:r>
              <w:rPr>
                <w:rFonts w:hint="eastAsia" w:cs="宋体"/>
                <w:b w:val="0"/>
                <w:bCs w:val="0"/>
                <w:color w:val="auto"/>
                <w:spacing w:val="-2"/>
                <w:sz w:val="21"/>
                <w:szCs w:val="21"/>
                <w:lang w:val="en-US" w:eastAsia="zh-CN"/>
              </w:rPr>
              <w:t>****************</w:t>
            </w:r>
          </w:p>
        </w:tc>
        <w:tc>
          <w:tcPr>
            <w:tcW w:w="1428" w:type="dxa"/>
            <w:vAlign w:val="center"/>
          </w:tcPr>
          <w:p w14:paraId="022B3D5C">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2027.11.19.</w:t>
            </w:r>
          </w:p>
        </w:tc>
        <w:tc>
          <w:tcPr>
            <w:tcW w:w="2021" w:type="dxa"/>
            <w:vAlign w:val="center"/>
          </w:tcPr>
          <w:p w14:paraId="4A191257">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抚州市应急管理局</w:t>
            </w:r>
          </w:p>
        </w:tc>
        <w:tc>
          <w:tcPr>
            <w:tcW w:w="1080" w:type="dxa"/>
            <w:vAlign w:val="center"/>
          </w:tcPr>
          <w:p w14:paraId="07079270">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安全副矿长</w:t>
            </w:r>
          </w:p>
        </w:tc>
      </w:tr>
      <w:tr w14:paraId="12C3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63" w:type="dxa"/>
            <w:vMerge w:val="continue"/>
            <w:vAlign w:val="center"/>
          </w:tcPr>
          <w:p w14:paraId="5DF329AC">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696" w:type="dxa"/>
            <w:vAlign w:val="center"/>
          </w:tcPr>
          <w:p w14:paraId="05FE9477">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何升海</w:t>
            </w:r>
          </w:p>
        </w:tc>
        <w:tc>
          <w:tcPr>
            <w:tcW w:w="2407" w:type="dxa"/>
            <w:vAlign w:val="center"/>
          </w:tcPr>
          <w:p w14:paraId="36F0D465">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42</w:t>
            </w:r>
            <w:r>
              <w:rPr>
                <w:rFonts w:hint="eastAsia" w:cs="宋体"/>
                <w:b w:val="0"/>
                <w:bCs w:val="0"/>
                <w:color w:val="auto"/>
                <w:spacing w:val="-2"/>
                <w:sz w:val="21"/>
                <w:szCs w:val="21"/>
                <w:lang w:val="en-US" w:eastAsia="zh-CN"/>
              </w:rPr>
              <w:t>****************</w:t>
            </w:r>
          </w:p>
        </w:tc>
        <w:tc>
          <w:tcPr>
            <w:tcW w:w="1428" w:type="dxa"/>
            <w:vAlign w:val="center"/>
          </w:tcPr>
          <w:p w14:paraId="15E01B5E">
            <w:pPr>
              <w:widowControl w:val="0"/>
              <w:spacing w:line="300" w:lineRule="exact"/>
              <w:ind w:firstLine="0" w:firstLineChars="0"/>
              <w:jc w:val="both"/>
              <w:rPr>
                <w:rFonts w:hint="default"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2029.03.03.</w:t>
            </w:r>
          </w:p>
        </w:tc>
        <w:tc>
          <w:tcPr>
            <w:tcW w:w="2021" w:type="dxa"/>
            <w:vAlign w:val="center"/>
          </w:tcPr>
          <w:p w14:paraId="69D2970D">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赣州市行政审批局</w:t>
            </w:r>
          </w:p>
        </w:tc>
        <w:tc>
          <w:tcPr>
            <w:tcW w:w="1080" w:type="dxa"/>
            <w:vAlign w:val="center"/>
          </w:tcPr>
          <w:p w14:paraId="43B230DA">
            <w:pPr>
              <w:widowControl w:val="0"/>
              <w:spacing w:line="300" w:lineRule="exact"/>
              <w:ind w:firstLine="0" w:firstLineChars="0"/>
              <w:jc w:val="both"/>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lang w:val="en-US" w:eastAsia="zh-CN"/>
              </w:rPr>
              <w:t>机电副矿长</w:t>
            </w:r>
          </w:p>
        </w:tc>
      </w:tr>
      <w:tr w14:paraId="25A3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63" w:type="dxa"/>
            <w:vMerge w:val="continue"/>
            <w:vAlign w:val="center"/>
          </w:tcPr>
          <w:p w14:paraId="768002F6">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696" w:type="dxa"/>
            <w:shd w:val="clear" w:color="auto" w:fill="auto"/>
            <w:vAlign w:val="center"/>
          </w:tcPr>
          <w:p w14:paraId="47949EB2">
            <w:pPr>
              <w:widowControl w:val="0"/>
              <w:spacing w:line="300" w:lineRule="exact"/>
              <w:ind w:firstLine="0" w:firstLineChars="0"/>
              <w:jc w:val="both"/>
              <w:rPr>
                <w:rFonts w:hint="eastAsia" w:ascii="宋体" w:hAnsi="宋体" w:eastAsia="宋体" w:cs="宋体"/>
                <w:snapToGrid w:val="0"/>
                <w:color w:val="auto"/>
                <w:spacing w:val="0"/>
                <w:kern w:val="0"/>
                <w:sz w:val="21"/>
                <w:szCs w:val="21"/>
                <w:lang w:val="en-US" w:eastAsia="zh-CN"/>
              </w:rPr>
            </w:pPr>
            <w:r>
              <w:rPr>
                <w:rFonts w:hint="eastAsia" w:cs="宋体"/>
                <w:color w:val="auto"/>
                <w:sz w:val="21"/>
                <w:szCs w:val="21"/>
                <w:lang w:val="en-US" w:eastAsia="zh-CN"/>
              </w:rPr>
              <w:t>袁晓平</w:t>
            </w:r>
          </w:p>
        </w:tc>
        <w:tc>
          <w:tcPr>
            <w:tcW w:w="2407" w:type="dxa"/>
            <w:shd w:val="clear" w:color="auto" w:fill="auto"/>
            <w:vAlign w:val="center"/>
          </w:tcPr>
          <w:p w14:paraId="63504BC2">
            <w:pPr>
              <w:widowControl w:val="0"/>
              <w:spacing w:line="300" w:lineRule="exact"/>
              <w:ind w:firstLine="0" w:firstLineChars="0"/>
              <w:jc w:val="both"/>
              <w:rPr>
                <w:rFonts w:hint="eastAsia" w:ascii="宋体" w:hAnsi="宋体" w:eastAsia="宋体" w:cs="宋体"/>
                <w:b w:val="0"/>
                <w:bCs w:val="0"/>
                <w:snapToGrid w:val="0"/>
                <w:color w:val="auto"/>
                <w:spacing w:val="16"/>
                <w:kern w:val="0"/>
                <w:sz w:val="21"/>
                <w:szCs w:val="21"/>
                <w:lang w:val="en-US" w:eastAsia="zh-CN"/>
              </w:rPr>
            </w:pPr>
            <w:r>
              <w:rPr>
                <w:rFonts w:hint="eastAsia" w:cs="宋体"/>
                <w:b w:val="0"/>
                <w:bCs w:val="0"/>
                <w:color w:val="auto"/>
                <w:spacing w:val="16"/>
                <w:sz w:val="21"/>
                <w:szCs w:val="21"/>
                <w:lang w:val="en-US" w:eastAsia="zh-CN"/>
              </w:rPr>
              <w:t>43</w:t>
            </w:r>
            <w:r>
              <w:rPr>
                <w:rFonts w:hint="eastAsia" w:cs="宋体"/>
                <w:b w:val="0"/>
                <w:bCs w:val="0"/>
                <w:color w:val="auto"/>
                <w:spacing w:val="-2"/>
                <w:sz w:val="21"/>
                <w:szCs w:val="21"/>
                <w:lang w:val="en-US" w:eastAsia="zh-CN"/>
              </w:rPr>
              <w:t>****************</w:t>
            </w:r>
          </w:p>
        </w:tc>
        <w:tc>
          <w:tcPr>
            <w:tcW w:w="1428" w:type="dxa"/>
            <w:shd w:val="clear" w:color="auto" w:fill="auto"/>
            <w:vAlign w:val="center"/>
          </w:tcPr>
          <w:p w14:paraId="6FC97C44">
            <w:pPr>
              <w:widowControl w:val="0"/>
              <w:spacing w:line="300" w:lineRule="exact"/>
              <w:ind w:firstLine="0" w:firstLineChars="0"/>
              <w:jc w:val="both"/>
              <w:rPr>
                <w:rFonts w:hint="eastAsia" w:ascii="宋体" w:hAnsi="宋体" w:eastAsia="宋体" w:cs="宋体"/>
                <w:snapToGrid w:val="0"/>
                <w:color w:val="auto"/>
                <w:spacing w:val="0"/>
                <w:kern w:val="0"/>
                <w:sz w:val="21"/>
                <w:szCs w:val="21"/>
                <w:vertAlign w:val="baseline"/>
                <w:lang w:val="en-US" w:eastAsia="zh-CN"/>
              </w:rPr>
            </w:pPr>
            <w:r>
              <w:rPr>
                <w:rFonts w:hint="eastAsia" w:cs="宋体"/>
                <w:color w:val="auto"/>
                <w:sz w:val="21"/>
                <w:szCs w:val="21"/>
                <w:vertAlign w:val="baseline"/>
                <w:lang w:val="en-US" w:eastAsia="zh-CN"/>
              </w:rPr>
              <w:t>2028.8.13.</w:t>
            </w:r>
          </w:p>
        </w:tc>
        <w:tc>
          <w:tcPr>
            <w:tcW w:w="2021" w:type="dxa"/>
            <w:shd w:val="clear" w:color="auto" w:fill="auto"/>
            <w:vAlign w:val="center"/>
          </w:tcPr>
          <w:p w14:paraId="5EAE632E">
            <w:pPr>
              <w:widowControl w:val="0"/>
              <w:spacing w:line="300" w:lineRule="exact"/>
              <w:ind w:firstLine="0" w:firstLineChars="0"/>
              <w:jc w:val="both"/>
              <w:rPr>
                <w:rFonts w:hint="eastAsia" w:ascii="宋体" w:hAnsi="宋体" w:eastAsia="宋体" w:cs="宋体"/>
                <w:snapToGrid w:val="0"/>
                <w:color w:val="auto"/>
                <w:spacing w:val="0"/>
                <w:kern w:val="0"/>
                <w:sz w:val="21"/>
                <w:szCs w:val="21"/>
                <w:vertAlign w:val="baseline"/>
                <w:lang w:val="en-US" w:eastAsia="zh-CN"/>
              </w:rPr>
            </w:pPr>
            <w:r>
              <w:rPr>
                <w:rFonts w:hint="eastAsia" w:cs="宋体"/>
                <w:b w:val="0"/>
                <w:bCs w:val="0"/>
                <w:color w:val="auto"/>
                <w:spacing w:val="-2"/>
                <w:sz w:val="21"/>
                <w:szCs w:val="21"/>
                <w:lang w:val="en-US" w:eastAsia="zh-CN"/>
              </w:rPr>
              <w:t>赣州市行政审批局</w:t>
            </w:r>
          </w:p>
        </w:tc>
        <w:tc>
          <w:tcPr>
            <w:tcW w:w="1080" w:type="dxa"/>
            <w:vAlign w:val="center"/>
          </w:tcPr>
          <w:p w14:paraId="76E01154">
            <w:pPr>
              <w:widowControl w:val="0"/>
              <w:spacing w:line="300" w:lineRule="exact"/>
              <w:ind w:firstLine="0" w:firstLineChars="0"/>
              <w:jc w:val="both"/>
              <w:rPr>
                <w:rFonts w:hint="eastAsia" w:cs="宋体"/>
                <w:b w:val="0"/>
                <w:bCs w:val="0"/>
                <w:color w:val="auto"/>
                <w:spacing w:val="-2"/>
                <w:sz w:val="21"/>
                <w:szCs w:val="21"/>
                <w:lang w:val="en-US" w:eastAsia="zh-CN"/>
              </w:rPr>
            </w:pPr>
          </w:p>
        </w:tc>
      </w:tr>
      <w:tr w14:paraId="1A86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63" w:type="dxa"/>
            <w:vMerge w:val="continue"/>
            <w:vAlign w:val="center"/>
          </w:tcPr>
          <w:p w14:paraId="0E1FB7AF">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696" w:type="dxa"/>
            <w:vAlign w:val="center"/>
          </w:tcPr>
          <w:p w14:paraId="3F1E158B">
            <w:pPr>
              <w:widowControl w:val="0"/>
              <w:spacing w:line="300" w:lineRule="exact"/>
              <w:ind w:firstLine="0" w:firstLineChars="0"/>
              <w:jc w:val="both"/>
              <w:rPr>
                <w:rFonts w:hint="default" w:ascii="宋体" w:hAnsi="宋体" w:eastAsia="宋体" w:cs="宋体"/>
                <w:color w:val="auto"/>
                <w:sz w:val="21"/>
                <w:szCs w:val="21"/>
                <w:lang w:val="en-US" w:eastAsia="zh-CN"/>
              </w:rPr>
            </w:pPr>
            <w:r>
              <w:rPr>
                <w:rFonts w:hint="eastAsia" w:ascii="宋体" w:hAnsi="宋体" w:eastAsia="宋体" w:cs="Times New Roman"/>
                <w:color w:val="auto"/>
                <w:sz w:val="21"/>
                <w:szCs w:val="21"/>
                <w:lang w:val="en-US" w:eastAsia="zh-CN"/>
              </w:rPr>
              <w:t>廖书贺</w:t>
            </w:r>
          </w:p>
        </w:tc>
        <w:tc>
          <w:tcPr>
            <w:tcW w:w="2407" w:type="dxa"/>
            <w:vAlign w:val="center"/>
          </w:tcPr>
          <w:p w14:paraId="2ED01A79">
            <w:pPr>
              <w:widowControl w:val="0"/>
              <w:spacing w:line="300" w:lineRule="exact"/>
              <w:ind w:firstLine="0" w:firstLineChars="0"/>
              <w:jc w:val="both"/>
              <w:rPr>
                <w:rFonts w:hint="default" w:ascii="宋体" w:hAnsi="宋体" w:eastAsia="宋体" w:cs="宋体"/>
                <w:b w:val="0"/>
                <w:bCs w:val="0"/>
                <w:color w:val="auto"/>
                <w:spacing w:val="16"/>
                <w:sz w:val="21"/>
                <w:szCs w:val="21"/>
                <w:lang w:val="en-US" w:eastAsia="zh-CN"/>
              </w:rPr>
            </w:pPr>
            <w:r>
              <w:rPr>
                <w:rFonts w:hint="eastAsia" w:cs="宋体"/>
                <w:b w:val="0"/>
                <w:bCs w:val="0"/>
                <w:color w:val="auto"/>
                <w:spacing w:val="16"/>
                <w:sz w:val="21"/>
                <w:szCs w:val="21"/>
                <w:lang w:val="en-US" w:eastAsia="zh-CN"/>
              </w:rPr>
              <w:t>33</w:t>
            </w:r>
            <w:r>
              <w:rPr>
                <w:rFonts w:hint="eastAsia" w:cs="宋体"/>
                <w:b w:val="0"/>
                <w:bCs w:val="0"/>
                <w:color w:val="auto"/>
                <w:spacing w:val="-2"/>
                <w:sz w:val="21"/>
                <w:szCs w:val="21"/>
                <w:lang w:val="en-US" w:eastAsia="zh-CN"/>
              </w:rPr>
              <w:t>****************</w:t>
            </w:r>
            <w:r>
              <w:rPr>
                <w:rFonts w:hint="eastAsia" w:cs="宋体"/>
                <w:b w:val="0"/>
                <w:bCs w:val="0"/>
                <w:color w:val="auto"/>
                <w:spacing w:val="16"/>
                <w:sz w:val="21"/>
                <w:szCs w:val="21"/>
                <w:lang w:val="en-US" w:eastAsia="zh-CN"/>
              </w:rPr>
              <w:t>7</w:t>
            </w:r>
          </w:p>
        </w:tc>
        <w:tc>
          <w:tcPr>
            <w:tcW w:w="1428" w:type="dxa"/>
            <w:vAlign w:val="center"/>
          </w:tcPr>
          <w:p w14:paraId="4EDA5F7D">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cs="宋体"/>
                <w:color w:val="auto"/>
                <w:sz w:val="21"/>
                <w:szCs w:val="21"/>
                <w:vertAlign w:val="baseline"/>
                <w:lang w:val="en-US" w:eastAsia="zh-CN"/>
              </w:rPr>
              <w:t>2027.11.19.</w:t>
            </w:r>
          </w:p>
        </w:tc>
        <w:tc>
          <w:tcPr>
            <w:tcW w:w="2021" w:type="dxa"/>
            <w:vAlign w:val="center"/>
          </w:tcPr>
          <w:p w14:paraId="42D91A94">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cs="宋体"/>
                <w:b w:val="0"/>
                <w:bCs w:val="0"/>
                <w:color w:val="auto"/>
                <w:spacing w:val="-2"/>
                <w:sz w:val="21"/>
                <w:szCs w:val="21"/>
                <w:lang w:val="en-US" w:eastAsia="zh-CN"/>
              </w:rPr>
              <w:t>抚州市行政审批局</w:t>
            </w:r>
          </w:p>
        </w:tc>
        <w:tc>
          <w:tcPr>
            <w:tcW w:w="1080" w:type="dxa"/>
            <w:vAlign w:val="center"/>
          </w:tcPr>
          <w:p w14:paraId="10468402">
            <w:pPr>
              <w:widowControl w:val="0"/>
              <w:spacing w:line="300" w:lineRule="exact"/>
              <w:ind w:firstLine="0" w:firstLineChars="0"/>
              <w:jc w:val="both"/>
              <w:rPr>
                <w:rFonts w:hint="eastAsia" w:cs="宋体"/>
                <w:b w:val="0"/>
                <w:bCs w:val="0"/>
                <w:color w:val="auto"/>
                <w:spacing w:val="-2"/>
                <w:sz w:val="21"/>
                <w:szCs w:val="21"/>
                <w:lang w:val="en-US" w:eastAsia="zh-CN"/>
              </w:rPr>
            </w:pPr>
          </w:p>
        </w:tc>
      </w:tr>
      <w:tr w14:paraId="3906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63" w:type="dxa"/>
            <w:vMerge w:val="continue"/>
            <w:vAlign w:val="center"/>
          </w:tcPr>
          <w:p w14:paraId="1A58F707">
            <w:pPr>
              <w:widowControl w:val="0"/>
              <w:spacing w:line="300" w:lineRule="exact"/>
              <w:jc w:val="center"/>
              <w:rPr>
                <w:rFonts w:hint="eastAsia" w:ascii="宋体" w:hAnsi="宋体" w:eastAsia="宋体" w:cs="宋体"/>
                <w:color w:val="auto"/>
                <w:sz w:val="21"/>
                <w:szCs w:val="21"/>
                <w:vertAlign w:val="baseline"/>
                <w:lang w:val="en-US" w:eastAsia="zh-CN"/>
              </w:rPr>
            </w:pPr>
          </w:p>
        </w:tc>
        <w:tc>
          <w:tcPr>
            <w:tcW w:w="1696" w:type="dxa"/>
            <w:vAlign w:val="center"/>
          </w:tcPr>
          <w:p w14:paraId="56EB5FD0">
            <w:pPr>
              <w:widowControl w:val="0"/>
              <w:spacing w:line="300" w:lineRule="exact"/>
              <w:ind w:firstLine="0" w:firstLineChars="0"/>
              <w:jc w:val="both"/>
              <w:rPr>
                <w:rFonts w:hint="eastAsia" w:ascii="宋体" w:hAnsi="宋体" w:eastAsia="宋体" w:cs="宋体"/>
                <w:color w:val="auto"/>
                <w:sz w:val="21"/>
                <w:szCs w:val="21"/>
              </w:rPr>
            </w:pPr>
            <w:r>
              <w:rPr>
                <w:rFonts w:hint="eastAsia"/>
                <w:color w:val="auto"/>
                <w:sz w:val="21"/>
                <w:szCs w:val="21"/>
                <w:lang w:val="en-US" w:eastAsia="zh-CN"/>
              </w:rPr>
              <w:t>陈祖富</w:t>
            </w:r>
          </w:p>
        </w:tc>
        <w:tc>
          <w:tcPr>
            <w:tcW w:w="2407" w:type="dxa"/>
            <w:vAlign w:val="center"/>
          </w:tcPr>
          <w:p w14:paraId="2C72E48C">
            <w:pPr>
              <w:widowControl w:val="0"/>
              <w:spacing w:line="300" w:lineRule="exact"/>
              <w:ind w:firstLine="0" w:firstLineChars="0"/>
              <w:jc w:val="both"/>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42</w:t>
            </w:r>
            <w:r>
              <w:rPr>
                <w:rFonts w:hint="eastAsia" w:cs="宋体"/>
                <w:b w:val="0"/>
                <w:bCs w:val="0"/>
                <w:color w:val="auto"/>
                <w:spacing w:val="-2"/>
                <w:sz w:val="21"/>
                <w:szCs w:val="21"/>
                <w:lang w:val="en-US" w:eastAsia="zh-CN"/>
              </w:rPr>
              <w:t>****************</w:t>
            </w:r>
            <w:bookmarkStart w:id="1095" w:name="_GoBack"/>
            <w:bookmarkEnd w:id="1095"/>
          </w:p>
        </w:tc>
        <w:tc>
          <w:tcPr>
            <w:tcW w:w="1428" w:type="dxa"/>
            <w:vAlign w:val="center"/>
          </w:tcPr>
          <w:p w14:paraId="3B050D12">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2028</w:t>
            </w:r>
            <w:r>
              <w:rPr>
                <w:rFonts w:hint="eastAsia" w:cs="宋体"/>
                <w:color w:val="auto"/>
                <w:sz w:val="21"/>
                <w:szCs w:val="21"/>
                <w:vertAlign w:val="baseline"/>
                <w:lang w:val="en-US" w:eastAsia="zh-CN"/>
              </w:rPr>
              <w:t>.</w:t>
            </w:r>
            <w:r>
              <w:rPr>
                <w:rFonts w:hint="eastAsia" w:ascii="宋体" w:hAnsi="宋体" w:eastAsia="宋体" w:cs="宋体"/>
                <w:color w:val="auto"/>
                <w:sz w:val="21"/>
                <w:szCs w:val="21"/>
                <w:vertAlign w:val="baseline"/>
                <w:lang w:val="en-US" w:eastAsia="zh-CN"/>
              </w:rPr>
              <w:t>7</w:t>
            </w:r>
            <w:r>
              <w:rPr>
                <w:rFonts w:hint="eastAsia" w:cs="宋体"/>
                <w:color w:val="auto"/>
                <w:sz w:val="21"/>
                <w:szCs w:val="21"/>
                <w:vertAlign w:val="baseline"/>
                <w:lang w:val="en-US" w:eastAsia="zh-CN"/>
              </w:rPr>
              <w:t>.</w:t>
            </w:r>
            <w:r>
              <w:rPr>
                <w:rFonts w:hint="eastAsia" w:ascii="宋体" w:hAnsi="宋体" w:eastAsia="宋体" w:cs="宋体"/>
                <w:color w:val="auto"/>
                <w:sz w:val="21"/>
                <w:szCs w:val="21"/>
                <w:vertAlign w:val="baseline"/>
                <w:lang w:val="en-US" w:eastAsia="zh-CN"/>
              </w:rPr>
              <w:t>24</w:t>
            </w:r>
            <w:r>
              <w:rPr>
                <w:rFonts w:hint="eastAsia" w:cs="宋体"/>
                <w:color w:val="auto"/>
                <w:sz w:val="21"/>
                <w:szCs w:val="21"/>
                <w:vertAlign w:val="baseline"/>
                <w:lang w:val="en-US" w:eastAsia="zh-CN"/>
              </w:rPr>
              <w:t>.</w:t>
            </w:r>
          </w:p>
        </w:tc>
        <w:tc>
          <w:tcPr>
            <w:tcW w:w="2021" w:type="dxa"/>
            <w:vAlign w:val="center"/>
          </w:tcPr>
          <w:p w14:paraId="49ED1279">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黄石市应急管理局</w:t>
            </w:r>
          </w:p>
        </w:tc>
        <w:tc>
          <w:tcPr>
            <w:tcW w:w="1080" w:type="dxa"/>
            <w:vAlign w:val="center"/>
          </w:tcPr>
          <w:p w14:paraId="08BFA963">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p>
        </w:tc>
      </w:tr>
      <w:tr w14:paraId="3D98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63" w:type="dxa"/>
            <w:vAlign w:val="center"/>
          </w:tcPr>
          <w:p w14:paraId="3FCB2B24">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cs="宋体"/>
                <w:color w:val="auto"/>
                <w:sz w:val="21"/>
                <w:szCs w:val="21"/>
                <w:vertAlign w:val="baseline"/>
                <w:lang w:val="en-US" w:eastAsia="zh-CN"/>
              </w:rPr>
              <w:t>6</w:t>
            </w:r>
          </w:p>
        </w:tc>
        <w:tc>
          <w:tcPr>
            <w:tcW w:w="1696" w:type="dxa"/>
            <w:vAlign w:val="center"/>
          </w:tcPr>
          <w:p w14:paraId="221B30EB">
            <w:pPr>
              <w:widowControl w:val="0"/>
              <w:spacing w:line="300" w:lineRule="exact"/>
              <w:ind w:firstLine="0"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rPr>
              <w:t>特种作业人员上岗资格证</w:t>
            </w:r>
          </w:p>
        </w:tc>
        <w:tc>
          <w:tcPr>
            <w:tcW w:w="5856" w:type="dxa"/>
            <w:gridSpan w:val="3"/>
            <w:vAlign w:val="center"/>
          </w:tcPr>
          <w:p w14:paraId="6F1B23D4">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pacing w:val="-6"/>
                <w:sz w:val="21"/>
                <w:szCs w:val="21"/>
              </w:rPr>
              <w:t>共有特种作业人员</w:t>
            </w:r>
            <w:r>
              <w:rPr>
                <w:rFonts w:hint="eastAsia" w:cs="宋体"/>
                <w:color w:val="auto"/>
                <w:spacing w:val="-6"/>
                <w:sz w:val="21"/>
                <w:szCs w:val="21"/>
                <w:lang w:val="en-US" w:eastAsia="zh-CN"/>
              </w:rPr>
              <w:t>5</w:t>
            </w:r>
            <w:r>
              <w:rPr>
                <w:rFonts w:hint="eastAsia" w:ascii="宋体" w:hAnsi="宋体" w:eastAsia="宋体" w:cs="宋体"/>
                <w:color w:val="auto"/>
                <w:spacing w:val="-6"/>
                <w:sz w:val="21"/>
                <w:szCs w:val="21"/>
              </w:rPr>
              <w:t>人，其中</w:t>
            </w:r>
            <w:r>
              <w:rPr>
                <w:rFonts w:hint="eastAsia" w:ascii="宋体" w:hAnsi="宋体" w:eastAsia="宋体" w:cs="宋体"/>
                <w:color w:val="auto"/>
                <w:spacing w:val="-6"/>
                <w:sz w:val="21"/>
                <w:szCs w:val="21"/>
                <w:lang w:val="en-US" w:eastAsia="zh-CN"/>
              </w:rPr>
              <w:t>支柱作业</w:t>
            </w:r>
            <w:r>
              <w:rPr>
                <w:rFonts w:hint="eastAsia" w:ascii="宋体" w:hAnsi="宋体" w:eastAsia="宋体" w:cs="宋体"/>
                <w:color w:val="auto"/>
                <w:spacing w:val="-6"/>
                <w:sz w:val="21"/>
                <w:szCs w:val="21"/>
              </w:rPr>
              <w:t>1人、</w:t>
            </w:r>
            <w:r>
              <w:rPr>
                <w:rFonts w:hint="eastAsia" w:ascii="宋体" w:hAnsi="宋体" w:eastAsia="宋体" w:cs="宋体"/>
                <w:color w:val="auto"/>
                <w:spacing w:val="-6"/>
                <w:sz w:val="21"/>
                <w:szCs w:val="21"/>
                <w:lang w:val="en-US" w:eastAsia="zh-CN"/>
              </w:rPr>
              <w:t>通风作业1</w:t>
            </w:r>
            <w:r>
              <w:rPr>
                <w:rFonts w:hint="eastAsia" w:ascii="宋体" w:hAnsi="宋体" w:eastAsia="宋体" w:cs="宋体"/>
                <w:color w:val="auto"/>
                <w:spacing w:val="-6"/>
                <w:sz w:val="21"/>
                <w:szCs w:val="21"/>
              </w:rPr>
              <w:t>人、熔化焊接与热切割作业</w:t>
            </w:r>
            <w:r>
              <w:rPr>
                <w:rFonts w:hint="eastAsia" w:ascii="宋体" w:hAnsi="宋体" w:eastAsia="宋体" w:cs="宋体"/>
                <w:color w:val="auto"/>
                <w:spacing w:val="-6"/>
                <w:sz w:val="21"/>
                <w:szCs w:val="21"/>
                <w:lang w:val="en-US" w:eastAsia="zh-CN"/>
              </w:rPr>
              <w:t>1</w:t>
            </w:r>
            <w:r>
              <w:rPr>
                <w:rFonts w:hint="eastAsia" w:ascii="宋体" w:hAnsi="宋体" w:eastAsia="宋体" w:cs="宋体"/>
                <w:color w:val="auto"/>
                <w:spacing w:val="-6"/>
                <w:sz w:val="21"/>
                <w:szCs w:val="21"/>
              </w:rPr>
              <w:t>人、安全检查作业</w:t>
            </w:r>
            <w:r>
              <w:rPr>
                <w:rFonts w:hint="eastAsia" w:ascii="宋体" w:hAnsi="宋体" w:eastAsia="宋体" w:cs="宋体"/>
                <w:color w:val="auto"/>
                <w:spacing w:val="-6"/>
                <w:sz w:val="21"/>
                <w:szCs w:val="21"/>
                <w:lang w:val="en-US" w:eastAsia="zh-CN"/>
              </w:rPr>
              <w:t>1</w:t>
            </w:r>
            <w:r>
              <w:rPr>
                <w:rFonts w:hint="eastAsia" w:ascii="宋体" w:hAnsi="宋体" w:eastAsia="宋体" w:cs="宋体"/>
                <w:color w:val="auto"/>
                <w:spacing w:val="-6"/>
                <w:sz w:val="21"/>
                <w:szCs w:val="21"/>
              </w:rPr>
              <w:t>人</w:t>
            </w:r>
            <w:r>
              <w:rPr>
                <w:rFonts w:hint="eastAsia" w:ascii="宋体" w:hAnsi="宋体" w:eastAsia="宋体" w:cs="宋体"/>
                <w:color w:val="auto"/>
                <w:spacing w:val="-6"/>
                <w:sz w:val="21"/>
                <w:szCs w:val="21"/>
                <w:lang w:eastAsia="zh-CN"/>
              </w:rPr>
              <w:t>、</w:t>
            </w:r>
            <w:r>
              <w:rPr>
                <w:rFonts w:hint="eastAsia" w:cs="宋体"/>
                <w:color w:val="auto"/>
                <w:spacing w:val="-6"/>
                <w:sz w:val="21"/>
                <w:szCs w:val="21"/>
                <w:lang w:val="en-US" w:eastAsia="zh-CN"/>
              </w:rPr>
              <w:t>低压</w:t>
            </w:r>
            <w:r>
              <w:rPr>
                <w:rFonts w:hint="eastAsia" w:ascii="宋体" w:hAnsi="宋体" w:eastAsia="宋体" w:cs="宋体"/>
                <w:color w:val="auto"/>
                <w:spacing w:val="-6"/>
                <w:sz w:val="21"/>
                <w:szCs w:val="21"/>
                <w:lang w:val="en-US" w:eastAsia="zh-CN"/>
              </w:rPr>
              <w:t>电</w:t>
            </w:r>
            <w:r>
              <w:rPr>
                <w:rFonts w:hint="eastAsia" w:cs="宋体"/>
                <w:color w:val="auto"/>
                <w:spacing w:val="-6"/>
                <w:sz w:val="21"/>
                <w:szCs w:val="21"/>
                <w:lang w:val="en-US" w:eastAsia="zh-CN"/>
              </w:rPr>
              <w:t>工</w:t>
            </w:r>
            <w:r>
              <w:rPr>
                <w:rFonts w:hint="eastAsia" w:ascii="宋体" w:hAnsi="宋体" w:eastAsia="宋体" w:cs="宋体"/>
                <w:color w:val="auto"/>
                <w:spacing w:val="-6"/>
                <w:sz w:val="21"/>
                <w:szCs w:val="21"/>
                <w:lang w:val="en-US" w:eastAsia="zh-CN"/>
              </w:rPr>
              <w:t>作业1人，</w:t>
            </w:r>
            <w:r>
              <w:rPr>
                <w:rFonts w:hint="eastAsia" w:ascii="宋体" w:hAnsi="宋体" w:eastAsia="宋体" w:cs="宋体"/>
                <w:color w:val="auto"/>
                <w:spacing w:val="-6"/>
                <w:sz w:val="21"/>
                <w:szCs w:val="21"/>
              </w:rPr>
              <w:t>均持证上岗。</w:t>
            </w:r>
          </w:p>
        </w:tc>
        <w:tc>
          <w:tcPr>
            <w:tcW w:w="1080" w:type="dxa"/>
            <w:vAlign w:val="center"/>
          </w:tcPr>
          <w:p w14:paraId="3169C055">
            <w:pPr>
              <w:widowControl w:val="0"/>
              <w:spacing w:line="300" w:lineRule="exact"/>
              <w:ind w:firstLine="0" w:firstLineChars="0"/>
              <w:jc w:val="both"/>
              <w:rPr>
                <w:rFonts w:hint="eastAsia" w:ascii="宋体" w:hAnsi="宋体" w:eastAsia="宋体" w:cs="宋体"/>
                <w:color w:val="auto"/>
                <w:spacing w:val="-6"/>
                <w:sz w:val="21"/>
                <w:szCs w:val="21"/>
              </w:rPr>
            </w:pPr>
          </w:p>
        </w:tc>
      </w:tr>
      <w:tr w14:paraId="49C7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63" w:type="dxa"/>
            <w:vAlign w:val="center"/>
          </w:tcPr>
          <w:p w14:paraId="49BDCE23">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cs="宋体"/>
                <w:color w:val="auto"/>
                <w:sz w:val="21"/>
                <w:szCs w:val="21"/>
                <w:vertAlign w:val="baseline"/>
                <w:lang w:val="en-US" w:eastAsia="zh-CN"/>
              </w:rPr>
              <w:t>7</w:t>
            </w:r>
          </w:p>
        </w:tc>
        <w:tc>
          <w:tcPr>
            <w:tcW w:w="1696" w:type="dxa"/>
            <w:vAlign w:val="center"/>
          </w:tcPr>
          <w:p w14:paraId="32F63B56">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安全生产许可证</w:t>
            </w:r>
          </w:p>
          <w:p w14:paraId="1EA55FAC">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（尾矿库）</w:t>
            </w:r>
          </w:p>
        </w:tc>
        <w:tc>
          <w:tcPr>
            <w:tcW w:w="2407" w:type="dxa"/>
            <w:vAlign w:val="center"/>
          </w:tcPr>
          <w:p w14:paraId="1887D307">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(赣)FM 安许证字[2024]M1939号</w:t>
            </w:r>
          </w:p>
        </w:tc>
        <w:tc>
          <w:tcPr>
            <w:tcW w:w="1428" w:type="dxa"/>
            <w:vAlign w:val="center"/>
          </w:tcPr>
          <w:p w14:paraId="08D66AF0">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2027年11月14日</w:t>
            </w:r>
          </w:p>
        </w:tc>
        <w:tc>
          <w:tcPr>
            <w:tcW w:w="2021" w:type="dxa"/>
            <w:vAlign w:val="center"/>
          </w:tcPr>
          <w:p w14:paraId="0AB1177F">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江西省应急管理厅</w:t>
            </w:r>
          </w:p>
        </w:tc>
        <w:tc>
          <w:tcPr>
            <w:tcW w:w="1080" w:type="dxa"/>
            <w:vAlign w:val="center"/>
          </w:tcPr>
          <w:p w14:paraId="6640A383">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p>
        </w:tc>
      </w:tr>
      <w:tr w14:paraId="702A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63" w:type="dxa"/>
            <w:vAlign w:val="center"/>
          </w:tcPr>
          <w:p w14:paraId="6B6BD055">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cs="宋体"/>
                <w:color w:val="auto"/>
                <w:sz w:val="21"/>
                <w:szCs w:val="21"/>
                <w:vertAlign w:val="baseline"/>
                <w:lang w:val="en-US" w:eastAsia="zh-CN"/>
              </w:rPr>
              <w:t>8</w:t>
            </w:r>
          </w:p>
        </w:tc>
        <w:tc>
          <w:tcPr>
            <w:tcW w:w="1696" w:type="dxa"/>
            <w:vAlign w:val="center"/>
          </w:tcPr>
          <w:p w14:paraId="5985A901">
            <w:pPr>
              <w:widowControl w:val="0"/>
              <w:spacing w:line="300" w:lineRule="exact"/>
              <w:ind w:firstLine="0" w:firstLineChars="0"/>
              <w:jc w:val="both"/>
              <w:rPr>
                <w:rFonts w:hint="eastAsia" w:ascii="宋体" w:hAnsi="宋体" w:eastAsia="宋体" w:cs="宋体"/>
                <w:color w:val="auto"/>
                <w:spacing w:val="10"/>
                <w:sz w:val="21"/>
                <w:szCs w:val="21"/>
              </w:rPr>
            </w:pPr>
            <w:r>
              <w:rPr>
                <w:rFonts w:hint="eastAsia" w:ascii="宋体" w:hAnsi="宋体" w:eastAsia="宋体" w:cs="宋体"/>
                <w:color w:val="auto"/>
                <w:spacing w:val="7"/>
                <w:sz w:val="21"/>
                <w:szCs w:val="21"/>
              </w:rPr>
              <w:t>签订安全管理协议</w:t>
            </w:r>
          </w:p>
        </w:tc>
        <w:tc>
          <w:tcPr>
            <w:tcW w:w="5856" w:type="dxa"/>
            <w:gridSpan w:val="3"/>
            <w:vAlign w:val="center"/>
          </w:tcPr>
          <w:p w14:paraId="7DCE3A79">
            <w:pPr>
              <w:widowControl w:val="0"/>
              <w:spacing w:line="300" w:lineRule="exact"/>
              <w:ind w:firstLine="0" w:firstLineChars="0"/>
              <w:jc w:val="both"/>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rPr>
              <w:t>与</w:t>
            </w:r>
            <w:r>
              <w:rPr>
                <w:rFonts w:hint="eastAsia" w:ascii="宋体" w:hAnsi="宋体" w:eastAsia="宋体" w:cs="宋体"/>
                <w:color w:val="auto"/>
                <w:sz w:val="21"/>
                <w:szCs w:val="21"/>
                <w:lang w:eastAsia="zh-CN"/>
              </w:rPr>
              <w:t>新余国泰爆破工程有限责任公司</w:t>
            </w:r>
            <w:r>
              <w:rPr>
                <w:rFonts w:hint="eastAsia" w:ascii="宋体" w:hAnsi="宋体" w:eastAsia="宋体" w:cs="宋体"/>
                <w:color w:val="auto"/>
                <w:sz w:val="21"/>
                <w:szCs w:val="21"/>
              </w:rPr>
              <w:t>签订了</w:t>
            </w:r>
            <w:r>
              <w:rPr>
                <w:rFonts w:hint="eastAsia" w:ascii="宋体" w:hAnsi="宋体" w:eastAsia="宋体" w:cs="宋体"/>
                <w:color w:val="auto"/>
                <w:sz w:val="21"/>
                <w:szCs w:val="21"/>
                <w:lang w:val="en-US" w:eastAsia="zh-CN"/>
              </w:rPr>
              <w:t>爆破作业</w:t>
            </w:r>
            <w:r>
              <w:rPr>
                <w:rFonts w:hint="eastAsia" w:ascii="宋体" w:hAnsi="宋体" w:eastAsia="宋体" w:cs="宋体"/>
                <w:color w:val="auto"/>
                <w:sz w:val="21"/>
                <w:szCs w:val="21"/>
              </w:rPr>
              <w:t>安全生产管理协议</w:t>
            </w:r>
          </w:p>
        </w:tc>
        <w:tc>
          <w:tcPr>
            <w:tcW w:w="1080" w:type="dxa"/>
            <w:vAlign w:val="center"/>
          </w:tcPr>
          <w:p w14:paraId="64DA7B42">
            <w:pPr>
              <w:widowControl w:val="0"/>
              <w:spacing w:line="300" w:lineRule="exact"/>
              <w:ind w:firstLine="0" w:firstLineChars="0"/>
              <w:jc w:val="both"/>
              <w:rPr>
                <w:rFonts w:hint="eastAsia" w:ascii="宋体" w:hAnsi="宋体" w:eastAsia="宋体" w:cs="宋体"/>
                <w:color w:val="auto"/>
                <w:sz w:val="21"/>
                <w:szCs w:val="21"/>
              </w:rPr>
            </w:pPr>
          </w:p>
        </w:tc>
      </w:tr>
    </w:tbl>
    <w:p w14:paraId="3DFF79A9">
      <w:pPr>
        <w:bidi w:val="0"/>
        <w:rPr>
          <w:rFonts w:hint="eastAsia"/>
          <w:color w:val="auto"/>
          <w:lang w:val="en-US" w:eastAsia="zh-CN"/>
        </w:rPr>
      </w:pPr>
      <w:r>
        <w:rPr>
          <w:rFonts w:hint="eastAsia"/>
          <w:color w:val="auto"/>
          <w:lang w:val="en-US" w:eastAsia="zh-CN"/>
        </w:rPr>
        <w:t>经核查，</w:t>
      </w:r>
      <w:r>
        <w:rPr>
          <w:rFonts w:hint="eastAsia" w:ascii="宋体" w:hAnsi="宋体" w:eastAsia="宋体" w:cs="宋体"/>
          <w:color w:val="auto"/>
          <w:szCs w:val="28"/>
          <w:lang w:val="en-US" w:eastAsia="zh-CN"/>
        </w:rPr>
        <w:t>企业证照</w:t>
      </w:r>
      <w:r>
        <w:rPr>
          <w:rFonts w:hint="eastAsia"/>
          <w:color w:val="auto"/>
          <w:lang w:val="en-US" w:eastAsia="zh-CN"/>
        </w:rPr>
        <w:t>《营业执照》、《采矿许可证》、《安全生产许可证》</w:t>
      </w:r>
      <w:r>
        <w:rPr>
          <w:rFonts w:hint="eastAsia"/>
          <w:color w:val="auto"/>
        </w:rPr>
        <w:t>矿山主要负责人</w:t>
      </w:r>
      <w:r>
        <w:rPr>
          <w:rFonts w:hint="eastAsia"/>
          <w:color w:val="auto"/>
          <w:lang w:eastAsia="zh-CN"/>
        </w:rPr>
        <w:t>、</w:t>
      </w:r>
      <w:r>
        <w:rPr>
          <w:rFonts w:hint="eastAsia"/>
          <w:color w:val="auto"/>
        </w:rPr>
        <w:t>安全管理人员</w:t>
      </w:r>
      <w:r>
        <w:rPr>
          <w:rFonts w:hint="eastAsia"/>
          <w:color w:val="auto"/>
          <w:lang w:eastAsia="zh-CN"/>
        </w:rPr>
        <w:t>、</w:t>
      </w:r>
      <w:r>
        <w:rPr>
          <w:rFonts w:hint="eastAsia"/>
          <w:color w:val="auto"/>
        </w:rPr>
        <w:t>特种作业人员</w:t>
      </w:r>
      <w:r>
        <w:rPr>
          <w:rFonts w:hint="eastAsia"/>
          <w:color w:val="auto"/>
          <w:lang w:val="en-US" w:eastAsia="zh-CN"/>
        </w:rPr>
        <w:t>考核合格证均在有效期内。</w:t>
      </w:r>
    </w:p>
    <w:p w14:paraId="41D78394">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190" w:name="_Toc2536"/>
      <w:r>
        <w:rPr>
          <w:rFonts w:hint="eastAsia" w:ascii="宋体" w:hAnsi="宋体" w:eastAsia="宋体" w:cs="宋体"/>
          <w:color w:val="auto"/>
          <w:sz w:val="28"/>
          <w:szCs w:val="28"/>
          <w:lang w:val="en-US" w:eastAsia="zh-CN"/>
        </w:rPr>
        <w:t>2.1.4 其它独立生产系统</w:t>
      </w:r>
      <w:bookmarkEnd w:id="190"/>
    </w:p>
    <w:p w14:paraId="46C805FD">
      <w:pPr>
        <w:bidi w:val="0"/>
        <w:rPr>
          <w:rFonts w:hint="eastAsia"/>
          <w:color w:val="auto"/>
          <w:lang w:val="en-US" w:eastAsia="zh-CN"/>
        </w:rPr>
      </w:pPr>
      <w:r>
        <w:rPr>
          <w:rFonts w:hint="eastAsia"/>
          <w:color w:val="auto"/>
          <w:lang w:val="en-US" w:eastAsia="zh-CN"/>
        </w:rPr>
        <w:t>江西临川鲁金矿业有限公司有1个地下开采生产系统和1个尾矿库，共2个独立系统，见表2.1-2。</w:t>
      </w:r>
    </w:p>
    <w:p w14:paraId="3C7CD1B7">
      <w:pPr>
        <w:rPr>
          <w:rFonts w:hint="eastAsia" w:ascii="宋体" w:hAnsi="宋体" w:eastAsia="宋体" w:cs="Times New Roman"/>
          <w:bCs/>
          <w:color w:val="auto"/>
          <w:sz w:val="28"/>
          <w:szCs w:val="28"/>
          <w:lang w:val="en-US" w:eastAsia="zh-CN"/>
        </w:rPr>
      </w:pPr>
      <w:r>
        <w:rPr>
          <w:rFonts w:hint="eastAsia" w:ascii="宋体" w:hAnsi="宋体" w:eastAsia="宋体" w:cs="Times New Roman"/>
          <w:bCs/>
          <w:color w:val="auto"/>
          <w:sz w:val="28"/>
          <w:szCs w:val="28"/>
          <w:lang w:val="en-US" w:eastAsia="zh-CN"/>
        </w:rPr>
        <w:br w:type="page"/>
      </w:r>
    </w:p>
    <w:p w14:paraId="628BE2A5">
      <w:pPr>
        <w:keepNext w:val="0"/>
        <w:keepLines w:val="0"/>
        <w:pageBreakBefore w:val="0"/>
        <w:widowControl w:val="0"/>
        <w:kinsoku/>
        <w:wordWrap/>
        <w:overflowPunct/>
        <w:topLinePunct w:val="0"/>
        <w:bidi w:val="0"/>
        <w:adjustRightInd/>
        <w:snapToGrid/>
        <w:spacing w:line="560" w:lineRule="exact"/>
        <w:ind w:firstLine="560" w:firstLineChars="200"/>
        <w:jc w:val="center"/>
        <w:textAlignment w:val="auto"/>
        <w:rPr>
          <w:rFonts w:hint="eastAsia" w:ascii="宋体" w:hAnsi="宋体" w:eastAsia="宋体" w:cs="宋体"/>
          <w:color w:val="auto"/>
          <w:sz w:val="28"/>
          <w:szCs w:val="28"/>
          <w:lang w:val="en-US" w:eastAsia="zh-CN"/>
        </w:rPr>
      </w:pPr>
      <w:r>
        <w:rPr>
          <w:rFonts w:hint="eastAsia" w:ascii="宋体" w:hAnsi="宋体" w:eastAsia="宋体" w:cs="Times New Roman"/>
          <w:bCs/>
          <w:color w:val="auto"/>
          <w:sz w:val="28"/>
          <w:szCs w:val="28"/>
          <w:lang w:val="en-US" w:eastAsia="zh-CN"/>
        </w:rPr>
        <w:t>表2.1-2独立系统一览表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2691"/>
        <w:gridCol w:w="1583"/>
        <w:gridCol w:w="1156"/>
        <w:gridCol w:w="1727"/>
      </w:tblGrid>
      <w:tr w14:paraId="1B04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700" w:type="dxa"/>
            <w:noWrap w:val="0"/>
            <w:vAlign w:val="center"/>
          </w:tcPr>
          <w:p w14:paraId="2F020BC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lang w:val="en-US" w:eastAsia="zh-CN"/>
              </w:rPr>
              <w:t>独立系统</w:t>
            </w:r>
          </w:p>
        </w:tc>
        <w:tc>
          <w:tcPr>
            <w:tcW w:w="2691" w:type="dxa"/>
            <w:noWrap w:val="0"/>
            <w:vAlign w:val="center"/>
          </w:tcPr>
          <w:p w14:paraId="413A486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lang w:val="en-US" w:eastAsia="zh-CN"/>
              </w:rPr>
              <w:t>设计单位</w:t>
            </w:r>
          </w:p>
        </w:tc>
        <w:tc>
          <w:tcPr>
            <w:tcW w:w="1583" w:type="dxa"/>
            <w:noWrap w:val="0"/>
            <w:vAlign w:val="center"/>
          </w:tcPr>
          <w:p w14:paraId="425072C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lang w:val="en-US" w:eastAsia="zh-CN"/>
              </w:rPr>
              <w:t>设计时间</w:t>
            </w:r>
          </w:p>
        </w:tc>
        <w:tc>
          <w:tcPr>
            <w:tcW w:w="1156" w:type="dxa"/>
            <w:noWrap w:val="0"/>
            <w:vAlign w:val="center"/>
          </w:tcPr>
          <w:p w14:paraId="2C705D9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lang w:val="en-US" w:eastAsia="zh-CN"/>
              </w:rPr>
              <w:t>数量</w:t>
            </w:r>
          </w:p>
        </w:tc>
        <w:tc>
          <w:tcPr>
            <w:tcW w:w="1727" w:type="dxa"/>
            <w:noWrap w:val="0"/>
            <w:vAlign w:val="center"/>
          </w:tcPr>
          <w:p w14:paraId="1FCA1FD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lang w:val="en-US" w:eastAsia="zh-CN"/>
              </w:rPr>
              <w:t>备注</w:t>
            </w:r>
          </w:p>
        </w:tc>
      </w:tr>
      <w:tr w14:paraId="5417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700" w:type="dxa"/>
            <w:noWrap w:val="0"/>
            <w:vAlign w:val="center"/>
          </w:tcPr>
          <w:p w14:paraId="165CF7F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lang w:val="en-US" w:eastAsia="zh-CN"/>
              </w:rPr>
              <w:t>地下矿山</w:t>
            </w:r>
          </w:p>
        </w:tc>
        <w:tc>
          <w:tcPr>
            <w:tcW w:w="2691" w:type="dxa"/>
            <w:noWrap w:val="0"/>
            <w:vAlign w:val="center"/>
          </w:tcPr>
          <w:p w14:paraId="25375AC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color w:val="auto"/>
                <w:spacing w:val="-9"/>
                <w:sz w:val="21"/>
                <w:szCs w:val="21"/>
              </w:rPr>
              <w:t>山东省烟台黄金设计研究院</w:t>
            </w:r>
          </w:p>
        </w:tc>
        <w:tc>
          <w:tcPr>
            <w:tcW w:w="1583" w:type="dxa"/>
            <w:noWrap w:val="0"/>
            <w:vAlign w:val="center"/>
          </w:tcPr>
          <w:p w14:paraId="028B840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color w:val="auto"/>
                <w:spacing w:val="-9"/>
                <w:sz w:val="21"/>
                <w:szCs w:val="21"/>
              </w:rPr>
              <w:t>2013年</w:t>
            </w:r>
            <w:r>
              <w:rPr>
                <w:rFonts w:hint="eastAsia" w:ascii="宋体" w:hAnsi="宋体" w:eastAsia="宋体" w:cs="宋体"/>
                <w:color w:val="auto"/>
                <w:spacing w:val="-9"/>
                <w:sz w:val="21"/>
                <w:szCs w:val="21"/>
                <w:lang w:val="en-US" w:eastAsia="zh-CN"/>
              </w:rPr>
              <w:t>11</w:t>
            </w:r>
            <w:r>
              <w:rPr>
                <w:rFonts w:hint="eastAsia" w:ascii="宋体" w:hAnsi="宋体" w:eastAsia="宋体" w:cs="宋体"/>
                <w:color w:val="auto"/>
                <w:spacing w:val="-9"/>
                <w:sz w:val="21"/>
                <w:szCs w:val="21"/>
              </w:rPr>
              <w:t>月</w:t>
            </w:r>
          </w:p>
        </w:tc>
        <w:tc>
          <w:tcPr>
            <w:tcW w:w="1156" w:type="dxa"/>
            <w:noWrap w:val="0"/>
            <w:vAlign w:val="center"/>
          </w:tcPr>
          <w:p w14:paraId="22078A4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1个</w:t>
            </w:r>
          </w:p>
        </w:tc>
        <w:tc>
          <w:tcPr>
            <w:tcW w:w="1727" w:type="dxa"/>
            <w:noWrap w:val="0"/>
            <w:vAlign w:val="center"/>
          </w:tcPr>
          <w:p w14:paraId="20AAF5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1"/>
                <w:szCs w:val="21"/>
                <w:vertAlign w:val="baseline"/>
                <w:lang w:val="en-US" w:eastAsia="zh-CN"/>
              </w:rPr>
            </w:pPr>
          </w:p>
        </w:tc>
      </w:tr>
      <w:tr w14:paraId="5D15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700" w:type="dxa"/>
            <w:noWrap w:val="0"/>
            <w:vAlign w:val="center"/>
          </w:tcPr>
          <w:p w14:paraId="02194BD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color w:val="auto"/>
                <w:sz w:val="21"/>
                <w:szCs w:val="21"/>
                <w:lang w:val="en-US" w:eastAsia="zh-CN"/>
              </w:rPr>
              <w:t>庄前尾矿库</w:t>
            </w:r>
          </w:p>
        </w:tc>
        <w:tc>
          <w:tcPr>
            <w:tcW w:w="2691" w:type="dxa"/>
            <w:noWrap w:val="0"/>
            <w:vAlign w:val="center"/>
          </w:tcPr>
          <w:p w14:paraId="642973E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color w:val="auto"/>
                <w:spacing w:val="-9"/>
                <w:sz w:val="21"/>
                <w:szCs w:val="21"/>
              </w:rPr>
            </w:pPr>
            <w:r>
              <w:rPr>
                <w:rFonts w:hint="eastAsia" w:ascii="宋体" w:hAnsi="宋体" w:eastAsia="宋体" w:cs="宋体"/>
                <w:color w:val="auto"/>
                <w:sz w:val="21"/>
                <w:szCs w:val="21"/>
                <w:lang w:val="en-US" w:eastAsia="zh-CN"/>
              </w:rPr>
              <w:t>金建工程设计有限公司</w:t>
            </w:r>
          </w:p>
        </w:tc>
        <w:tc>
          <w:tcPr>
            <w:tcW w:w="1583" w:type="dxa"/>
            <w:noWrap w:val="0"/>
            <w:vAlign w:val="center"/>
          </w:tcPr>
          <w:p w14:paraId="00D3892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color w:val="auto"/>
                <w:spacing w:val="-9"/>
                <w:sz w:val="21"/>
                <w:szCs w:val="21"/>
                <w:lang w:val="en-US"/>
              </w:rPr>
            </w:pPr>
            <w:r>
              <w:rPr>
                <w:rFonts w:hint="eastAsia" w:ascii="宋体" w:hAnsi="宋体" w:eastAsia="宋体" w:cs="宋体"/>
                <w:color w:val="auto"/>
                <w:sz w:val="21"/>
                <w:szCs w:val="21"/>
                <w:lang w:val="en-US" w:eastAsia="zh-CN"/>
              </w:rPr>
              <w:t>2012年12月</w:t>
            </w:r>
          </w:p>
        </w:tc>
        <w:tc>
          <w:tcPr>
            <w:tcW w:w="1156" w:type="dxa"/>
            <w:noWrap w:val="0"/>
            <w:vAlign w:val="center"/>
          </w:tcPr>
          <w:p w14:paraId="04FB763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1个</w:t>
            </w:r>
          </w:p>
        </w:tc>
        <w:tc>
          <w:tcPr>
            <w:tcW w:w="1727" w:type="dxa"/>
            <w:noWrap w:val="0"/>
            <w:vAlign w:val="center"/>
          </w:tcPr>
          <w:p w14:paraId="7AC802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1"/>
                <w:szCs w:val="21"/>
                <w:vertAlign w:val="baseline"/>
                <w:lang w:val="en-US" w:eastAsia="zh-CN"/>
              </w:rPr>
            </w:pPr>
          </w:p>
        </w:tc>
      </w:tr>
      <w:tr w14:paraId="6E7E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700" w:type="dxa"/>
            <w:noWrap w:val="0"/>
            <w:vAlign w:val="center"/>
          </w:tcPr>
          <w:p w14:paraId="2F9878E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lang w:val="en-US" w:eastAsia="zh-CN"/>
              </w:rPr>
              <w:t>合计</w:t>
            </w:r>
          </w:p>
        </w:tc>
        <w:tc>
          <w:tcPr>
            <w:tcW w:w="2691" w:type="dxa"/>
            <w:noWrap w:val="0"/>
            <w:vAlign w:val="center"/>
          </w:tcPr>
          <w:p w14:paraId="0E0ADA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1"/>
                <w:szCs w:val="21"/>
                <w:vertAlign w:val="baseline"/>
                <w:lang w:val="en-US" w:eastAsia="zh-CN"/>
              </w:rPr>
            </w:pPr>
          </w:p>
        </w:tc>
        <w:tc>
          <w:tcPr>
            <w:tcW w:w="1583" w:type="dxa"/>
            <w:noWrap w:val="0"/>
            <w:vAlign w:val="center"/>
          </w:tcPr>
          <w:p w14:paraId="419675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1"/>
                <w:szCs w:val="21"/>
                <w:vertAlign w:val="baseline"/>
                <w:lang w:val="en-US" w:eastAsia="zh-CN"/>
              </w:rPr>
            </w:pPr>
          </w:p>
        </w:tc>
        <w:tc>
          <w:tcPr>
            <w:tcW w:w="1156" w:type="dxa"/>
            <w:noWrap w:val="0"/>
            <w:vAlign w:val="center"/>
          </w:tcPr>
          <w:p w14:paraId="7527B2A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Cs/>
                <w:color w:val="auto"/>
                <w:sz w:val="21"/>
                <w:szCs w:val="21"/>
                <w:vertAlign w:val="baseline"/>
                <w:lang w:val="en-US" w:eastAsia="zh-CN"/>
              </w:rPr>
            </w:pPr>
            <w:r>
              <w:rPr>
                <w:rFonts w:hint="eastAsia" w:ascii="宋体" w:hAnsi="宋体" w:eastAsia="宋体" w:cs="宋体"/>
                <w:bCs/>
                <w:color w:val="auto"/>
                <w:sz w:val="21"/>
                <w:szCs w:val="21"/>
                <w:vertAlign w:val="baseline"/>
                <w:lang w:val="en-US" w:eastAsia="zh-CN"/>
              </w:rPr>
              <w:t>2个</w:t>
            </w:r>
          </w:p>
        </w:tc>
        <w:tc>
          <w:tcPr>
            <w:tcW w:w="1727" w:type="dxa"/>
            <w:noWrap w:val="0"/>
            <w:vAlign w:val="center"/>
          </w:tcPr>
          <w:p w14:paraId="4B6D2E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1"/>
                <w:szCs w:val="21"/>
                <w:vertAlign w:val="baseline"/>
                <w:lang w:val="en-US" w:eastAsia="zh-CN"/>
              </w:rPr>
            </w:pPr>
          </w:p>
        </w:tc>
      </w:tr>
    </w:tbl>
    <w:p w14:paraId="3EE16058">
      <w:pPr>
        <w:bidi w:val="0"/>
        <w:rPr>
          <w:rFonts w:hint="eastAsia"/>
          <w:color w:val="auto"/>
          <w:lang w:val="en-US" w:eastAsia="zh-CN"/>
        </w:rPr>
      </w:pPr>
      <w:r>
        <w:rPr>
          <w:rFonts w:hint="eastAsia"/>
          <w:color w:val="auto"/>
          <w:lang w:val="en-US" w:eastAsia="zh-CN"/>
        </w:rPr>
        <w:t>江西临川鲁金矿业有限公司庄前尾矿库尾矿坝采用一次性碾压土坝，坝顶高程为+233m，坝底标高+212m，总坝高21m，尾矿库总库容为12.02万m</w:t>
      </w:r>
      <w:r>
        <w:rPr>
          <w:rFonts w:hint="default"/>
          <w:color w:val="auto"/>
          <w:vertAlign w:val="superscript"/>
          <w:lang w:val="en-US" w:eastAsia="zh-CN"/>
        </w:rPr>
        <w:t>3</w:t>
      </w:r>
      <w:r>
        <w:rPr>
          <w:rFonts w:hint="eastAsia"/>
          <w:color w:val="auto"/>
          <w:lang w:val="en-US" w:eastAsia="zh-CN"/>
        </w:rPr>
        <w:t xml:space="preserve"> 。该尾矿库为五等库，于2024年11月取得江西省应急管理厅颁发的安全生产许可证，证书编号为(赣)FM 安许证字[2024]M1939号，有效期至2027年11月14日。</w:t>
      </w:r>
    </w:p>
    <w:p w14:paraId="3DAB24A4">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191" w:name="_Toc16204"/>
      <w:r>
        <w:rPr>
          <w:rFonts w:hint="eastAsia" w:ascii="宋体" w:hAnsi="宋体" w:eastAsia="宋体" w:cs="宋体"/>
          <w:color w:val="auto"/>
          <w:sz w:val="28"/>
          <w:szCs w:val="28"/>
          <w:lang w:val="en-US" w:eastAsia="zh-CN"/>
        </w:rPr>
        <w:t>2.1.5 矿区开采范围</w:t>
      </w:r>
      <w:bookmarkEnd w:id="191"/>
    </w:p>
    <w:p w14:paraId="1B89486A">
      <w:pPr>
        <w:bidi w:val="0"/>
        <w:rPr>
          <w:rFonts w:hint="default"/>
          <w:color w:val="auto"/>
          <w:lang w:val="en-US" w:eastAsia="zh-CN"/>
        </w:rPr>
      </w:pPr>
      <w:r>
        <w:rPr>
          <w:rFonts w:hint="eastAsia"/>
          <w:color w:val="auto"/>
          <w:lang w:val="en-US" w:eastAsia="zh-CN"/>
        </w:rPr>
        <w:t>采矿许可证证号：C3600002009104120039441，矿区面积 1.3826km</w:t>
      </w:r>
      <w:r>
        <w:rPr>
          <w:rFonts w:hint="eastAsia"/>
          <w:color w:val="auto"/>
          <w:vertAlign w:val="superscript"/>
          <w:lang w:val="en-US" w:eastAsia="zh-CN"/>
        </w:rPr>
        <w:t>2</w:t>
      </w:r>
      <w:r>
        <w:rPr>
          <w:rFonts w:hint="eastAsia"/>
          <w:color w:val="auto"/>
          <w:lang w:val="en-US" w:eastAsia="zh-CN"/>
        </w:rPr>
        <w:t>，开采深度：+470m至+40m，由4个拐点圈定。目前矿山开采范围为+270m至+320m之间的矿体。</w:t>
      </w:r>
      <w:r>
        <w:rPr>
          <w:rFonts w:hint="eastAsia"/>
          <w:color w:val="auto"/>
        </w:rPr>
        <w:t>具体见采矿境界范围见表2.1-</w:t>
      </w:r>
      <w:r>
        <w:rPr>
          <w:rFonts w:hint="eastAsia"/>
          <w:color w:val="auto"/>
          <w:lang w:val="en-US" w:eastAsia="zh-CN"/>
        </w:rPr>
        <w:t>3。</w:t>
      </w:r>
    </w:p>
    <w:p w14:paraId="3632A0DC">
      <w:pPr>
        <w:keepNext w:val="0"/>
        <w:keepLines w:val="0"/>
        <w:pageBreakBefore w:val="0"/>
        <w:widowControl/>
        <w:kinsoku/>
        <w:wordWrap/>
        <w:overflowPunct/>
        <w:topLinePunct w:val="0"/>
        <w:bidi w:val="0"/>
        <w:adjustRightInd/>
        <w:snapToGrid/>
        <w:spacing w:line="240" w:lineRule="auto"/>
        <w:ind w:firstLine="0" w:firstLineChars="0"/>
        <w:jc w:val="center"/>
        <w:textAlignment w:val="auto"/>
        <w:rPr>
          <w:rFonts w:hint="eastAsia" w:ascii="宋体" w:hAnsi="宋体" w:eastAsia="宋体" w:cs="宋体"/>
          <w:color w:val="auto"/>
          <w:szCs w:val="28"/>
          <w:lang w:val="en-US" w:eastAsia="zh-CN"/>
        </w:rPr>
      </w:pPr>
      <w:r>
        <w:rPr>
          <w:rFonts w:hint="eastAsia"/>
          <w:color w:val="auto"/>
          <w:lang w:val="en-US" w:eastAsia="zh-CN"/>
        </w:rPr>
        <w:t>表 2.1-3 矿区范围拐点坐标一览表</w:t>
      </w:r>
    </w:p>
    <w:tbl>
      <w:tblPr>
        <w:tblStyle w:val="18"/>
        <w:tblW w:w="76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75"/>
        <w:gridCol w:w="3199"/>
        <w:gridCol w:w="2765"/>
      </w:tblGrid>
      <w:tr w14:paraId="5187F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1675" w:type="dxa"/>
            <w:vMerge w:val="restart"/>
            <w:tcBorders>
              <w:top w:val="single" w:color="000000" w:sz="4" w:space="0"/>
              <w:left w:val="single" w:color="000000" w:sz="4" w:space="0"/>
              <w:right w:val="single" w:color="000000" w:sz="4" w:space="0"/>
            </w:tcBorders>
            <w:shd w:val="clear" w:color="auto" w:fill="auto"/>
            <w:vAlign w:val="center"/>
          </w:tcPr>
          <w:p w14:paraId="1EAF2072">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编号</w:t>
            </w:r>
          </w:p>
        </w:tc>
        <w:tc>
          <w:tcPr>
            <w:tcW w:w="5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77049">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2000国家大地坐标系</w:t>
            </w:r>
          </w:p>
        </w:tc>
      </w:tr>
      <w:tr w14:paraId="3860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1675" w:type="dxa"/>
            <w:vMerge w:val="continue"/>
            <w:tcBorders>
              <w:left w:val="single" w:color="000000" w:sz="4" w:space="0"/>
              <w:bottom w:val="single" w:color="000000" w:sz="4" w:space="0"/>
              <w:right w:val="single" w:color="000000" w:sz="4" w:space="0"/>
            </w:tcBorders>
            <w:shd w:val="clear" w:color="auto" w:fill="auto"/>
            <w:vAlign w:val="center"/>
          </w:tcPr>
          <w:p w14:paraId="31E09321">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center"/>
              <w:rPr>
                <w:rFonts w:hint="eastAsia" w:ascii="宋体" w:hAnsi="宋体" w:eastAsia="宋体" w:cs="宋体"/>
                <w:i w:val="0"/>
                <w:iCs w:val="0"/>
                <w:color w:val="auto"/>
                <w:sz w:val="21"/>
                <w:szCs w:val="21"/>
                <w:u w:val="none"/>
              </w:rPr>
            </w:pP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6EF4">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X</w:t>
            </w:r>
          </w:p>
        </w:tc>
        <w:tc>
          <w:tcPr>
            <w:tcW w:w="2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7B7F">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Y</w:t>
            </w:r>
          </w:p>
        </w:tc>
      </w:tr>
      <w:tr w14:paraId="1CF2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0C61">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1</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E12B">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3061757.1400</w:t>
            </w:r>
          </w:p>
        </w:tc>
        <w:tc>
          <w:tcPr>
            <w:tcW w:w="2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2B56">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39450017.6400</w:t>
            </w:r>
          </w:p>
        </w:tc>
      </w:tr>
      <w:tr w14:paraId="75ACD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742C">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2</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16E8">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3061380.1300</w:t>
            </w:r>
          </w:p>
        </w:tc>
        <w:tc>
          <w:tcPr>
            <w:tcW w:w="2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0979">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39450475.6500</w:t>
            </w:r>
          </w:p>
        </w:tc>
      </w:tr>
      <w:tr w14:paraId="4B88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37A4">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3</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6722">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3059525.1100</w:t>
            </w:r>
          </w:p>
        </w:tc>
        <w:tc>
          <w:tcPr>
            <w:tcW w:w="2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47A8">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39449255.6400</w:t>
            </w:r>
          </w:p>
        </w:tc>
      </w:tr>
      <w:tr w14:paraId="19D2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453E">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snapToGrid w:val="0"/>
                <w:color w:val="auto"/>
                <w:kern w:val="0"/>
                <w:sz w:val="21"/>
                <w:szCs w:val="21"/>
                <w:u w:val="none"/>
                <w:lang w:val="en-US" w:eastAsia="zh-CN" w:bidi="ar"/>
              </w:rPr>
              <w:t>4</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7753">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3060246.1200</w:t>
            </w:r>
          </w:p>
        </w:tc>
        <w:tc>
          <w:tcPr>
            <w:tcW w:w="2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FD3C">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snapToGrid w:val="0"/>
                <w:color w:val="auto"/>
                <w:kern w:val="0"/>
                <w:sz w:val="21"/>
                <w:szCs w:val="21"/>
                <w:u w:val="none"/>
                <w:lang w:val="en-US" w:eastAsia="zh-CN" w:bidi="ar"/>
              </w:rPr>
              <w:t>39448849.6200</w:t>
            </w:r>
          </w:p>
        </w:tc>
      </w:tr>
      <w:tr w14:paraId="0385D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jc w:val="center"/>
        </w:trPr>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9081">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标高</w:t>
            </w:r>
          </w:p>
        </w:tc>
        <w:tc>
          <w:tcPr>
            <w:tcW w:w="5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B324A">
            <w:pPr>
              <w:keepNext w:val="0"/>
              <w:keepLines w:val="0"/>
              <w:pageBreakBefore w:val="0"/>
              <w:widowControl/>
              <w:suppressLineNumbers w:val="0"/>
              <w:kinsoku w:val="0"/>
              <w:wordWrap/>
              <w:overflowPunct/>
              <w:topLinePunct w:val="0"/>
              <w:autoSpaceDE/>
              <w:autoSpaceDN/>
              <w:bidi w:val="0"/>
              <w:adjustRightInd w:val="0"/>
              <w:snapToGrid w:val="0"/>
              <w:spacing w:line="400" w:lineRule="exact"/>
              <w:ind w:firstLine="0" w:firstLineChars="0"/>
              <w:jc w:val="center"/>
              <w:textAlignment w:val="center"/>
              <w:rPr>
                <w:rFonts w:hint="default" w:ascii="宋体" w:hAnsi="宋体" w:eastAsia="宋体" w:cs="宋体"/>
                <w:i w:val="0"/>
                <w:iCs w:val="0"/>
                <w:snapToGrid w:val="0"/>
                <w:color w:val="auto"/>
                <w:kern w:val="0"/>
                <w:sz w:val="21"/>
                <w:szCs w:val="21"/>
                <w:u w:val="none"/>
                <w:lang w:val="en-US" w:eastAsia="zh-CN" w:bidi="ar"/>
              </w:rPr>
            </w:pPr>
            <w:r>
              <w:rPr>
                <w:rFonts w:hint="eastAsia" w:ascii="宋体" w:hAnsi="宋体" w:eastAsia="宋体" w:cs="宋体"/>
                <w:i w:val="0"/>
                <w:iCs w:val="0"/>
                <w:snapToGrid w:val="0"/>
                <w:color w:val="auto"/>
                <w:kern w:val="0"/>
                <w:sz w:val="21"/>
                <w:szCs w:val="21"/>
                <w:u w:val="none"/>
                <w:lang w:val="en-US" w:eastAsia="zh-CN" w:bidi="ar"/>
              </w:rPr>
              <w:t>从470米至40米</w:t>
            </w:r>
          </w:p>
        </w:tc>
      </w:tr>
    </w:tbl>
    <w:p w14:paraId="57039F46">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192" w:name="_Toc888"/>
      <w:r>
        <w:rPr>
          <w:rFonts w:hint="eastAsia" w:ascii="宋体" w:hAnsi="宋体" w:eastAsia="宋体" w:cs="宋体"/>
          <w:color w:val="auto"/>
          <w:sz w:val="28"/>
          <w:szCs w:val="28"/>
          <w:lang w:val="en-US" w:eastAsia="zh-CN"/>
        </w:rPr>
        <w:t xml:space="preserve">2.1.6 </w:t>
      </w:r>
      <w:r>
        <w:rPr>
          <w:rFonts w:hint="eastAsia" w:ascii="宋体" w:hAnsi="宋体" w:eastAsia="宋体" w:cs="宋体"/>
          <w:b/>
          <w:bCs w:val="0"/>
          <w:color w:val="auto"/>
          <w:kern w:val="0"/>
          <w:sz w:val="28"/>
          <w:szCs w:val="28"/>
          <w:lang w:val="en-US" w:eastAsia="zh-CN"/>
        </w:rPr>
        <w:t>工作制度、生产规模、</w:t>
      </w:r>
      <w:r>
        <w:rPr>
          <w:rFonts w:hint="eastAsia" w:ascii="宋体" w:hAnsi="宋体" w:eastAsia="宋体" w:cs="宋体"/>
          <w:color w:val="auto"/>
          <w:sz w:val="28"/>
          <w:szCs w:val="28"/>
          <w:lang w:val="en-US" w:eastAsia="zh-CN"/>
        </w:rPr>
        <w:t>服务年限</w:t>
      </w:r>
      <w:bookmarkEnd w:id="192"/>
    </w:p>
    <w:p w14:paraId="24ECCE28">
      <w:pPr>
        <w:bidi w:val="0"/>
        <w:rPr>
          <w:rFonts w:hint="eastAsia"/>
          <w:color w:val="auto"/>
          <w:lang w:val="en-US" w:eastAsia="zh-CN"/>
        </w:rPr>
      </w:pPr>
      <w:r>
        <w:rPr>
          <w:rFonts w:hint="eastAsia"/>
          <w:color w:val="auto"/>
          <w:lang w:val="en-US" w:eastAsia="zh-CN"/>
        </w:rPr>
        <w:t>工作制度：年工作300天，每天2班（断续生产时每日1班），每班8小时作业。</w:t>
      </w:r>
    </w:p>
    <w:p w14:paraId="2B5CF5D8">
      <w:pPr>
        <w:bidi w:val="0"/>
        <w:rPr>
          <w:rFonts w:hint="eastAsia"/>
          <w:color w:val="auto"/>
          <w:lang w:val="en-US" w:eastAsia="zh-CN"/>
        </w:rPr>
      </w:pPr>
      <w:r>
        <w:rPr>
          <w:rFonts w:hint="eastAsia"/>
          <w:color w:val="auto"/>
          <w:lang w:val="en-US" w:eastAsia="zh-CN"/>
        </w:rPr>
        <w:t>生产规模：3万t/a。</w:t>
      </w:r>
    </w:p>
    <w:p w14:paraId="78744E3A">
      <w:pPr>
        <w:bidi w:val="0"/>
        <w:rPr>
          <w:rFonts w:hint="eastAsia"/>
          <w:color w:val="auto"/>
          <w:lang w:val="en-US" w:eastAsia="zh-CN"/>
        </w:rPr>
      </w:pPr>
      <w:r>
        <w:rPr>
          <w:rFonts w:hint="eastAsia"/>
          <w:color w:val="auto"/>
          <w:lang w:val="en-US" w:eastAsia="zh-CN"/>
        </w:rPr>
        <w:t>产品方案：金矿。</w:t>
      </w:r>
    </w:p>
    <w:p w14:paraId="7B6CBA51">
      <w:pPr>
        <w:bidi w:val="0"/>
        <w:rPr>
          <w:rFonts w:hint="eastAsia"/>
          <w:color w:val="auto"/>
          <w:lang w:val="en-US" w:eastAsia="zh-CN"/>
        </w:rPr>
      </w:pPr>
      <w:r>
        <w:rPr>
          <w:rFonts w:hint="eastAsia"/>
          <w:color w:val="auto"/>
          <w:lang w:val="en-US" w:eastAsia="zh-CN"/>
        </w:rPr>
        <w:t>服务年限：9.3a。</w:t>
      </w:r>
    </w:p>
    <w:p w14:paraId="443D4391">
      <w:pPr>
        <w:pStyle w:val="4"/>
        <w:keepNext/>
        <w:keepLines/>
        <w:pageBreakBefore w:val="0"/>
        <w:widowControl/>
        <w:kinsoku w:val="0"/>
        <w:wordWrap/>
        <w:overflowPunct/>
        <w:topLinePunct w:val="0"/>
        <w:autoSpaceDE w:val="0"/>
        <w:autoSpaceDN w:val="0"/>
        <w:bidi w:val="0"/>
        <w:adjustRightInd w:val="0"/>
        <w:snapToGrid w:val="0"/>
        <w:spacing w:before="0" w:after="0"/>
        <w:textAlignment w:val="baseline"/>
        <w:rPr>
          <w:rFonts w:hint="eastAsia" w:ascii="宋体" w:hAnsi="宋体" w:eastAsia="宋体" w:cs="宋体"/>
          <w:color w:val="auto"/>
          <w:lang w:val="en-US" w:eastAsia="zh-CN"/>
        </w:rPr>
      </w:pPr>
      <w:bookmarkStart w:id="193" w:name="_Toc3737"/>
      <w:r>
        <w:rPr>
          <w:rFonts w:hint="eastAsia" w:ascii="宋体" w:hAnsi="宋体" w:eastAsia="宋体" w:cs="宋体"/>
          <w:color w:val="auto"/>
          <w:sz w:val="28"/>
          <w:szCs w:val="28"/>
          <w:lang w:val="en-US" w:eastAsia="zh-CN"/>
        </w:rPr>
        <w:t xml:space="preserve">2.1.7 </w:t>
      </w:r>
      <w:r>
        <w:rPr>
          <w:rFonts w:hint="eastAsia" w:ascii="宋体" w:hAnsi="宋体" w:eastAsia="宋体" w:cs="宋体"/>
          <w:color w:val="auto"/>
          <w:lang w:val="en-US" w:eastAsia="zh-CN"/>
        </w:rPr>
        <w:t>外包施工企业情况</w:t>
      </w:r>
      <w:bookmarkEnd w:id="193"/>
    </w:p>
    <w:p w14:paraId="6E47E30B">
      <w:pPr>
        <w:bidi w:val="0"/>
        <w:rPr>
          <w:rFonts w:hint="eastAsia"/>
          <w:color w:val="auto"/>
          <w:lang w:eastAsia="zh-CN"/>
        </w:rPr>
      </w:pPr>
      <w:r>
        <w:rPr>
          <w:rFonts w:hint="eastAsia"/>
          <w:color w:val="auto"/>
          <w:lang w:val="en-US" w:eastAsia="zh-CN"/>
        </w:rPr>
        <w:t>江西临川鲁金矿业有限公司将</w:t>
      </w:r>
      <w:r>
        <w:rPr>
          <w:rFonts w:hint="eastAsia"/>
          <w:color w:val="auto"/>
          <w:lang w:eastAsia="zh-CN"/>
        </w:rPr>
        <w:t>爆破</w:t>
      </w:r>
      <w:r>
        <w:rPr>
          <w:rFonts w:hint="eastAsia"/>
          <w:color w:val="auto"/>
          <w:lang w:val="en-US" w:eastAsia="zh-CN"/>
        </w:rPr>
        <w:t>作业外</w:t>
      </w:r>
      <w:r>
        <w:rPr>
          <w:rFonts w:hint="eastAsia"/>
          <w:color w:val="auto"/>
          <w:lang w:eastAsia="zh-CN"/>
        </w:rPr>
        <w:t>包给新余国泰爆破工程有限责任公司</w:t>
      </w:r>
      <w:r>
        <w:rPr>
          <w:rFonts w:hint="eastAsia"/>
          <w:color w:val="auto"/>
          <w:lang w:val="en-US" w:eastAsia="zh-CN"/>
        </w:rPr>
        <w:t>实施</w:t>
      </w:r>
      <w:r>
        <w:rPr>
          <w:rFonts w:hint="eastAsia"/>
          <w:color w:val="auto"/>
          <w:lang w:eastAsia="zh-CN"/>
        </w:rPr>
        <w:t>。</w:t>
      </w:r>
    </w:p>
    <w:p w14:paraId="7EACDD6A">
      <w:pPr>
        <w:bidi w:val="0"/>
        <w:rPr>
          <w:rFonts w:hint="eastAsia"/>
          <w:color w:val="auto"/>
          <w:lang w:eastAsia="zh-CN"/>
        </w:rPr>
      </w:pPr>
      <w:r>
        <w:rPr>
          <w:rFonts w:hint="eastAsia"/>
          <w:color w:val="auto"/>
          <w:lang w:val="en-US" w:eastAsia="zh-CN"/>
        </w:rPr>
        <w:t>1）</w:t>
      </w:r>
      <w:r>
        <w:rPr>
          <w:rFonts w:hint="eastAsia"/>
          <w:color w:val="auto"/>
          <w:lang w:eastAsia="zh-CN"/>
        </w:rPr>
        <w:t>营业执照</w:t>
      </w:r>
    </w:p>
    <w:p w14:paraId="66344D35">
      <w:pPr>
        <w:bidi w:val="0"/>
        <w:rPr>
          <w:rFonts w:hint="eastAsia"/>
          <w:color w:val="auto"/>
          <w:lang w:val="en-US" w:eastAsia="zh-CN"/>
        </w:rPr>
      </w:pPr>
      <w:r>
        <w:rPr>
          <w:rFonts w:hint="eastAsia"/>
          <w:color w:val="auto"/>
          <w:lang w:eastAsia="zh-CN"/>
        </w:rPr>
        <w:t>新余国泰爆破工程有限责任公司，</w:t>
      </w:r>
      <w:r>
        <w:rPr>
          <w:rFonts w:hint="eastAsia"/>
          <w:color w:val="auto"/>
        </w:rPr>
        <w:t>企业类型</w:t>
      </w:r>
      <w:r>
        <w:rPr>
          <w:rFonts w:hint="eastAsia"/>
          <w:color w:val="auto"/>
          <w:lang w:eastAsia="zh-CN"/>
        </w:rPr>
        <w:t>：</w:t>
      </w:r>
      <w:r>
        <w:rPr>
          <w:rFonts w:hint="eastAsia"/>
          <w:color w:val="auto"/>
        </w:rPr>
        <w:t>有限责任公司</w:t>
      </w:r>
      <w:r>
        <w:rPr>
          <w:rFonts w:hint="eastAsia"/>
          <w:color w:val="auto"/>
          <w:lang w:eastAsia="zh-CN"/>
        </w:rPr>
        <w:t>（</w:t>
      </w:r>
      <w:r>
        <w:rPr>
          <w:rFonts w:hint="eastAsia"/>
          <w:color w:val="auto"/>
          <w:lang w:val="en-US" w:eastAsia="zh-CN"/>
        </w:rPr>
        <w:t>非自然人投资或控股的法人独资</w:t>
      </w:r>
      <w:r>
        <w:rPr>
          <w:rFonts w:hint="eastAsia"/>
          <w:color w:val="auto"/>
          <w:lang w:eastAsia="zh-CN"/>
        </w:rPr>
        <w:t>）</w:t>
      </w:r>
      <w:r>
        <w:rPr>
          <w:rFonts w:hint="eastAsia"/>
          <w:color w:val="auto"/>
        </w:rPr>
        <w:t>，法定代表人</w:t>
      </w:r>
      <w:r>
        <w:rPr>
          <w:rFonts w:hint="eastAsia"/>
          <w:color w:val="auto"/>
          <w:lang w:eastAsia="zh-CN"/>
        </w:rPr>
        <w:t>：</w:t>
      </w:r>
      <w:r>
        <w:rPr>
          <w:rFonts w:hint="eastAsia"/>
          <w:color w:val="auto"/>
          <w:lang w:val="en-US" w:eastAsia="zh-CN"/>
        </w:rPr>
        <w:t>陈肖军</w:t>
      </w:r>
      <w:r>
        <w:rPr>
          <w:rFonts w:hint="eastAsia"/>
          <w:color w:val="auto"/>
        </w:rPr>
        <w:t>，</w:t>
      </w:r>
      <w:r>
        <w:rPr>
          <w:rFonts w:hint="eastAsia"/>
          <w:color w:val="auto"/>
          <w:lang w:val="en-US" w:eastAsia="zh-CN"/>
        </w:rPr>
        <w:t>统一社会信用代码9136050059378855XD，住所</w:t>
      </w:r>
      <w:r>
        <w:rPr>
          <w:rFonts w:hint="eastAsia"/>
          <w:color w:val="auto"/>
          <w:lang w:eastAsia="zh-CN"/>
        </w:rPr>
        <w:t>：</w:t>
      </w:r>
      <w:r>
        <w:rPr>
          <w:rFonts w:hint="eastAsia"/>
          <w:color w:val="auto"/>
        </w:rPr>
        <w:t>江西省</w:t>
      </w:r>
      <w:r>
        <w:rPr>
          <w:rFonts w:hint="eastAsia"/>
          <w:color w:val="auto"/>
          <w:lang w:val="en-US" w:eastAsia="zh-CN"/>
        </w:rPr>
        <w:t>新余</w:t>
      </w:r>
      <w:r>
        <w:rPr>
          <w:rFonts w:hint="eastAsia"/>
          <w:color w:val="auto"/>
        </w:rPr>
        <w:t>市</w:t>
      </w:r>
      <w:r>
        <w:rPr>
          <w:rFonts w:hint="eastAsia"/>
          <w:color w:val="auto"/>
          <w:lang w:val="en-US" w:eastAsia="zh-CN"/>
        </w:rPr>
        <w:t>天工南大道</w:t>
      </w:r>
      <w:r>
        <w:rPr>
          <w:rFonts w:hint="eastAsia"/>
          <w:color w:val="auto"/>
        </w:rPr>
        <w:t>，</w:t>
      </w:r>
      <w:r>
        <w:rPr>
          <w:rFonts w:hint="eastAsia"/>
          <w:color w:val="auto"/>
          <w:lang w:val="en-US" w:eastAsia="zh-CN"/>
        </w:rPr>
        <w:t>注册资本：1000万元整，</w:t>
      </w:r>
      <w:r>
        <w:rPr>
          <w:rFonts w:hint="eastAsia"/>
          <w:color w:val="auto"/>
        </w:rPr>
        <w:t>成立</w:t>
      </w:r>
      <w:r>
        <w:rPr>
          <w:rFonts w:hint="eastAsia"/>
          <w:color w:val="auto"/>
          <w:lang w:val="en-US" w:eastAsia="zh-CN"/>
        </w:rPr>
        <w:t>日期：2012年5</w:t>
      </w:r>
      <w:r>
        <w:rPr>
          <w:rFonts w:hint="eastAsia"/>
          <w:color w:val="auto"/>
        </w:rPr>
        <w:t>月2日</w:t>
      </w:r>
      <w:r>
        <w:rPr>
          <w:rFonts w:hint="eastAsia"/>
          <w:color w:val="auto"/>
          <w:lang w:eastAsia="zh-CN"/>
        </w:rPr>
        <w:t>，</w:t>
      </w:r>
      <w:r>
        <w:rPr>
          <w:rFonts w:hint="eastAsia"/>
          <w:color w:val="auto"/>
          <w:lang w:val="en-US" w:eastAsia="zh-CN"/>
        </w:rPr>
        <w:t>经营范围：许可项目：爆破作业（依法须经批准的项目，经相关部门批准后在许可有效期内方可开展经营活动，具体经营项自和许可期限以相关部门批准文件或许可证件为准）一般项目：土石方工程施工等。</w:t>
      </w:r>
    </w:p>
    <w:p w14:paraId="33907884">
      <w:pPr>
        <w:bidi w:val="0"/>
        <w:rPr>
          <w:rFonts w:hint="eastAsia"/>
          <w:color w:val="auto"/>
          <w:lang w:eastAsia="zh-CN"/>
        </w:rPr>
      </w:pPr>
      <w:r>
        <w:rPr>
          <w:rFonts w:hint="eastAsia"/>
          <w:color w:val="auto"/>
          <w:lang w:val="en-US" w:eastAsia="zh-CN"/>
        </w:rPr>
        <w:t>2）爆破作</w:t>
      </w:r>
      <w:r>
        <w:rPr>
          <w:rFonts w:hint="eastAsia"/>
          <w:color w:val="auto"/>
          <w:lang w:eastAsia="zh-CN"/>
        </w:rPr>
        <w:t>业单位许可证（</w:t>
      </w:r>
      <w:r>
        <w:rPr>
          <w:rFonts w:hint="eastAsia"/>
          <w:color w:val="auto"/>
          <w:lang w:val="en-US" w:eastAsia="zh-CN"/>
        </w:rPr>
        <w:t>营业性</w:t>
      </w:r>
      <w:r>
        <w:rPr>
          <w:rFonts w:hint="eastAsia"/>
          <w:color w:val="auto"/>
          <w:lang w:eastAsia="zh-CN"/>
        </w:rPr>
        <w:t>）</w:t>
      </w:r>
    </w:p>
    <w:p w14:paraId="6CDE068A">
      <w:pPr>
        <w:bidi w:val="0"/>
        <w:rPr>
          <w:rFonts w:hint="eastAsia"/>
          <w:color w:val="auto"/>
          <w:lang w:val="en-US" w:eastAsia="zh-CN"/>
        </w:rPr>
      </w:pPr>
      <w:r>
        <w:rPr>
          <w:rFonts w:hint="eastAsia"/>
          <w:color w:val="auto"/>
          <w:lang w:val="en-US" w:eastAsia="zh-CN"/>
        </w:rPr>
        <w:t>爆破作业单位许可证编号：</w:t>
      </w:r>
      <w:r>
        <w:rPr>
          <w:rFonts w:hint="eastAsia"/>
          <w:color w:val="auto"/>
        </w:rPr>
        <w:t>3600001300</w:t>
      </w:r>
      <w:r>
        <w:rPr>
          <w:rFonts w:hint="eastAsia"/>
          <w:color w:val="auto"/>
          <w:lang w:val="en-US" w:eastAsia="zh-CN"/>
        </w:rPr>
        <w:t>203</w:t>
      </w:r>
      <w:r>
        <w:rPr>
          <w:rFonts w:hint="eastAsia"/>
          <w:color w:val="auto"/>
        </w:rPr>
        <w:t>，</w:t>
      </w:r>
      <w:r>
        <w:rPr>
          <w:rFonts w:hint="eastAsia"/>
          <w:color w:val="auto"/>
          <w:lang w:val="en-US" w:eastAsia="zh-CN"/>
        </w:rPr>
        <w:t>企业</w:t>
      </w:r>
      <w:r>
        <w:rPr>
          <w:rFonts w:hint="eastAsia"/>
          <w:color w:val="auto"/>
          <w:lang w:eastAsia="zh-CN"/>
        </w:rPr>
        <w:t>名称：新余国泰爆破工程有限责任公司，详细地址：</w:t>
      </w:r>
      <w:r>
        <w:rPr>
          <w:rFonts w:hint="eastAsia"/>
          <w:color w:val="auto"/>
        </w:rPr>
        <w:t>江西省</w:t>
      </w:r>
      <w:r>
        <w:rPr>
          <w:rFonts w:hint="eastAsia"/>
          <w:color w:val="auto"/>
          <w:lang w:val="en-US" w:eastAsia="zh-CN"/>
        </w:rPr>
        <w:t>新余</w:t>
      </w:r>
      <w:r>
        <w:rPr>
          <w:rFonts w:hint="eastAsia"/>
          <w:color w:val="auto"/>
        </w:rPr>
        <w:t>市</w:t>
      </w:r>
      <w:r>
        <w:rPr>
          <w:rFonts w:hint="eastAsia"/>
          <w:color w:val="auto"/>
          <w:lang w:val="en-US" w:eastAsia="zh-CN"/>
        </w:rPr>
        <w:t>天工南大道</w:t>
      </w:r>
      <w:r>
        <w:rPr>
          <w:rFonts w:hint="eastAsia"/>
          <w:color w:val="auto"/>
          <w:lang w:eastAsia="zh-CN"/>
        </w:rPr>
        <w:t>，主要负责人：</w:t>
      </w:r>
      <w:r>
        <w:rPr>
          <w:rFonts w:hint="eastAsia"/>
          <w:color w:val="auto"/>
          <w:lang w:val="en-US" w:eastAsia="zh-CN"/>
        </w:rPr>
        <w:t>陈肖军</w:t>
      </w:r>
      <w:r>
        <w:rPr>
          <w:rFonts w:hint="eastAsia"/>
          <w:color w:val="auto"/>
          <w:lang w:eastAsia="zh-CN"/>
        </w:rPr>
        <w:t>，</w:t>
      </w:r>
      <w:r>
        <w:rPr>
          <w:rFonts w:hint="eastAsia"/>
          <w:color w:val="auto"/>
          <w:lang w:val="en-US" w:eastAsia="zh-CN"/>
        </w:rPr>
        <w:t>技术负责人：郭刚，资质等级：二级，从业范围：设计施工、安全评估、安全监理，有效期至：2031年4月9日，签发机关：江西省公安厅，发证日期：2026年4月2日。</w:t>
      </w:r>
    </w:p>
    <w:p w14:paraId="15BBED47">
      <w:pPr>
        <w:bidi w:val="0"/>
        <w:rPr>
          <w:rFonts w:hint="eastAsia"/>
          <w:color w:val="auto"/>
          <w:lang w:val="en-US" w:eastAsia="zh-CN"/>
        </w:rPr>
      </w:pPr>
      <w:r>
        <w:rPr>
          <w:rFonts w:hint="eastAsia"/>
          <w:color w:val="auto"/>
          <w:lang w:val="en-US" w:eastAsia="zh-CN"/>
        </w:rPr>
        <w:t>爆破工程技术人员、爆破员、安全员、保管员的爆破作业人员许可证均在有效期内。</w:t>
      </w:r>
    </w:p>
    <w:p w14:paraId="7E32A8EF">
      <w:pPr>
        <w:bidi w:val="0"/>
        <w:rPr>
          <w:rFonts w:hint="eastAsia" w:ascii="宋体" w:hAnsi="宋体" w:eastAsia="宋体" w:cs="宋体"/>
          <w:color w:val="auto"/>
          <w:lang w:eastAsia="zh-CN"/>
        </w:rPr>
      </w:pPr>
      <w:r>
        <w:rPr>
          <w:rFonts w:hint="eastAsia"/>
          <w:color w:val="auto"/>
        </w:rPr>
        <w:t>经审验</w:t>
      </w:r>
      <w:r>
        <w:rPr>
          <w:rFonts w:hint="eastAsia"/>
          <w:color w:val="auto"/>
          <w:lang w:eastAsia="zh-CN"/>
        </w:rPr>
        <w:t>，新余国泰爆破工程有限责任公司</w:t>
      </w:r>
      <w:r>
        <w:rPr>
          <w:rFonts w:hint="eastAsia"/>
          <w:color w:val="auto"/>
        </w:rPr>
        <w:t>证照齐全有效</w:t>
      </w:r>
      <w:r>
        <w:rPr>
          <w:rFonts w:hint="eastAsia" w:ascii="宋体" w:hAnsi="宋体" w:eastAsia="宋体" w:cs="宋体"/>
          <w:color w:val="auto"/>
          <w:szCs w:val="28"/>
        </w:rPr>
        <w:t>。</w:t>
      </w:r>
    </w:p>
    <w:p w14:paraId="4E1F3475">
      <w:pPr>
        <w:pStyle w:val="3"/>
        <w:rPr>
          <w:rFonts w:hint="eastAsia"/>
          <w:color w:val="auto"/>
          <w:lang w:val="en-US" w:eastAsia="zh-CN"/>
        </w:rPr>
      </w:pPr>
      <w:bookmarkStart w:id="194" w:name="_Toc6204"/>
      <w:r>
        <w:rPr>
          <w:rFonts w:hint="eastAsia"/>
          <w:color w:val="auto"/>
          <w:lang w:val="en-US" w:eastAsia="zh-CN"/>
        </w:rPr>
        <w:t xml:space="preserve">2.2 </w:t>
      </w:r>
      <w:bookmarkStart w:id="195" w:name="_Toc32246"/>
      <w:bookmarkStart w:id="196" w:name="_Toc2525"/>
      <w:bookmarkStart w:id="197" w:name="_Toc16726"/>
      <w:bookmarkStart w:id="198" w:name="_Toc29051"/>
      <w:bookmarkStart w:id="199" w:name="_Toc5356"/>
      <w:bookmarkStart w:id="200" w:name="_Toc12962"/>
      <w:r>
        <w:rPr>
          <w:rFonts w:hint="eastAsia"/>
          <w:color w:val="auto"/>
          <w:lang w:val="en-US" w:eastAsia="zh-CN"/>
        </w:rPr>
        <w:t xml:space="preserve"> 矿区行政区划 、地理位置及交通</w:t>
      </w:r>
      <w:bookmarkEnd w:id="194"/>
      <w:bookmarkEnd w:id="195"/>
      <w:bookmarkEnd w:id="196"/>
      <w:bookmarkEnd w:id="197"/>
      <w:bookmarkEnd w:id="198"/>
      <w:bookmarkEnd w:id="199"/>
      <w:bookmarkEnd w:id="200"/>
    </w:p>
    <w:p w14:paraId="0AF691C1">
      <w:pPr>
        <w:bidi w:val="0"/>
        <w:rPr>
          <w:rFonts w:hint="eastAsia"/>
          <w:color w:val="auto"/>
          <w:lang w:val="en-US" w:eastAsia="zh-CN"/>
        </w:rPr>
      </w:pPr>
      <w:r>
        <w:rPr>
          <w:rFonts w:hint="eastAsia"/>
          <w:color w:val="auto"/>
          <w:lang w:val="en-US" w:eastAsia="zh-CN"/>
        </w:rPr>
        <w:t>茅排金矿位于抚州市 162°方位直距约 40.3km 处，行政区划所在地属临川区茅排乡管辖。地理坐标为东经 116°20′40″～ 116°29′53″，北纬 28°38′37″～28°39′35″。矿区有简易公路与抚州市临川区东馆镇和南城县连接，距南城县25km，至抚州市55km，周边有福银高速、S212和S312省道，矿区位置交通方便。详见图2.2-1。</w:t>
      </w:r>
    </w:p>
    <w:p w14:paraId="18529380">
      <w:pPr>
        <w:spacing w:line="191" w:lineRule="exact"/>
        <w:rPr>
          <w:color w:val="auto"/>
        </w:rPr>
      </w:pPr>
      <w:r>
        <w:rPr>
          <w:color w:val="auto"/>
        </w:rPr>
        <w:drawing>
          <wp:anchor distT="0" distB="0" distL="114300" distR="114300" simplePos="0" relativeHeight="251669504" behindDoc="0" locked="0" layoutInCell="1" allowOverlap="1">
            <wp:simplePos x="0" y="0"/>
            <wp:positionH relativeFrom="column">
              <wp:posOffset>321310</wp:posOffset>
            </wp:positionH>
            <wp:positionV relativeFrom="paragraph">
              <wp:posOffset>135255</wp:posOffset>
            </wp:positionV>
            <wp:extent cx="4740910" cy="3369310"/>
            <wp:effectExtent l="0" t="0" r="2540" b="2540"/>
            <wp:wrapTopAndBottom/>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8"/>
                    <a:stretch>
                      <a:fillRect/>
                    </a:stretch>
                  </pic:blipFill>
                  <pic:spPr>
                    <a:xfrm>
                      <a:off x="0" y="0"/>
                      <a:ext cx="4740910" cy="3369310"/>
                    </a:xfrm>
                    <a:prstGeom prst="rect">
                      <a:avLst/>
                    </a:prstGeom>
                    <a:noFill/>
                    <a:ln>
                      <a:noFill/>
                    </a:ln>
                  </pic:spPr>
                </pic:pic>
              </a:graphicData>
            </a:graphic>
          </wp:anchor>
        </w:drawing>
      </w:r>
      <w:r>
        <w:rPr>
          <w:color w:val="auto"/>
          <w:sz w:val="21"/>
        </w:rPr>
        <mc:AlternateContent>
          <mc:Choice Requires="wps">
            <w:drawing>
              <wp:anchor distT="0" distB="0" distL="114300" distR="114300" simplePos="0" relativeHeight="251660288" behindDoc="0" locked="0" layoutInCell="1" allowOverlap="1">
                <wp:simplePos x="0" y="0"/>
                <wp:positionH relativeFrom="column">
                  <wp:posOffset>3988435</wp:posOffset>
                </wp:positionH>
                <wp:positionV relativeFrom="paragraph">
                  <wp:posOffset>199390</wp:posOffset>
                </wp:positionV>
                <wp:extent cx="476250" cy="209550"/>
                <wp:effectExtent l="0" t="0" r="0" b="0"/>
                <wp:wrapNone/>
                <wp:docPr id="13" name="矩形 13"/>
                <wp:cNvGraphicFramePr/>
                <a:graphic xmlns:a="http://schemas.openxmlformats.org/drawingml/2006/main">
                  <a:graphicData uri="http://schemas.microsoft.com/office/word/2010/wordprocessingShape">
                    <wps:wsp>
                      <wps:cNvSpPr/>
                      <wps:spPr>
                        <a:xfrm>
                          <a:off x="4888230" y="3901440"/>
                          <a:ext cx="476250" cy="209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4.05pt;margin-top:15.7pt;height:16.5pt;width:37.5pt;z-index:251660288;v-text-anchor:middle;mso-width-relative:page;mso-height-relative:page;" fillcolor="#FFFFFF [3201]" filled="t" stroked="f" coordsize="21600,21600" o:gfxdata="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qjXDzUAAAACQEAAA8AAAAAAAAAAQAgAAAAIgAAAGRycy9kb3ducmV2LnhtbFBLAQIUABQA&#10;AAAIAIdO4kBpXlDlZgIAAMEEAAAOAAAAAAAAAAEAIAAAACMBAABkcnMvZTJvRG9jLnhtbFBLBQYA&#10;AAAABgAGAFkBAAD7BQAAAAA=&#10;">
                <v:fill on="t" focussize="0,0"/>
                <v:stroke on="f" weight="2pt"/>
                <v:imagedata o:title=""/>
                <o:lock v:ext="edit" aspectratio="f"/>
              </v:rect>
            </w:pict>
          </mc:Fallback>
        </mc:AlternateContent>
      </w:r>
    </w:p>
    <w:p w14:paraId="48E63F9C">
      <w:pPr>
        <w:keepNext w:val="0"/>
        <w:keepLines w:val="0"/>
        <w:pageBreakBefore w:val="0"/>
        <w:widowControl w:val="0"/>
        <w:kinsoku/>
        <w:wordWrap/>
        <w:overflowPunct/>
        <w:topLinePunct w:val="0"/>
        <w:bidi w:val="0"/>
        <w:adjustRightInd/>
        <w:snapToGrid/>
        <w:spacing w:line="560" w:lineRule="exact"/>
        <w:ind w:firstLine="0" w:firstLineChars="0"/>
        <w:jc w:val="center"/>
        <w:textAlignment w:val="auto"/>
        <w:rPr>
          <w:rFonts w:hint="default" w:ascii="宋体" w:hAnsi="宋体" w:eastAsia="宋体" w:cs="宋体"/>
          <w:b w:val="0"/>
          <w:bCs w:val="0"/>
          <w:color w:val="auto"/>
          <w:sz w:val="28"/>
          <w:szCs w:val="28"/>
          <w:lang w:val="en-US" w:eastAsia="zh-CN"/>
        </w:rPr>
      </w:pPr>
      <w:r>
        <w:rPr>
          <w:color w:val="auto"/>
          <w:sz w:val="28"/>
        </w:rPr>
        <mc:AlternateContent>
          <mc:Choice Requires="wps">
            <w:drawing>
              <wp:anchor distT="0" distB="0" distL="114300" distR="114300" simplePos="0" relativeHeight="251668480" behindDoc="0" locked="0" layoutInCell="1" allowOverlap="1">
                <wp:simplePos x="0" y="0"/>
                <wp:positionH relativeFrom="column">
                  <wp:posOffset>2724785</wp:posOffset>
                </wp:positionH>
                <wp:positionV relativeFrom="paragraph">
                  <wp:posOffset>1867535</wp:posOffset>
                </wp:positionV>
                <wp:extent cx="1019175" cy="511175"/>
                <wp:effectExtent l="0" t="0" r="0" b="0"/>
                <wp:wrapNone/>
                <wp:docPr id="18" name="圆角矩形标注 18"/>
                <wp:cNvGraphicFramePr/>
                <a:graphic xmlns:a="http://schemas.openxmlformats.org/drawingml/2006/main">
                  <a:graphicData uri="http://schemas.microsoft.com/office/word/2010/wordprocessingShape">
                    <wps:wsp>
                      <wps:cNvSpPr/>
                      <wps:spPr>
                        <a:xfrm>
                          <a:off x="3112770" y="2751455"/>
                          <a:ext cx="1019175" cy="511175"/>
                        </a:xfrm>
                        <a:prstGeom prst="wedgeRoundRectCallout">
                          <a:avLst/>
                        </a:prstGeom>
                        <a:noFill/>
                        <a:ln w="0">
                          <a:noFill/>
                        </a:ln>
                      </wps:spPr>
                      <wps:style>
                        <a:lnRef idx="2">
                          <a:schemeClr val="accent1">
                            <a:lumMod val="75000"/>
                          </a:schemeClr>
                        </a:lnRef>
                        <a:fillRef idx="1">
                          <a:schemeClr val="accent1"/>
                        </a:fillRef>
                        <a:effectRef idx="0">
                          <a:srgbClr val="FFFFFF"/>
                        </a:effectRef>
                        <a:fontRef idx="minor">
                          <a:schemeClr val="lt1"/>
                        </a:fontRef>
                      </wps:style>
                      <wps:txbx>
                        <w:txbxContent>
                          <w:p w14:paraId="33503003">
                            <w:pPr>
                              <w:ind w:firstLine="0" w:firstLineChars="0"/>
                              <w:jc w:val="both"/>
                              <w:rPr>
                                <w:rFonts w:hint="default" w:eastAsia="宋体"/>
                                <w:b/>
                                <w:bCs/>
                                <w:sz w:val="21"/>
                                <w:szCs w:val="21"/>
                                <w:lang w:val="en-US" w:eastAsia="zh-CN"/>
                              </w:rPr>
                            </w:pPr>
                            <w:r>
                              <w:rPr>
                                <w:rFonts w:hint="eastAsia"/>
                                <w:b/>
                                <w:bCs/>
                                <w:sz w:val="21"/>
                                <w:szCs w:val="21"/>
                                <w:lang w:val="en-US" w:eastAsia="zh-CN"/>
                              </w:rPr>
                              <w:t>茅排金矿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14.55pt;margin-top:147.05pt;height:40.25pt;width:80.25pt;z-index:251668480;v-text-anchor:middle;mso-width-relative:page;mso-height-relative:page;" filled="f" stroked="f" coordsize="21600,21600" o:gfxdata="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q5anc9cAAAALAQAADwAAAAAAAAABACAAAAAi&#10;AAAAZHJzL2Rvd25yZXYueG1sUEsBAhQAFAAAAAgAh07iQDoHtad9AgAAvQQAAA4AAAAAAAAAAQAg&#10;AAAAJgEAAGRycy9lMm9Eb2MueG1sUEsFBgAAAAAGAAYAWQEAABUGAAAAAA==&#10;" adj="6300,24300,14400">
                <v:fill on="f" focussize="0,0"/>
                <v:stroke on="f" weight="0pt"/>
                <v:imagedata o:title=""/>
                <o:lock v:ext="edit" aspectratio="f"/>
                <v:textbox>
                  <w:txbxContent>
                    <w:p w14:paraId="33503003">
                      <w:pPr>
                        <w:ind w:firstLine="0" w:firstLineChars="0"/>
                        <w:jc w:val="both"/>
                        <w:rPr>
                          <w:rFonts w:hint="default" w:eastAsia="宋体"/>
                          <w:b/>
                          <w:bCs/>
                          <w:sz w:val="21"/>
                          <w:szCs w:val="21"/>
                          <w:lang w:val="en-US" w:eastAsia="zh-CN"/>
                        </w:rPr>
                      </w:pPr>
                      <w:r>
                        <w:rPr>
                          <w:rFonts w:hint="eastAsia"/>
                          <w:b/>
                          <w:bCs/>
                          <w:sz w:val="21"/>
                          <w:szCs w:val="21"/>
                          <w:lang w:val="en-US" w:eastAsia="zh-CN"/>
                        </w:rPr>
                        <w:t>茅排金矿</w:t>
                      </w:r>
                    </w:p>
                  </w:txbxContent>
                </v:textbox>
              </v:shape>
            </w:pict>
          </mc:Fallback>
        </mc:AlternateContent>
      </w:r>
      <w:r>
        <w:rPr>
          <w:rFonts w:hint="eastAsia" w:ascii="宋体" w:hAnsi="宋体" w:eastAsia="宋体" w:cs="宋体"/>
          <w:b w:val="0"/>
          <w:bCs w:val="0"/>
          <w:color w:val="auto"/>
          <w:sz w:val="28"/>
          <w:szCs w:val="28"/>
          <w:lang w:val="en-US" w:eastAsia="zh-CN"/>
        </w:rPr>
        <w:t>图2-1  矿区交通位置图</w:t>
      </w:r>
    </w:p>
    <w:p w14:paraId="13637766">
      <w:pPr>
        <w:spacing w:line="14" w:lineRule="auto"/>
        <w:rPr>
          <w:color w:val="auto"/>
        </w:rPr>
      </w:pPr>
    </w:p>
    <w:p w14:paraId="02E7D172">
      <w:pPr>
        <w:spacing w:line="14" w:lineRule="auto"/>
        <w:rPr>
          <w:color w:val="auto"/>
        </w:rPr>
      </w:pPr>
    </w:p>
    <w:p w14:paraId="6D6C7EFE">
      <w:pPr>
        <w:spacing w:line="14" w:lineRule="auto"/>
        <w:rPr>
          <w:color w:val="auto"/>
        </w:rPr>
      </w:pPr>
    </w:p>
    <w:p w14:paraId="2668792C">
      <w:pPr>
        <w:spacing w:line="14" w:lineRule="auto"/>
        <w:rPr>
          <w:rFonts w:hint="eastAsia" w:ascii="宋体" w:hAnsi="宋体" w:eastAsia="宋体" w:cs="宋体"/>
          <w:b/>
          <w:bCs/>
          <w:color w:val="auto"/>
          <w:sz w:val="28"/>
          <w:szCs w:val="28"/>
        </w:rPr>
      </w:pPr>
      <w:r>
        <w:rPr>
          <w:color w:val="auto"/>
          <w:sz w:val="2"/>
        </w:rPr>
        <mc:AlternateContent>
          <mc:Choice Requires="wps">
            <w:drawing>
              <wp:anchor distT="0" distB="0" distL="114300" distR="114300" simplePos="0" relativeHeight="251659264" behindDoc="0" locked="0" layoutInCell="1" allowOverlap="1">
                <wp:simplePos x="0" y="0"/>
                <wp:positionH relativeFrom="column">
                  <wp:posOffset>4106545</wp:posOffset>
                </wp:positionH>
                <wp:positionV relativeFrom="paragraph">
                  <wp:posOffset>-23495</wp:posOffset>
                </wp:positionV>
                <wp:extent cx="523875" cy="247650"/>
                <wp:effectExtent l="0" t="0" r="9525" b="0"/>
                <wp:wrapNone/>
                <wp:docPr id="11" name="矩形 11"/>
                <wp:cNvGraphicFramePr/>
                <a:graphic xmlns:a="http://schemas.openxmlformats.org/drawingml/2006/main">
                  <a:graphicData uri="http://schemas.microsoft.com/office/word/2010/wordprocessingShape">
                    <wps:wsp>
                      <wps:cNvSpPr/>
                      <wps:spPr>
                        <a:xfrm>
                          <a:off x="5006340" y="876300"/>
                          <a:ext cx="523875" cy="2476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3.35pt;margin-top:-1.85pt;height:19.5pt;width:41.25pt;z-index:251659264;v-text-anchor:middle;mso-width-relative:page;mso-height-relative:page;" fillcolor="#FFFFFF [3201]" filled="t" stroked="f" coordsize="21600,21600" o:gfxdata="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SFPhtYAAAAJAQAADwAAAAAAAAABACAAAAAiAAAAZHJzL2Rvd25yZXYueG1sUEsBAhQA&#10;FAAAAAgAh07iQG+CIx9mAgAAwAQAAA4AAAAAAAAAAQAgAAAAJQEAAGRycy9lMm9Eb2MueG1sUEsF&#10;BgAAAAAGAAYAWQEAAP0FAAAAAA==&#10;">
                <v:fill on="t" focussize="0,0"/>
                <v:stroke on="f" weight="2pt"/>
                <v:imagedata o:title=""/>
                <o:lock v:ext="edit" aspectratio="f"/>
              </v:rect>
            </w:pict>
          </mc:Fallback>
        </mc:AlternateContent>
      </w:r>
    </w:p>
    <w:p w14:paraId="02A3B246">
      <w:pPr>
        <w:pStyle w:val="3"/>
        <w:rPr>
          <w:rFonts w:hint="eastAsia"/>
          <w:color w:val="auto"/>
          <w:lang w:val="en-US" w:eastAsia="zh-CN"/>
        </w:rPr>
      </w:pPr>
      <w:bookmarkStart w:id="201" w:name="_Toc32610"/>
      <w:bookmarkStart w:id="202" w:name="_Toc18693"/>
      <w:bookmarkStart w:id="203" w:name="_Toc7777"/>
      <w:bookmarkStart w:id="204" w:name="_Toc4461"/>
      <w:bookmarkStart w:id="205" w:name="_Toc9332"/>
      <w:bookmarkStart w:id="206" w:name="_Toc31629"/>
      <w:bookmarkStart w:id="207" w:name="_Toc16083"/>
      <w:r>
        <w:rPr>
          <w:rFonts w:hint="eastAsia"/>
          <w:color w:val="auto"/>
          <w:lang w:val="en-US" w:eastAsia="zh-CN"/>
        </w:rPr>
        <w:t>2.3 周边环境</w:t>
      </w:r>
      <w:bookmarkEnd w:id="201"/>
      <w:bookmarkEnd w:id="202"/>
      <w:bookmarkEnd w:id="203"/>
      <w:bookmarkEnd w:id="204"/>
      <w:bookmarkEnd w:id="205"/>
      <w:bookmarkEnd w:id="206"/>
      <w:bookmarkEnd w:id="207"/>
    </w:p>
    <w:p w14:paraId="0C70A790">
      <w:pPr>
        <w:bidi w:val="0"/>
        <w:rPr>
          <w:rFonts w:hint="eastAsia"/>
          <w:color w:val="auto"/>
          <w:lang w:val="en-US" w:eastAsia="zh-CN"/>
        </w:rPr>
      </w:pPr>
      <w:r>
        <w:rPr>
          <w:rFonts w:hint="eastAsia"/>
          <w:color w:val="auto"/>
          <w:lang w:val="en-US" w:eastAsia="zh-CN"/>
        </w:rPr>
        <w:t>矿区处于低山丘陵地区，自然生态环境较好，矿区附近及周边人烟较少，1km范围内除有少量农田耕地外，无群集民居、河流、水库，无省级及以上公路、铁路、风景区、重要工农业设施、名胜古迹以及其他需要保护的对象。地下开采岩石移动线范围内和排土场下游等危险区域内无居民、建构筑物、设备设施等。矿区西侧200m有临川区877县道通过。</w:t>
      </w:r>
    </w:p>
    <w:p w14:paraId="5D2CEBF7">
      <w:pPr>
        <w:bidi w:val="0"/>
        <w:rPr>
          <w:rFonts w:hint="eastAsia"/>
          <w:color w:val="auto"/>
          <w:lang w:val="en-US" w:eastAsia="zh-CN"/>
        </w:rPr>
      </w:pPr>
      <w:r>
        <w:rPr>
          <w:rFonts w:hint="eastAsia"/>
          <w:color w:val="auto"/>
        </w:rPr>
        <w:t>矿区周边有临川区螺丝洞铜多金属矿普查区域和南城县徐坊金矿</w:t>
      </w:r>
      <w:r>
        <w:rPr>
          <w:rFonts w:hint="eastAsia"/>
          <w:color w:val="auto"/>
          <w:lang w:eastAsia="zh-CN"/>
        </w:rPr>
        <w:t>，</w:t>
      </w:r>
      <w:r>
        <w:rPr>
          <w:rFonts w:hint="eastAsia"/>
          <w:color w:val="auto"/>
        </w:rPr>
        <w:t>其中，具有采矿权的仅南城县徐坊金矿，该矿自2013年起处于停产状态，至今仍未复工复产，因此无法获得徐坊金矿更多的相关资料</w:t>
      </w:r>
      <w:r>
        <w:rPr>
          <w:rFonts w:hint="eastAsia"/>
          <w:color w:val="auto"/>
          <w:lang w:eastAsia="zh-CN"/>
        </w:rPr>
        <w:t>。</w:t>
      </w:r>
      <w:r>
        <w:rPr>
          <w:rFonts w:hint="eastAsia"/>
          <w:color w:val="auto"/>
          <w:lang w:val="en-US" w:eastAsia="zh-CN"/>
        </w:rPr>
        <w:t>根据</w:t>
      </w:r>
      <w:r>
        <w:rPr>
          <w:rFonts w:hint="eastAsia"/>
          <w:color w:val="auto"/>
        </w:rPr>
        <w:t>江西普瑞智工程技术有限公司</w:t>
      </w:r>
      <w:r>
        <w:rPr>
          <w:rFonts w:hint="eastAsia"/>
          <w:color w:val="auto"/>
          <w:lang w:val="en-US" w:eastAsia="zh-CN"/>
        </w:rPr>
        <w:t>和</w:t>
      </w:r>
      <w:r>
        <w:rPr>
          <w:rFonts w:hint="eastAsia"/>
          <w:color w:val="auto"/>
        </w:rPr>
        <w:t>江西省勘察设计研究院有限公司</w:t>
      </w:r>
      <w:r>
        <w:rPr>
          <w:rFonts w:hint="eastAsia"/>
          <w:color w:val="auto"/>
          <w:lang w:val="en-US" w:eastAsia="zh-CN"/>
        </w:rPr>
        <w:t>2024年3月编制的《</w:t>
      </w:r>
      <w:r>
        <w:rPr>
          <w:rFonts w:hint="eastAsia"/>
          <w:color w:val="auto"/>
        </w:rPr>
        <w:t>江西临川鲁金矿业有限公司茅排金矿隐蔽致灾因素普查治理报告</w:t>
      </w:r>
      <w:r>
        <w:rPr>
          <w:rFonts w:hint="eastAsia"/>
          <w:color w:val="auto"/>
          <w:lang w:val="en-US" w:eastAsia="zh-CN"/>
        </w:rPr>
        <w:t>》，</w:t>
      </w:r>
      <w:r>
        <w:rPr>
          <w:rFonts w:hint="eastAsia"/>
          <w:color w:val="auto"/>
        </w:rPr>
        <w:t>茅排金矿的地表岩石移动界线与徐坊金矿采矿权范围线对比，直线距离最近可达195m，可推测两座矿山的地表岩石移动范围界限相距大于195m</w:t>
      </w:r>
      <w:r>
        <w:rPr>
          <w:rFonts w:hint="eastAsia"/>
          <w:color w:val="auto"/>
          <w:lang w:eastAsia="zh-CN"/>
        </w:rPr>
        <w:t>，经</w:t>
      </w:r>
      <w:r>
        <w:rPr>
          <w:rFonts w:hint="eastAsia"/>
          <w:color w:val="auto"/>
          <w:lang w:val="en-US" w:eastAsia="zh-CN"/>
        </w:rPr>
        <w:t>现场检查，两矿无巷道贯通</w:t>
      </w:r>
      <w:r>
        <w:rPr>
          <w:rFonts w:hint="eastAsia"/>
          <w:color w:val="auto"/>
        </w:rPr>
        <w:t>；由此，可基本认为本矿山的开采与徐坊金矿的开采活动基本无安全影响；另外，若考虑两者同时开采的影响情况则需展开相关论证。徐坊金矿采矿权范围与本矿山地表岩石移动范围位置关系如下图</w:t>
      </w:r>
      <w:r>
        <w:rPr>
          <w:rFonts w:hint="eastAsia"/>
          <w:color w:val="auto"/>
          <w:lang w:val="en-US" w:eastAsia="zh-CN"/>
        </w:rPr>
        <w:t>2.3</w:t>
      </w:r>
      <w:r>
        <w:rPr>
          <w:rFonts w:hint="eastAsia"/>
          <w:color w:val="auto"/>
        </w:rPr>
        <w:t>-</w:t>
      </w:r>
      <w:r>
        <w:rPr>
          <w:rFonts w:hint="eastAsia"/>
          <w:color w:val="auto"/>
          <w:lang w:val="en-US" w:eastAsia="zh-CN"/>
        </w:rPr>
        <w:t>1</w:t>
      </w:r>
      <w:r>
        <w:rPr>
          <w:rFonts w:hint="eastAsia"/>
          <w:color w:val="auto"/>
        </w:rPr>
        <w:t>。</w:t>
      </w:r>
    </w:p>
    <w:p w14:paraId="3CCE2BC0">
      <w:pPr>
        <w:pStyle w:val="26"/>
        <w:jc w:val="center"/>
        <w:rPr>
          <w:rFonts w:hint="eastAsia" w:ascii="宋体" w:hAnsi="宋体" w:cs="宋体"/>
          <w:b w:val="0"/>
          <w:color w:val="auto"/>
          <w:sz w:val="28"/>
          <w:szCs w:val="28"/>
        </w:rPr>
      </w:pPr>
      <w:r>
        <w:rPr>
          <w:color w:val="auto"/>
        </w:rPr>
        <w:drawing>
          <wp:anchor distT="0" distB="0" distL="114300" distR="114300" simplePos="0" relativeHeight="251670528" behindDoc="0" locked="0" layoutInCell="1" allowOverlap="1">
            <wp:simplePos x="0" y="0"/>
            <wp:positionH relativeFrom="column">
              <wp:posOffset>50800</wp:posOffset>
            </wp:positionH>
            <wp:positionV relativeFrom="paragraph">
              <wp:posOffset>106045</wp:posOffset>
            </wp:positionV>
            <wp:extent cx="5756275" cy="2163445"/>
            <wp:effectExtent l="0" t="0" r="4445" b="635"/>
            <wp:wrapTopAndBottom/>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9"/>
                    <a:stretch>
                      <a:fillRect/>
                    </a:stretch>
                  </pic:blipFill>
                  <pic:spPr>
                    <a:xfrm>
                      <a:off x="0" y="0"/>
                      <a:ext cx="5756275" cy="2163445"/>
                    </a:xfrm>
                    <a:prstGeom prst="rect">
                      <a:avLst/>
                    </a:prstGeom>
                    <a:noFill/>
                    <a:ln>
                      <a:noFill/>
                    </a:ln>
                  </pic:spPr>
                </pic:pic>
              </a:graphicData>
            </a:graphic>
          </wp:anchor>
        </w:drawing>
      </w:r>
      <w:r>
        <w:rPr>
          <w:rFonts w:hint="eastAsia" w:ascii="宋体" w:hAnsi="宋体" w:cs="宋体"/>
          <w:b w:val="0"/>
          <w:color w:val="auto"/>
          <w:sz w:val="28"/>
          <w:szCs w:val="28"/>
        </w:rPr>
        <w:t>图</w:t>
      </w:r>
      <w:r>
        <w:rPr>
          <w:rFonts w:hint="eastAsia" w:ascii="宋体" w:hAnsi="宋体" w:cs="宋体"/>
          <w:b w:val="0"/>
          <w:color w:val="auto"/>
          <w:sz w:val="28"/>
          <w:szCs w:val="28"/>
          <w:lang w:val="en-US" w:eastAsia="zh-CN"/>
        </w:rPr>
        <w:t>2.3-1</w:t>
      </w:r>
      <w:r>
        <w:rPr>
          <w:rFonts w:hint="eastAsia" w:ascii="宋体" w:hAnsi="宋体" w:cs="宋体"/>
          <w:b w:val="0"/>
          <w:color w:val="auto"/>
          <w:sz w:val="28"/>
          <w:szCs w:val="28"/>
        </w:rPr>
        <w:t xml:space="preserve"> 茅排金矿与徐坊金矿位置关系示意图</w:t>
      </w:r>
    </w:p>
    <w:p w14:paraId="4AD5B82C">
      <w:pPr>
        <w:pStyle w:val="3"/>
        <w:rPr>
          <w:rFonts w:hint="eastAsia"/>
          <w:color w:val="auto"/>
          <w:lang w:val="en-US" w:eastAsia="zh-CN"/>
        </w:rPr>
      </w:pPr>
      <w:bookmarkStart w:id="208" w:name="_Toc29256"/>
      <w:bookmarkStart w:id="209" w:name="_Toc28862"/>
      <w:bookmarkStart w:id="210" w:name="_Toc28193"/>
      <w:bookmarkStart w:id="211" w:name="_Toc15166"/>
      <w:bookmarkStart w:id="212" w:name="_Toc32073"/>
      <w:bookmarkStart w:id="213" w:name="_Toc16874"/>
      <w:bookmarkStart w:id="214" w:name="_Toc17879"/>
      <w:bookmarkStart w:id="215" w:name="_Toc19382"/>
      <w:bookmarkStart w:id="216" w:name="_Toc23893"/>
      <w:r>
        <w:rPr>
          <w:rFonts w:hint="eastAsia"/>
          <w:color w:val="auto"/>
          <w:lang w:val="en-US" w:eastAsia="zh-CN"/>
        </w:rPr>
        <w:t>2.4 自然环境概况</w:t>
      </w:r>
      <w:bookmarkEnd w:id="208"/>
      <w:bookmarkEnd w:id="209"/>
      <w:bookmarkEnd w:id="210"/>
      <w:bookmarkEnd w:id="211"/>
      <w:bookmarkEnd w:id="212"/>
      <w:bookmarkEnd w:id="213"/>
      <w:bookmarkEnd w:id="214"/>
      <w:bookmarkEnd w:id="215"/>
      <w:bookmarkEnd w:id="216"/>
    </w:p>
    <w:p w14:paraId="06CE9F19">
      <w:pPr>
        <w:bidi w:val="0"/>
        <w:rPr>
          <w:rFonts w:hint="eastAsia"/>
          <w:color w:val="auto"/>
          <w:lang w:val="en-US" w:eastAsia="zh-CN"/>
        </w:rPr>
      </w:pPr>
      <w:r>
        <w:rPr>
          <w:rFonts w:hint="eastAsia"/>
          <w:color w:val="auto"/>
          <w:lang w:val="en-US" w:eastAsia="zh-CN"/>
        </w:rPr>
        <w:t>矿区属低山丘陵区，海拔+160m～+474.9m，相对高差315m，地势陡峻。矿床位于抚河上游盱江西岸，以盱江为主干，水系发育，盱江历年最大流量4410m</w:t>
      </w:r>
      <w:r>
        <w:rPr>
          <w:rFonts w:hint="default"/>
          <w:color w:val="auto"/>
          <w:lang w:val="en-US" w:eastAsia="zh-CN"/>
        </w:rPr>
        <w:t>³</w:t>
      </w:r>
      <w:r>
        <w:rPr>
          <w:rFonts w:hint="eastAsia"/>
          <w:color w:val="auto"/>
          <w:lang w:val="en-US" w:eastAsia="zh-CN"/>
        </w:rPr>
        <w:t>/s，最小流量 4.2m</w:t>
      </w:r>
      <w:r>
        <w:rPr>
          <w:rFonts w:hint="default"/>
          <w:color w:val="auto"/>
          <w:lang w:val="en-US" w:eastAsia="zh-CN"/>
        </w:rPr>
        <w:t>³</w:t>
      </w:r>
      <w:r>
        <w:rPr>
          <w:rFonts w:hint="eastAsia"/>
          <w:color w:val="auto"/>
          <w:lang w:val="en-US" w:eastAsia="zh-CN"/>
        </w:rPr>
        <w:t>/s，平均流量145.30m</w:t>
      </w:r>
      <w:r>
        <w:rPr>
          <w:rFonts w:hint="default"/>
          <w:color w:val="auto"/>
          <w:lang w:val="en-US" w:eastAsia="zh-CN"/>
        </w:rPr>
        <w:t>³</w:t>
      </w:r>
      <w:r>
        <w:rPr>
          <w:rFonts w:hint="eastAsia"/>
          <w:color w:val="auto"/>
          <w:lang w:val="en-US" w:eastAsia="zh-CN"/>
        </w:rPr>
        <w:t>/s，最高洪水水位+69.97m。矿床位于地表分水岭处，大气降水为地表水、地下水主要补给源，地下水在山脚或沟谷低洼部位，多以泉水形式出露地表，向东向西分别汇入茅排小溪和梨溪。</w:t>
      </w:r>
      <w:r>
        <w:rPr>
          <w:rFonts w:hint="eastAsia"/>
          <w:color w:val="auto"/>
        </w:rPr>
        <w:t>当地最低侵蚀基准面位于茅排溪入抚河（盱江）口处（岳口），</w:t>
      </w:r>
      <w:r>
        <w:rPr>
          <w:rFonts w:hint="eastAsia"/>
          <w:color w:val="auto"/>
          <w:lang w:val="en-US" w:eastAsia="zh-CN"/>
        </w:rPr>
        <w:t>与矿区水平距离约6.6Km，</w:t>
      </w:r>
      <w:r>
        <w:rPr>
          <w:rFonts w:hint="eastAsia"/>
          <w:color w:val="auto"/>
        </w:rPr>
        <w:t>绝对标高</w:t>
      </w:r>
      <w:r>
        <w:rPr>
          <w:rFonts w:hint="eastAsia"/>
          <w:color w:val="auto"/>
          <w:lang w:val="en-US" w:eastAsia="zh-CN"/>
        </w:rPr>
        <w:t>+</w:t>
      </w:r>
      <w:r>
        <w:rPr>
          <w:rFonts w:hint="eastAsia"/>
          <w:color w:val="auto"/>
        </w:rPr>
        <w:t>65m。</w:t>
      </w:r>
    </w:p>
    <w:p w14:paraId="7D6B7F99">
      <w:pPr>
        <w:bidi w:val="0"/>
        <w:rPr>
          <w:rFonts w:hint="eastAsia"/>
          <w:color w:val="auto"/>
          <w:lang w:val="en-US" w:eastAsia="zh-CN"/>
        </w:rPr>
      </w:pPr>
      <w:r>
        <w:rPr>
          <w:rFonts w:hint="eastAsia"/>
          <w:color w:val="auto"/>
          <w:lang w:val="en-US" w:eastAsia="zh-CN"/>
        </w:rPr>
        <w:t>矿区属亚热带季风湿热带多雨气候，年均气温18°-21℃，历年最大降雨量2189.8mm，最小降雨量903.4mm，年均降雨1605.6mm，年均蒸发量1552.7mm。每年3-6月为丰水期，10月至来年1月为枯水期，结冰期为12月至来年1月，历年冻结最大深度0.022m。</w:t>
      </w:r>
    </w:p>
    <w:p w14:paraId="5939BEC7">
      <w:pPr>
        <w:bidi w:val="0"/>
        <w:rPr>
          <w:rFonts w:hint="eastAsia"/>
          <w:color w:val="auto"/>
          <w:lang w:val="en-US" w:eastAsia="zh-CN"/>
        </w:rPr>
      </w:pPr>
      <w:r>
        <w:rPr>
          <w:rFonts w:hint="eastAsia"/>
          <w:color w:val="auto"/>
          <w:lang w:val="en-US" w:eastAsia="zh-CN"/>
        </w:rPr>
        <w:t>区内矿产除砂金、岩金矿外，尚有煤矿、铀矿。上村保、泽家两溪流水质好，水量丰富。区内森林茂盛，生产竹木。</w:t>
      </w:r>
    </w:p>
    <w:p w14:paraId="4AFED975">
      <w:pPr>
        <w:pStyle w:val="3"/>
        <w:spacing w:before="0" w:after="0" w:line="240" w:lineRule="auto"/>
        <w:rPr>
          <w:rFonts w:hint="default"/>
          <w:color w:val="auto"/>
        </w:rPr>
      </w:pPr>
      <w:bookmarkStart w:id="217" w:name="_Toc26683"/>
      <w:bookmarkStart w:id="218" w:name="_Toc2875"/>
      <w:r>
        <w:rPr>
          <w:rFonts w:hint="default"/>
          <w:color w:val="auto"/>
        </w:rPr>
        <w:t>2.</w:t>
      </w:r>
      <w:r>
        <w:rPr>
          <w:rFonts w:hint="eastAsia"/>
          <w:color w:val="auto"/>
          <w:lang w:val="en-US" w:eastAsia="zh-CN"/>
        </w:rPr>
        <w:t>5</w:t>
      </w:r>
      <w:r>
        <w:rPr>
          <w:rFonts w:hint="default"/>
          <w:color w:val="auto"/>
          <w:lang w:val="en-US" w:eastAsia="zh-CN"/>
        </w:rPr>
        <w:t xml:space="preserve"> </w:t>
      </w:r>
      <w:r>
        <w:rPr>
          <w:rFonts w:hint="default"/>
          <w:color w:val="auto"/>
        </w:rPr>
        <w:t>地震烈度</w:t>
      </w:r>
      <w:bookmarkEnd w:id="217"/>
      <w:bookmarkEnd w:id="218"/>
    </w:p>
    <w:p w14:paraId="547451F9">
      <w:pPr>
        <w:bidi w:val="0"/>
        <w:rPr>
          <w:rFonts w:hint="default"/>
          <w:color w:val="auto"/>
          <w:lang w:val="en-US"/>
        </w:rPr>
      </w:pPr>
      <w:r>
        <w:rPr>
          <w:rFonts w:hint="eastAsia"/>
          <w:color w:val="auto"/>
          <w:lang w:val="en-US" w:eastAsia="zh-CN"/>
        </w:rPr>
        <w:t>矿区及附近地区没有地震活动的记载，按《中国地震烈度区划图》</w:t>
      </w:r>
      <w:r>
        <w:rPr>
          <w:rFonts w:hint="eastAsia"/>
          <w:color w:val="auto"/>
        </w:rPr>
        <w:t>(GB50007-2015)</w:t>
      </w:r>
      <w:r>
        <w:rPr>
          <w:rFonts w:hint="eastAsia"/>
          <w:color w:val="auto"/>
          <w:lang w:val="en-US" w:eastAsia="zh-CN"/>
        </w:rPr>
        <w:t>和《中国地震动参数区划图》，区域地震烈度6度，地震动峰值加速度0.05g，属于区域稳定性较好的地区。</w:t>
      </w:r>
    </w:p>
    <w:p w14:paraId="1FEBD951">
      <w:pPr>
        <w:pStyle w:val="3"/>
        <w:rPr>
          <w:rFonts w:hint="eastAsia"/>
          <w:color w:val="auto"/>
          <w:lang w:val="en-US" w:eastAsia="zh-CN"/>
        </w:rPr>
      </w:pPr>
      <w:bookmarkStart w:id="219" w:name="_Toc20334"/>
      <w:bookmarkStart w:id="220" w:name="_Toc2085"/>
      <w:bookmarkStart w:id="221" w:name="_Toc2901"/>
      <w:bookmarkStart w:id="222" w:name="_Toc18508"/>
      <w:bookmarkStart w:id="223" w:name="_Toc7080"/>
      <w:bookmarkStart w:id="224" w:name="_Toc22151"/>
      <w:bookmarkStart w:id="225" w:name="_Toc8361"/>
      <w:bookmarkStart w:id="226" w:name="_Toc19775"/>
      <w:bookmarkStart w:id="227" w:name="_Toc31799"/>
      <w:r>
        <w:rPr>
          <w:rFonts w:hint="eastAsia"/>
          <w:color w:val="auto"/>
          <w:lang w:val="en-US" w:eastAsia="zh-CN"/>
        </w:rPr>
        <w:t>2.6 矿山地质概况</w:t>
      </w:r>
      <w:bookmarkEnd w:id="219"/>
      <w:bookmarkEnd w:id="220"/>
      <w:bookmarkEnd w:id="221"/>
      <w:bookmarkEnd w:id="222"/>
      <w:bookmarkEnd w:id="223"/>
      <w:bookmarkEnd w:id="224"/>
      <w:bookmarkEnd w:id="225"/>
      <w:bookmarkEnd w:id="226"/>
      <w:bookmarkEnd w:id="227"/>
    </w:p>
    <w:p w14:paraId="66775517">
      <w:pPr>
        <w:pStyle w:val="4"/>
        <w:keepNext w:val="0"/>
        <w:keepLines w:val="0"/>
        <w:pageBreakBefore w:val="0"/>
        <w:widowControl/>
        <w:kinsoku/>
        <w:wordWrap/>
        <w:overflowPunct/>
        <w:topLinePunct w:val="0"/>
        <w:autoSpaceDE/>
        <w:autoSpaceDN/>
        <w:bidi w:val="0"/>
        <w:adjustRightInd/>
        <w:snapToGrid/>
        <w:spacing w:before="0" w:after="0" w:line="560" w:lineRule="exact"/>
        <w:textAlignment w:val="auto"/>
        <w:rPr>
          <w:rFonts w:hint="eastAsia"/>
          <w:color w:val="auto"/>
          <w:lang w:val="en-US" w:eastAsia="zh-CN"/>
        </w:rPr>
      </w:pPr>
      <w:bookmarkStart w:id="228" w:name="_Toc15540"/>
      <w:bookmarkStart w:id="229" w:name="_Toc26312"/>
      <w:bookmarkStart w:id="230" w:name="_Toc32559"/>
      <w:bookmarkStart w:id="231" w:name="_Toc8382"/>
      <w:bookmarkStart w:id="232" w:name="_Toc5821"/>
      <w:bookmarkStart w:id="233" w:name="_Toc5935"/>
      <w:bookmarkStart w:id="234" w:name="_Toc29544"/>
      <w:r>
        <w:rPr>
          <w:rFonts w:hint="eastAsia"/>
          <w:color w:val="auto"/>
          <w:lang w:val="en-US" w:eastAsia="zh-CN"/>
        </w:rPr>
        <w:t>2.6.1 矿区地质概况</w:t>
      </w:r>
      <w:bookmarkEnd w:id="228"/>
      <w:bookmarkEnd w:id="229"/>
      <w:bookmarkEnd w:id="230"/>
      <w:bookmarkEnd w:id="231"/>
      <w:bookmarkEnd w:id="232"/>
      <w:bookmarkEnd w:id="233"/>
      <w:bookmarkEnd w:id="234"/>
    </w:p>
    <w:p w14:paraId="344686CC">
      <w:pPr>
        <w:pStyle w:val="5"/>
        <w:rPr>
          <w:rFonts w:hint="eastAsia"/>
          <w:color w:val="auto"/>
          <w:lang w:val="en-US" w:eastAsia="zh-CN"/>
        </w:rPr>
      </w:pPr>
      <w:r>
        <w:rPr>
          <w:rFonts w:hint="eastAsia"/>
          <w:color w:val="auto"/>
          <w:lang w:val="en-US" w:eastAsia="zh-CN"/>
        </w:rPr>
        <w:t>2.6.1.1 地层</w:t>
      </w:r>
    </w:p>
    <w:p w14:paraId="09333DE9">
      <w:pPr>
        <w:bidi w:val="0"/>
        <w:rPr>
          <w:rFonts w:hint="eastAsia"/>
          <w:color w:val="auto"/>
          <w:lang w:val="en-US" w:eastAsia="zh-CN"/>
        </w:rPr>
      </w:pPr>
      <w:r>
        <w:rPr>
          <w:rFonts w:hint="eastAsia"/>
          <w:color w:val="auto"/>
          <w:lang w:val="en-US" w:eastAsia="zh-CN"/>
        </w:rPr>
        <w:t>矿区广泛分布震旦系下统周潭群变质岩，其次沿溪谷分布新生界第四系砂砾层。</w:t>
      </w:r>
    </w:p>
    <w:p w14:paraId="2D6326D2">
      <w:pPr>
        <w:bidi w:val="0"/>
        <w:rPr>
          <w:rFonts w:hint="eastAsia"/>
          <w:color w:val="auto"/>
          <w:lang w:val="en-US" w:eastAsia="zh-CN"/>
        </w:rPr>
      </w:pPr>
      <w:bookmarkStart w:id="235" w:name="_Toc7952"/>
      <w:bookmarkStart w:id="236" w:name="_Toc5666"/>
      <w:bookmarkStart w:id="237" w:name="_Toc24018"/>
      <w:bookmarkStart w:id="238" w:name="_Toc29358"/>
      <w:r>
        <w:rPr>
          <w:rFonts w:hint="eastAsia"/>
          <w:color w:val="auto"/>
          <w:lang w:val="en-US" w:eastAsia="zh-CN"/>
        </w:rPr>
        <w:t>1）周潭群</w:t>
      </w:r>
      <w:bookmarkEnd w:id="235"/>
      <w:bookmarkEnd w:id="236"/>
      <w:bookmarkEnd w:id="237"/>
      <w:bookmarkEnd w:id="238"/>
    </w:p>
    <w:p w14:paraId="53BBCEAA">
      <w:pPr>
        <w:bidi w:val="0"/>
        <w:rPr>
          <w:rFonts w:hint="eastAsia"/>
          <w:color w:val="auto"/>
          <w:lang w:val="en-US" w:eastAsia="zh-CN"/>
        </w:rPr>
      </w:pPr>
      <w:r>
        <w:rPr>
          <w:rFonts w:hint="eastAsia"/>
          <w:color w:val="auto"/>
          <w:lang w:val="en-US" w:eastAsia="zh-CN"/>
        </w:rPr>
        <w:t>（1）周潭群下段(Z</w:t>
      </w:r>
      <w:r>
        <w:rPr>
          <w:rFonts w:hint="eastAsia"/>
          <w:color w:val="auto"/>
          <w:vertAlign w:val="subscript"/>
          <w:lang w:val="en-US" w:eastAsia="zh-CN"/>
        </w:rPr>
        <w:t>1</w:t>
      </w:r>
      <w:r>
        <w:rPr>
          <w:rFonts w:hint="eastAsia"/>
          <w:color w:val="auto"/>
          <w:lang w:val="en-US" w:eastAsia="zh-CN"/>
        </w:rPr>
        <w:t>zh</w:t>
      </w:r>
      <w:r>
        <w:rPr>
          <w:rFonts w:hint="eastAsia"/>
          <w:color w:val="auto"/>
          <w:vertAlign w:val="superscript"/>
          <w:lang w:val="en-US" w:eastAsia="zh-CN"/>
        </w:rPr>
        <w:t>1</w:t>
      </w:r>
      <w:r>
        <w:rPr>
          <w:rFonts w:hint="eastAsia"/>
          <w:color w:val="auto"/>
          <w:lang w:val="en-US" w:eastAsia="zh-CN"/>
        </w:rPr>
        <w:t>)：该段为茅排金矿床赋矿围岩。主要岩性为硅线石石英云母片岩、黑云母片岩、变质砂岩以及条带状混合岩、肠状混合岩等。</w:t>
      </w:r>
    </w:p>
    <w:p w14:paraId="44FCF224">
      <w:pPr>
        <w:bidi w:val="0"/>
        <w:rPr>
          <w:rFonts w:hint="eastAsia"/>
          <w:color w:val="auto"/>
          <w:lang w:val="en-US" w:eastAsia="zh-CN"/>
        </w:rPr>
      </w:pPr>
      <w:r>
        <w:rPr>
          <w:rFonts w:hint="eastAsia"/>
          <w:color w:val="auto"/>
          <w:lang w:val="en-US" w:eastAsia="zh-CN"/>
        </w:rPr>
        <w:t>（2）周潭群上段(Z</w:t>
      </w:r>
      <w:r>
        <w:rPr>
          <w:rFonts w:hint="eastAsia"/>
          <w:color w:val="auto"/>
          <w:vertAlign w:val="subscript"/>
          <w:lang w:val="en-US" w:eastAsia="zh-CN"/>
        </w:rPr>
        <w:t>1</w:t>
      </w:r>
      <w:r>
        <w:rPr>
          <w:rFonts w:hint="eastAsia"/>
          <w:color w:val="auto"/>
          <w:lang w:val="en-US" w:eastAsia="zh-CN"/>
        </w:rPr>
        <w:t>zh</w:t>
      </w:r>
      <w:r>
        <w:rPr>
          <w:rFonts w:hint="eastAsia"/>
          <w:color w:val="auto"/>
          <w:vertAlign w:val="superscript"/>
          <w:lang w:val="en-US" w:eastAsia="zh-CN"/>
        </w:rPr>
        <w:t>1</w:t>
      </w:r>
      <w:r>
        <w:rPr>
          <w:rFonts w:hint="eastAsia"/>
          <w:color w:val="auto"/>
          <w:lang w:val="en-US" w:eastAsia="zh-CN"/>
        </w:rPr>
        <w:t>)：倾向北西-北北西，倾角40°～60°，地层厚度796m，与下伏地层(Z</w:t>
      </w:r>
      <w:r>
        <w:rPr>
          <w:rFonts w:hint="eastAsia"/>
          <w:color w:val="auto"/>
          <w:vertAlign w:val="subscript"/>
          <w:lang w:val="en-US" w:eastAsia="zh-CN"/>
        </w:rPr>
        <w:t>1</w:t>
      </w:r>
      <w:r>
        <w:rPr>
          <w:rFonts w:hint="eastAsia"/>
          <w:color w:val="auto"/>
          <w:lang w:val="en-US" w:eastAsia="zh-CN"/>
        </w:rPr>
        <w:t>zh</w:t>
      </w:r>
      <w:r>
        <w:rPr>
          <w:rFonts w:hint="eastAsia"/>
          <w:color w:val="auto"/>
          <w:vertAlign w:val="superscript"/>
          <w:lang w:val="en-US" w:eastAsia="zh-CN"/>
        </w:rPr>
        <w:t>1</w:t>
      </w:r>
      <w:r>
        <w:rPr>
          <w:rFonts w:hint="eastAsia"/>
          <w:color w:val="auto"/>
          <w:lang w:val="en-US" w:eastAsia="zh-CN"/>
        </w:rPr>
        <w:t>)整合接触。岩性为黑云母片岩、黑云母斜长片麻岩、变粒岩。</w:t>
      </w:r>
    </w:p>
    <w:p w14:paraId="67BADAD0">
      <w:pPr>
        <w:bidi w:val="0"/>
        <w:rPr>
          <w:rFonts w:hint="eastAsia"/>
          <w:color w:val="auto"/>
          <w:lang w:val="en-US" w:eastAsia="zh-CN"/>
        </w:rPr>
      </w:pPr>
      <w:bookmarkStart w:id="239" w:name="_Toc3453"/>
      <w:bookmarkStart w:id="240" w:name="_Toc12394"/>
      <w:bookmarkStart w:id="241" w:name="_Toc22508"/>
      <w:bookmarkStart w:id="242" w:name="_Toc17964"/>
      <w:r>
        <w:rPr>
          <w:rFonts w:hint="eastAsia"/>
          <w:color w:val="auto"/>
          <w:lang w:val="en-US" w:eastAsia="zh-CN"/>
        </w:rPr>
        <w:t>2）第四系 (Q)</w:t>
      </w:r>
      <w:bookmarkEnd w:id="239"/>
      <w:bookmarkEnd w:id="240"/>
      <w:bookmarkEnd w:id="241"/>
      <w:bookmarkEnd w:id="242"/>
    </w:p>
    <w:p w14:paraId="47A52691">
      <w:pPr>
        <w:bidi w:val="0"/>
        <w:rPr>
          <w:rFonts w:hint="eastAsia"/>
          <w:color w:val="auto"/>
          <w:lang w:val="en-US" w:eastAsia="zh-CN"/>
        </w:rPr>
      </w:pPr>
      <w:r>
        <w:rPr>
          <w:rFonts w:hint="eastAsia"/>
          <w:color w:val="auto"/>
          <w:lang w:val="en-US" w:eastAsia="zh-CN"/>
        </w:rPr>
        <w:t>发育于山沟溪流两侧，由粘土、亚粘土、亚砂土、碎石、砂砾石、卵石组成。成因类型有残积、坡积、洪积、冲积等。该层厚度数米至数十米。</w:t>
      </w:r>
    </w:p>
    <w:p w14:paraId="201E4EC8">
      <w:pPr>
        <w:bidi w:val="0"/>
        <w:rPr>
          <w:rFonts w:hint="eastAsia"/>
          <w:color w:val="auto"/>
          <w:lang w:val="en-US" w:eastAsia="zh-CN"/>
        </w:rPr>
      </w:pPr>
      <w:r>
        <w:rPr>
          <w:rFonts w:hint="eastAsia"/>
          <w:color w:val="auto"/>
          <w:lang w:val="en-US" w:eastAsia="zh-CN"/>
        </w:rPr>
        <w:t>矿区构造活动强烈，加里东运动早期以褶皱为主，加里东晚期-燕山运动以断裂为主。</w:t>
      </w:r>
    </w:p>
    <w:p w14:paraId="3930490E">
      <w:pPr>
        <w:pStyle w:val="5"/>
        <w:rPr>
          <w:rFonts w:hint="eastAsia"/>
          <w:color w:val="auto"/>
          <w:lang w:val="en-US" w:eastAsia="zh-CN"/>
        </w:rPr>
      </w:pPr>
      <w:r>
        <w:rPr>
          <w:rFonts w:hint="eastAsia"/>
          <w:color w:val="auto"/>
          <w:lang w:val="en-US" w:eastAsia="zh-CN"/>
        </w:rPr>
        <w:t>2.6.1.2 构造</w:t>
      </w:r>
    </w:p>
    <w:p w14:paraId="2326342B">
      <w:pPr>
        <w:bidi w:val="0"/>
        <w:rPr>
          <w:rFonts w:hint="eastAsia"/>
          <w:color w:val="auto"/>
          <w:lang w:val="en-US" w:eastAsia="zh-CN"/>
        </w:rPr>
      </w:pPr>
      <w:r>
        <w:rPr>
          <w:rFonts w:hint="eastAsia"/>
          <w:color w:val="auto"/>
          <w:lang w:val="en-US" w:eastAsia="zh-CN"/>
        </w:rPr>
        <w:t>1) 褶皱</w:t>
      </w:r>
    </w:p>
    <w:p w14:paraId="62256AE3">
      <w:pPr>
        <w:bidi w:val="0"/>
        <w:rPr>
          <w:rFonts w:hint="eastAsia"/>
          <w:color w:val="auto"/>
          <w:lang w:val="en-US" w:eastAsia="zh-CN"/>
        </w:rPr>
      </w:pPr>
      <w:r>
        <w:rPr>
          <w:rFonts w:hint="eastAsia"/>
          <w:color w:val="auto"/>
          <w:lang w:val="en-US" w:eastAsia="zh-CN"/>
        </w:rPr>
        <w:t>褶皱构造主要是百药湖同斜倒转背斜，核部地层为周潭群下段(Z</w:t>
      </w:r>
      <w:r>
        <w:rPr>
          <w:rFonts w:hint="eastAsia"/>
          <w:color w:val="auto"/>
          <w:vertAlign w:val="subscript"/>
          <w:lang w:val="en-US" w:eastAsia="zh-CN"/>
        </w:rPr>
        <w:t>1</w:t>
      </w:r>
      <w:r>
        <w:rPr>
          <w:rFonts w:hint="eastAsia"/>
          <w:color w:val="auto"/>
          <w:lang w:val="en-US" w:eastAsia="zh-CN"/>
        </w:rPr>
        <w:t>zh</w:t>
      </w:r>
      <w:r>
        <w:rPr>
          <w:rFonts w:hint="eastAsia"/>
          <w:color w:val="auto"/>
          <w:vertAlign w:val="superscript"/>
          <w:lang w:val="en-US" w:eastAsia="zh-CN"/>
        </w:rPr>
        <w:t>1</w:t>
      </w:r>
      <w:r>
        <w:rPr>
          <w:rFonts w:hint="eastAsia"/>
          <w:color w:val="auto"/>
          <w:lang w:val="en-US" w:eastAsia="zh-CN"/>
        </w:rPr>
        <w:t>)，翼部为上段(Z</w:t>
      </w:r>
      <w:r>
        <w:rPr>
          <w:rFonts w:hint="eastAsia"/>
          <w:color w:val="auto"/>
          <w:vertAlign w:val="subscript"/>
          <w:lang w:val="en-US" w:eastAsia="zh-CN"/>
        </w:rPr>
        <w:t>1</w:t>
      </w:r>
      <w:r>
        <w:rPr>
          <w:rFonts w:hint="eastAsia"/>
          <w:color w:val="auto"/>
          <w:lang w:val="en-US" w:eastAsia="zh-CN"/>
        </w:rPr>
        <w:t>zh</w:t>
      </w:r>
      <w:r>
        <w:rPr>
          <w:rFonts w:hint="eastAsia"/>
          <w:color w:val="auto"/>
          <w:vertAlign w:val="superscript"/>
          <w:lang w:val="en-US" w:eastAsia="zh-CN"/>
        </w:rPr>
        <w:t>1</w:t>
      </w:r>
      <w:r>
        <w:rPr>
          <w:rFonts w:hint="eastAsia"/>
          <w:color w:val="auto"/>
          <w:lang w:val="en-US" w:eastAsia="zh-CN"/>
        </w:rPr>
        <w:t>)，轴面走向在百药湖一带为北东40°左右，往南西逐渐变为北东 60°～ 70°，呈一弧形弯曲，这一褶皱构造是加里东运动早期近南北向挤压形成的。</w:t>
      </w:r>
    </w:p>
    <w:p w14:paraId="33E1D5C3">
      <w:pPr>
        <w:bidi w:val="0"/>
        <w:rPr>
          <w:rFonts w:hint="eastAsia"/>
          <w:color w:val="auto"/>
          <w:lang w:val="en-US" w:eastAsia="zh-CN"/>
        </w:rPr>
      </w:pPr>
      <w:r>
        <w:rPr>
          <w:rFonts w:hint="eastAsia"/>
          <w:color w:val="auto"/>
          <w:lang w:val="en-US" w:eastAsia="zh-CN"/>
        </w:rPr>
        <w:t>2) 断裂</w:t>
      </w:r>
    </w:p>
    <w:p w14:paraId="692368EC">
      <w:pPr>
        <w:bidi w:val="0"/>
        <w:rPr>
          <w:rFonts w:hint="eastAsia"/>
          <w:color w:val="auto"/>
          <w:lang w:val="en-US" w:eastAsia="zh-CN"/>
        </w:rPr>
      </w:pPr>
      <w:r>
        <w:rPr>
          <w:rFonts w:hint="eastAsia"/>
          <w:color w:val="auto"/>
          <w:lang w:val="en-US" w:eastAsia="zh-CN"/>
        </w:rPr>
        <w:t>断裂以北东向为主，北东向断裂主要是荷田-徐坊剪切挤压带，其它断裂分布稀疏，规模不大。荷田-徐坊剪切挤压带，是矿区最主要的控矿构造。区内长约6.5km，宽约300～500m，走向35°～40°，倾向北西，倾角50°～65°。它不仅控制了条带状混合岩带的空间展布，而且成为含矿热液的通道和贮矿场所。</w:t>
      </w:r>
    </w:p>
    <w:p w14:paraId="05119693">
      <w:pPr>
        <w:bidi w:val="0"/>
        <w:rPr>
          <w:rFonts w:hint="eastAsia"/>
          <w:color w:val="auto"/>
          <w:lang w:val="en-US" w:eastAsia="zh-CN"/>
        </w:rPr>
      </w:pPr>
      <w:r>
        <w:rPr>
          <w:rFonts w:hint="eastAsia"/>
          <w:color w:val="auto"/>
          <w:lang w:val="en-US" w:eastAsia="zh-CN"/>
        </w:rPr>
        <w:t>该构造带的产物主要为碎裂岩和花岗岩、伟晶岩、长英质脉体、石英脉等充填物。石英脉、长英质脉沿走向及倾向具有分枝、膨胀收缩、尖灭再现等现象。</w:t>
      </w:r>
    </w:p>
    <w:p w14:paraId="26D42A67">
      <w:pPr>
        <w:pStyle w:val="5"/>
        <w:rPr>
          <w:rFonts w:hint="eastAsia" w:ascii="宋体" w:hAnsi="宋体" w:eastAsia="宋体" w:cs="宋体"/>
          <w:b/>
          <w:bCs/>
          <w:snapToGrid/>
          <w:color w:val="auto"/>
          <w:kern w:val="2"/>
          <w:sz w:val="28"/>
          <w:szCs w:val="28"/>
          <w:lang w:val="en-US" w:eastAsia="zh-CN" w:bidi="ar-SA"/>
        </w:rPr>
      </w:pPr>
      <w:bookmarkStart w:id="243" w:name="_Toc27020"/>
      <w:bookmarkStart w:id="244" w:name="_Toc11934"/>
      <w:bookmarkStart w:id="245" w:name="_Toc4734"/>
      <w:r>
        <w:rPr>
          <w:rFonts w:hint="eastAsia" w:ascii="宋体" w:hAnsi="宋体" w:eastAsia="宋体" w:cs="宋体"/>
          <w:b/>
          <w:bCs/>
          <w:snapToGrid/>
          <w:color w:val="auto"/>
          <w:kern w:val="2"/>
          <w:sz w:val="28"/>
          <w:szCs w:val="28"/>
          <w:lang w:val="en-US" w:eastAsia="zh-CN" w:bidi="ar-SA"/>
        </w:rPr>
        <w:t>2.6.1.3 岩浆岩</w:t>
      </w:r>
      <w:bookmarkEnd w:id="243"/>
      <w:bookmarkEnd w:id="244"/>
      <w:bookmarkEnd w:id="245"/>
    </w:p>
    <w:p w14:paraId="6A08F926">
      <w:pPr>
        <w:bidi w:val="0"/>
        <w:rPr>
          <w:rFonts w:hint="eastAsia"/>
          <w:color w:val="auto"/>
          <w:lang w:val="en-US" w:eastAsia="zh-CN"/>
        </w:rPr>
      </w:pPr>
      <w:r>
        <w:rPr>
          <w:rFonts w:hint="eastAsia"/>
          <w:color w:val="auto"/>
          <w:lang w:val="en-US" w:eastAsia="zh-CN"/>
        </w:rPr>
        <w:t>矿区出露的岩浆岩主要有花岗岩、花岗伟晶岩以及斜闪煌斑岩等。</w:t>
      </w:r>
    </w:p>
    <w:p w14:paraId="0D7D81FF">
      <w:pPr>
        <w:bidi w:val="0"/>
        <w:rPr>
          <w:rFonts w:hint="eastAsia"/>
          <w:color w:val="auto"/>
          <w:lang w:val="en-US" w:eastAsia="zh-CN"/>
        </w:rPr>
      </w:pPr>
      <w:r>
        <w:rPr>
          <w:rFonts w:hint="eastAsia"/>
          <w:color w:val="auto"/>
          <w:lang w:val="en-US" w:eastAsia="zh-CN"/>
        </w:rPr>
        <w:t>1) 花岗岩</w:t>
      </w:r>
    </w:p>
    <w:p w14:paraId="244040C1">
      <w:pPr>
        <w:bidi w:val="0"/>
        <w:rPr>
          <w:rFonts w:hint="eastAsia"/>
          <w:color w:val="auto"/>
          <w:lang w:val="en-US" w:eastAsia="zh-CN"/>
        </w:rPr>
      </w:pPr>
      <w:r>
        <w:rPr>
          <w:rFonts w:hint="eastAsia"/>
          <w:color w:val="auto"/>
          <w:lang w:val="en-US" w:eastAsia="zh-CN"/>
        </w:rPr>
        <w:t>该岩性在矿区内分布很广泛，常见于北东向断裂中及其旁侧，规模一般不大，呈脉状、团块状产出，往往与花岗伟晶岩脉、长英质脉、石英脉等共生。</w:t>
      </w:r>
    </w:p>
    <w:p w14:paraId="29F3CD5F">
      <w:pPr>
        <w:bidi w:val="0"/>
        <w:rPr>
          <w:rFonts w:hint="eastAsia"/>
          <w:color w:val="auto"/>
          <w:lang w:val="en-US" w:eastAsia="zh-CN"/>
        </w:rPr>
      </w:pPr>
      <w:r>
        <w:rPr>
          <w:rFonts w:hint="eastAsia"/>
          <w:color w:val="auto"/>
          <w:lang w:val="en-US" w:eastAsia="zh-CN"/>
        </w:rPr>
        <w:t>2) 花岗伟晶岩</w:t>
      </w:r>
    </w:p>
    <w:p w14:paraId="1B6CFE0F">
      <w:pPr>
        <w:bidi w:val="0"/>
        <w:rPr>
          <w:rFonts w:hint="eastAsia"/>
          <w:color w:val="auto"/>
          <w:lang w:val="en-US" w:eastAsia="zh-CN"/>
        </w:rPr>
      </w:pPr>
      <w:r>
        <w:rPr>
          <w:rFonts w:hint="eastAsia"/>
          <w:color w:val="auto"/>
          <w:lang w:val="en-US" w:eastAsia="zh-CN"/>
        </w:rPr>
        <w:t>该岩石在区内较为常见。常出现在断裂中或其边缘，往往与花岗岩、长英质脉、石英脉等共生，呈不规则脉状或团块状产出。</w:t>
      </w:r>
    </w:p>
    <w:p w14:paraId="39AF755F">
      <w:pPr>
        <w:bidi w:val="0"/>
        <w:rPr>
          <w:rFonts w:hint="eastAsia"/>
          <w:color w:val="auto"/>
          <w:lang w:val="en-US" w:eastAsia="zh-CN"/>
        </w:rPr>
      </w:pPr>
      <w:r>
        <w:rPr>
          <w:rFonts w:hint="eastAsia"/>
          <w:color w:val="auto"/>
          <w:lang w:val="en-US" w:eastAsia="zh-CN"/>
        </w:rPr>
        <w:t>3) 斜闪煌斑岩</w:t>
      </w:r>
    </w:p>
    <w:p w14:paraId="2AC3E75C">
      <w:pPr>
        <w:bidi w:val="0"/>
        <w:rPr>
          <w:rFonts w:hint="eastAsia"/>
          <w:color w:val="auto"/>
          <w:lang w:val="en-US" w:eastAsia="zh-CN"/>
        </w:rPr>
      </w:pPr>
      <w:r>
        <w:rPr>
          <w:rFonts w:hint="eastAsia"/>
          <w:color w:val="auto"/>
          <w:lang w:val="en-US" w:eastAsia="zh-CN"/>
        </w:rPr>
        <w:t>矿区基性岩脉不太发育，仅在百药湖一带见有几条斜闪煌斑岩脉，对矿化控制明显。</w:t>
      </w:r>
    </w:p>
    <w:p w14:paraId="3DB0CEF9">
      <w:pPr>
        <w:bidi w:val="0"/>
        <w:rPr>
          <w:rFonts w:hint="eastAsia"/>
          <w:color w:val="auto"/>
          <w:lang w:val="en-US" w:eastAsia="zh-CN"/>
        </w:rPr>
      </w:pPr>
      <w:r>
        <w:rPr>
          <w:rFonts w:hint="eastAsia"/>
          <w:color w:val="auto"/>
          <w:lang w:val="en-US" w:eastAsia="zh-CN"/>
        </w:rPr>
        <w:t>煌斑岩金丰度值高，为0.012～0.48g/t，其平均值比一般煌斑岩高出一个数量级。</w:t>
      </w:r>
    </w:p>
    <w:p w14:paraId="1A7EC115">
      <w:pPr>
        <w:bidi w:val="0"/>
        <w:rPr>
          <w:rFonts w:hint="eastAsia"/>
          <w:color w:val="auto"/>
          <w:lang w:val="en-US" w:eastAsia="zh-CN"/>
        </w:rPr>
      </w:pPr>
      <w:r>
        <w:rPr>
          <w:rFonts w:hint="eastAsia"/>
          <w:color w:val="auto"/>
          <w:lang w:val="en-US" w:eastAsia="zh-CN"/>
        </w:rPr>
        <w:t>上述情况说明，矿区内断裂构造发育，岩体较稳固，因地质构造断裂带的作用造成地表塌陷的现象不会发生，同时由于矿区地势较平缓，所以发生泥石流、山体滑坡的可能性很小。</w:t>
      </w:r>
    </w:p>
    <w:p w14:paraId="78BED95D">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246" w:name="_Toc23797"/>
      <w:bookmarkStart w:id="247" w:name="_Toc18530"/>
      <w:bookmarkStart w:id="248" w:name="_Toc25701"/>
      <w:bookmarkStart w:id="249" w:name="_Toc32692"/>
      <w:bookmarkStart w:id="250" w:name="_Toc15935"/>
      <w:bookmarkStart w:id="251" w:name="_Toc7706"/>
      <w:bookmarkStart w:id="252" w:name="_Toc28674"/>
      <w:r>
        <w:rPr>
          <w:rFonts w:hint="eastAsia" w:ascii="宋体" w:hAnsi="宋体" w:eastAsia="宋体" w:cs="宋体"/>
          <w:color w:val="auto"/>
          <w:sz w:val="28"/>
          <w:szCs w:val="28"/>
          <w:lang w:val="en-US" w:eastAsia="zh-CN"/>
        </w:rPr>
        <w:t>2.6.2 矿床地质特征</w:t>
      </w:r>
      <w:bookmarkEnd w:id="246"/>
      <w:bookmarkEnd w:id="247"/>
      <w:bookmarkEnd w:id="248"/>
      <w:bookmarkEnd w:id="249"/>
      <w:bookmarkEnd w:id="250"/>
      <w:bookmarkEnd w:id="251"/>
      <w:bookmarkEnd w:id="252"/>
    </w:p>
    <w:p w14:paraId="4085B089">
      <w:pPr>
        <w:pStyle w:val="5"/>
        <w:rPr>
          <w:rFonts w:hint="eastAsia"/>
          <w:color w:val="auto"/>
          <w:lang w:val="en-US" w:eastAsia="zh-CN"/>
        </w:rPr>
      </w:pPr>
      <w:bookmarkStart w:id="253" w:name="_Toc9367"/>
      <w:bookmarkStart w:id="254" w:name="_Toc9615"/>
      <w:bookmarkStart w:id="255" w:name="_Toc7997"/>
      <w:r>
        <w:rPr>
          <w:rFonts w:hint="eastAsia"/>
          <w:color w:val="auto"/>
          <w:lang w:val="en-US" w:eastAsia="zh-CN"/>
        </w:rPr>
        <w:t>2.6.2.1 矿体特征</w:t>
      </w:r>
      <w:bookmarkEnd w:id="253"/>
      <w:bookmarkEnd w:id="254"/>
      <w:bookmarkEnd w:id="255"/>
    </w:p>
    <w:p w14:paraId="312483D7">
      <w:pPr>
        <w:bidi w:val="0"/>
        <w:rPr>
          <w:rFonts w:hint="eastAsia"/>
          <w:color w:val="auto"/>
          <w:lang w:val="en-US" w:eastAsia="zh-CN"/>
        </w:rPr>
      </w:pPr>
      <w:r>
        <w:rPr>
          <w:rFonts w:hint="eastAsia"/>
          <w:color w:val="auto"/>
          <w:lang w:val="en-US" w:eastAsia="zh-CN"/>
        </w:rPr>
        <w:t>茅排金矿按资源储量大小分为主矿体、次矿体、小矿体，其中主矿体 5个、次矿体6个，占储量的79%。各主矿体特征如下：</w:t>
      </w:r>
    </w:p>
    <w:p w14:paraId="0541DBF2">
      <w:pPr>
        <w:bidi w:val="0"/>
        <w:rPr>
          <w:rFonts w:hint="eastAsia"/>
          <w:color w:val="auto"/>
          <w:lang w:val="en-US" w:eastAsia="zh-CN"/>
        </w:rPr>
      </w:pPr>
      <w:r>
        <w:rPr>
          <w:rFonts w:hint="eastAsia"/>
          <w:color w:val="auto"/>
          <w:lang w:val="en-US" w:eastAsia="zh-CN"/>
        </w:rPr>
        <w:t>1) 6号矿体</w:t>
      </w:r>
    </w:p>
    <w:p w14:paraId="0FEFCFCA">
      <w:pPr>
        <w:bidi w:val="0"/>
        <w:rPr>
          <w:rFonts w:hint="eastAsia"/>
          <w:color w:val="auto"/>
          <w:lang w:val="en-US" w:eastAsia="zh-CN"/>
        </w:rPr>
      </w:pPr>
      <w:r>
        <w:rPr>
          <w:rFonts w:hint="eastAsia"/>
          <w:color w:val="auto"/>
          <w:lang w:val="en-US" w:eastAsia="zh-CN"/>
        </w:rPr>
        <w:t>6号矿体分布于17～25 线间，长185m，矿体总体走向40°。矿体倾向北西，平均倾角56°，矿体平均厚度1.52m，平均品位25.55g/t。</w:t>
      </w:r>
    </w:p>
    <w:p w14:paraId="0D7C98A6">
      <w:pPr>
        <w:bidi w:val="0"/>
        <w:rPr>
          <w:rFonts w:hint="eastAsia"/>
          <w:color w:val="auto"/>
          <w:lang w:val="en-US" w:eastAsia="zh-CN"/>
        </w:rPr>
      </w:pPr>
      <w:r>
        <w:rPr>
          <w:rFonts w:hint="eastAsia"/>
          <w:color w:val="auto"/>
          <w:lang w:val="en-US" w:eastAsia="zh-CN"/>
        </w:rPr>
        <w:t>2) 7号矿体</w:t>
      </w:r>
    </w:p>
    <w:p w14:paraId="7E182F22">
      <w:pPr>
        <w:bidi w:val="0"/>
        <w:rPr>
          <w:color w:val="auto"/>
        </w:rPr>
      </w:pPr>
      <w:r>
        <w:rPr>
          <w:rFonts w:hint="eastAsia"/>
          <w:color w:val="auto"/>
          <w:lang w:val="en-US" w:eastAsia="zh-CN"/>
        </w:rPr>
        <w:t>7号矿体分布于23～35 线间，长280m，矿体总体走向35°。矿体倾向北西，平均倾角60°，矿体平均厚度1.12m，平均品位6.28g/t。</w:t>
      </w:r>
    </w:p>
    <w:p w14:paraId="17DB0292">
      <w:pPr>
        <w:bidi w:val="0"/>
        <w:rPr>
          <w:rFonts w:hint="eastAsia"/>
          <w:color w:val="auto"/>
          <w:lang w:val="en-US" w:eastAsia="zh-CN"/>
        </w:rPr>
      </w:pPr>
      <w:r>
        <w:rPr>
          <w:rFonts w:hint="eastAsia"/>
          <w:color w:val="auto"/>
          <w:lang w:val="en-US" w:eastAsia="zh-CN"/>
        </w:rPr>
        <w:t>3) 10号矿体</w:t>
      </w:r>
    </w:p>
    <w:p w14:paraId="729E1AC9">
      <w:pPr>
        <w:bidi w:val="0"/>
        <w:rPr>
          <w:rFonts w:hint="eastAsia"/>
          <w:color w:val="auto"/>
          <w:lang w:val="en-US" w:eastAsia="zh-CN"/>
        </w:rPr>
      </w:pPr>
      <w:r>
        <w:rPr>
          <w:rFonts w:hint="eastAsia"/>
          <w:color w:val="auto"/>
          <w:lang w:val="en-US" w:eastAsia="zh-CN"/>
        </w:rPr>
        <w:t>10号矿体分布于37～51线间 ，长320m ，矿体总体走向40°。矿体倾向北西，平均倾角65°，矿体平均厚度 0.72m，平均品位17.81g/t。</w:t>
      </w:r>
    </w:p>
    <w:p w14:paraId="49B26A57">
      <w:pPr>
        <w:bidi w:val="0"/>
        <w:rPr>
          <w:rFonts w:hint="eastAsia"/>
          <w:color w:val="auto"/>
          <w:lang w:val="en-US" w:eastAsia="zh-CN"/>
        </w:rPr>
      </w:pPr>
      <w:r>
        <w:rPr>
          <w:rFonts w:hint="eastAsia"/>
          <w:color w:val="auto"/>
          <w:lang w:val="en-US" w:eastAsia="zh-CN"/>
        </w:rPr>
        <w:t>4) 11号矿体</w:t>
      </w:r>
    </w:p>
    <w:p w14:paraId="73E2B338">
      <w:pPr>
        <w:bidi w:val="0"/>
        <w:rPr>
          <w:rFonts w:hint="eastAsia"/>
          <w:color w:val="auto"/>
          <w:lang w:val="en-US" w:eastAsia="zh-CN"/>
        </w:rPr>
      </w:pPr>
      <w:r>
        <w:rPr>
          <w:rFonts w:hint="eastAsia"/>
          <w:color w:val="auto"/>
          <w:lang w:val="en-US" w:eastAsia="zh-CN"/>
        </w:rPr>
        <w:t>11号矿体分布于 47～55 线间，长245m，矿体总体走向40°。矿体倾向北西，平均倾角 53°，矿体平均厚度1.10m，平均品5.72g/t。</w:t>
      </w:r>
    </w:p>
    <w:p w14:paraId="1B417E64">
      <w:pPr>
        <w:bidi w:val="0"/>
        <w:rPr>
          <w:rFonts w:hint="eastAsia"/>
          <w:color w:val="auto"/>
          <w:lang w:val="en-US" w:eastAsia="zh-CN"/>
        </w:rPr>
      </w:pPr>
      <w:r>
        <w:rPr>
          <w:rFonts w:hint="eastAsia"/>
          <w:color w:val="auto"/>
          <w:lang w:val="en-US" w:eastAsia="zh-CN"/>
        </w:rPr>
        <w:t>5) 12号矿体</w:t>
      </w:r>
    </w:p>
    <w:p w14:paraId="70B89BEE">
      <w:pPr>
        <w:bidi w:val="0"/>
        <w:rPr>
          <w:rFonts w:hint="eastAsia"/>
          <w:color w:val="auto"/>
          <w:lang w:val="en-US" w:eastAsia="zh-CN"/>
        </w:rPr>
      </w:pPr>
      <w:r>
        <w:rPr>
          <w:rFonts w:hint="eastAsia"/>
          <w:color w:val="auto"/>
          <w:lang w:val="en-US" w:eastAsia="zh-CN"/>
        </w:rPr>
        <w:t>12号矿体分布于47～55 线间，长240m，矿体总体走向40°。矿体倾向北西，平均倾角56°，矿体平均厚度1.12m，平均品位9.65g/t。</w:t>
      </w:r>
    </w:p>
    <w:p w14:paraId="1F6AADBE">
      <w:pPr>
        <w:pStyle w:val="5"/>
        <w:rPr>
          <w:rFonts w:hint="eastAsia"/>
          <w:color w:val="auto"/>
          <w:lang w:val="en-US" w:eastAsia="zh-CN"/>
        </w:rPr>
      </w:pPr>
      <w:bookmarkStart w:id="256" w:name="_Toc19045"/>
      <w:bookmarkStart w:id="257" w:name="_Toc5282"/>
      <w:bookmarkStart w:id="258" w:name="_Toc20948"/>
      <w:r>
        <w:rPr>
          <w:rFonts w:hint="eastAsia"/>
          <w:color w:val="auto"/>
          <w:lang w:val="en-US" w:eastAsia="zh-CN"/>
        </w:rPr>
        <w:t>2.6.2.2 矿石特征</w:t>
      </w:r>
      <w:bookmarkEnd w:id="256"/>
      <w:bookmarkEnd w:id="257"/>
      <w:bookmarkEnd w:id="258"/>
    </w:p>
    <w:p w14:paraId="6986173C">
      <w:pPr>
        <w:bidi w:val="0"/>
        <w:rPr>
          <w:rFonts w:hint="eastAsia"/>
          <w:color w:val="auto"/>
          <w:lang w:val="en-US" w:eastAsia="zh-CN"/>
        </w:rPr>
      </w:pPr>
      <w:r>
        <w:rPr>
          <w:rFonts w:hint="eastAsia"/>
          <w:color w:val="auto"/>
          <w:lang w:val="en-US" w:eastAsia="zh-CN"/>
        </w:rPr>
        <w:t>根据矿石的矿物组分，矿石的自然类型可划为：金～石英～黄铁矿型；按结构构造可进一步划分为浸染状矿石、脉状矿石、条带状矿石、角砾状矿石、团块状矿石；按矿石氧化程度划分为原生矿石和氧化矿石。氧化矿石量占全部矿石量10%以下，分布在地表及地下20m以内，大部分已民采完。</w:t>
      </w:r>
    </w:p>
    <w:p w14:paraId="5E892F5C">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259" w:name="_Toc15380"/>
      <w:bookmarkStart w:id="260" w:name="_Toc8160"/>
      <w:bookmarkStart w:id="261" w:name="_Toc27083"/>
      <w:bookmarkStart w:id="262" w:name="_Toc19021"/>
      <w:bookmarkStart w:id="263" w:name="_Toc11431"/>
      <w:bookmarkStart w:id="264" w:name="_Toc22860"/>
      <w:bookmarkStart w:id="265" w:name="_Toc9874"/>
      <w:r>
        <w:rPr>
          <w:rFonts w:hint="eastAsia" w:ascii="宋体" w:hAnsi="宋体" w:eastAsia="宋体" w:cs="宋体"/>
          <w:color w:val="auto"/>
          <w:sz w:val="28"/>
          <w:szCs w:val="28"/>
          <w:lang w:val="en-US" w:eastAsia="zh-CN"/>
        </w:rPr>
        <w:t>2.6.3 水文地质概况</w:t>
      </w:r>
      <w:bookmarkEnd w:id="259"/>
      <w:bookmarkEnd w:id="260"/>
      <w:bookmarkEnd w:id="261"/>
      <w:bookmarkEnd w:id="262"/>
      <w:bookmarkEnd w:id="263"/>
      <w:bookmarkEnd w:id="264"/>
      <w:bookmarkEnd w:id="265"/>
    </w:p>
    <w:p w14:paraId="736B1EC1">
      <w:pPr>
        <w:bidi w:val="0"/>
        <w:rPr>
          <w:rFonts w:hint="eastAsia"/>
          <w:color w:val="auto"/>
          <w:lang w:val="en-US" w:eastAsia="zh-CN"/>
        </w:rPr>
      </w:pPr>
      <w:r>
        <w:rPr>
          <w:rFonts w:hint="eastAsia"/>
          <w:color w:val="auto"/>
          <w:lang w:val="en-US" w:eastAsia="zh-CN"/>
        </w:rPr>
        <w:t>矿区为丘陵地貌，北东-南西走向，中间高两侧低，最高点+474.9m，相对高差315m，山势较陡，坡度35°-50°。矿床位于地表分水岭处，大气降水为地表水、地下水主要补给源，地下水在山脚或沟谷低洼部位，多以泉水形式出露地表，向东向西分别汇入茅排小溪和梨溪。</w:t>
      </w:r>
      <w:r>
        <w:rPr>
          <w:rFonts w:hint="eastAsia"/>
          <w:color w:val="auto"/>
        </w:rPr>
        <w:t>当地最低侵蚀基准面位于茅排溪入抚河（盱江）口处（岳口），绝对标高</w:t>
      </w:r>
      <w:r>
        <w:rPr>
          <w:rFonts w:hint="eastAsia"/>
          <w:color w:val="auto"/>
          <w:lang w:val="en-US" w:eastAsia="zh-CN"/>
        </w:rPr>
        <w:t>+</w:t>
      </w:r>
      <w:r>
        <w:rPr>
          <w:rFonts w:hint="eastAsia"/>
          <w:color w:val="auto"/>
        </w:rPr>
        <w:t>65m。</w:t>
      </w:r>
    </w:p>
    <w:p w14:paraId="1E21FF5D">
      <w:pPr>
        <w:bidi w:val="0"/>
        <w:rPr>
          <w:rFonts w:hint="eastAsia"/>
          <w:color w:val="auto"/>
          <w:lang w:val="en-US" w:eastAsia="zh-CN"/>
        </w:rPr>
      </w:pPr>
      <w:r>
        <w:rPr>
          <w:rFonts w:hint="eastAsia"/>
          <w:color w:val="auto"/>
          <w:lang w:val="en-US" w:eastAsia="zh-CN"/>
        </w:rPr>
        <w:t>矿区地下含水层可分为第四系坡、冲积孔隙含水层；基岩风化裂隙及构造裂隙含水层。矿区第四系孔隙含水层，出露面积小，主要分布在低洼、沟谷部位，对矿坑充水影响极小。风化裂隙含水层覆盖整个矿区表层，含水层有一定厚度，并受季节性控制，是矿坑充水主要来源。长英质脉体及其围岩接触带，在走向、倾向上呈分支复合、膨胀收缩、尖灭再现的构造裂隙含水透镜体，裂隙联通情况较差，对矿坑充水水量有限。</w:t>
      </w:r>
    </w:p>
    <w:p w14:paraId="4F05A82A">
      <w:pPr>
        <w:bidi w:val="0"/>
        <w:rPr>
          <w:rFonts w:hint="eastAsia"/>
          <w:color w:val="auto"/>
          <w:lang w:val="en-US" w:eastAsia="zh-CN"/>
        </w:rPr>
      </w:pPr>
      <w:r>
        <w:rPr>
          <w:rFonts w:hint="eastAsia"/>
          <w:color w:val="auto"/>
          <w:lang w:val="en-US" w:eastAsia="zh-CN"/>
        </w:rPr>
        <w:t>矿床位于地表分水岭处，大气降水为主要补给源；地表、地下水排泄条件好，不利于地下水富集。附近无大的地表水体，虽上部民采老窿硐口大都存在不同程度的塌方，硐中有积水，但主矿段坑可自然排水，不受区域水文地质条件影响。水文地质条件属简单类型。</w:t>
      </w:r>
    </w:p>
    <w:p w14:paraId="032E6A94">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266" w:name="_Toc20727"/>
      <w:bookmarkStart w:id="267" w:name="_Toc15071"/>
      <w:bookmarkStart w:id="268" w:name="_Toc16739"/>
      <w:bookmarkStart w:id="269" w:name="_Toc26848"/>
      <w:bookmarkStart w:id="270" w:name="_Toc3572"/>
      <w:bookmarkStart w:id="271" w:name="_Toc10191"/>
      <w:bookmarkStart w:id="272" w:name="_Toc18871"/>
      <w:r>
        <w:rPr>
          <w:rFonts w:hint="eastAsia" w:ascii="宋体" w:hAnsi="宋体" w:eastAsia="宋体" w:cs="宋体"/>
          <w:color w:val="auto"/>
          <w:sz w:val="28"/>
          <w:szCs w:val="28"/>
          <w:lang w:val="en-US" w:eastAsia="zh-CN"/>
        </w:rPr>
        <w:t>2.6.4 工程地质概况</w:t>
      </w:r>
      <w:bookmarkEnd w:id="266"/>
      <w:bookmarkEnd w:id="267"/>
      <w:bookmarkEnd w:id="268"/>
      <w:bookmarkEnd w:id="269"/>
      <w:bookmarkEnd w:id="270"/>
      <w:bookmarkEnd w:id="271"/>
      <w:bookmarkEnd w:id="272"/>
    </w:p>
    <w:p w14:paraId="5E16DD98">
      <w:pPr>
        <w:bidi w:val="0"/>
        <w:rPr>
          <w:rFonts w:hint="eastAsia"/>
          <w:color w:val="auto"/>
          <w:lang w:val="en-US" w:eastAsia="zh-CN"/>
        </w:rPr>
      </w:pPr>
      <w:r>
        <w:rPr>
          <w:rFonts w:hint="eastAsia"/>
          <w:color w:val="auto"/>
          <w:spacing w:val="-6"/>
          <w:sz w:val="28"/>
          <w:lang w:val="en-US" w:eastAsia="zh-CN"/>
        </w:rPr>
        <w:t>矿体产状与顶底板围岩产状一致，顶底板围岩岩性为云母片岩、片麻岩、变质砂岩和混合岩等，其稳定性受地质构造控制，主要工程地质软弱部位是破碎带、侵入体与围岩接触面，北东向构造与北西向构造复合部位。硐探揭露软弱结构面周围2-3m，节理较发育，有时有小坍塌，侧壁基本稳定。</w:t>
      </w:r>
    </w:p>
    <w:p w14:paraId="7DC357F4">
      <w:pPr>
        <w:bidi w:val="0"/>
        <w:rPr>
          <w:rFonts w:hint="eastAsia"/>
          <w:color w:val="auto"/>
          <w:lang w:val="en-US" w:eastAsia="zh-CN"/>
        </w:rPr>
      </w:pPr>
      <w:r>
        <w:rPr>
          <w:rFonts w:hint="eastAsia"/>
          <w:color w:val="auto"/>
          <w:lang w:val="en-US" w:eastAsia="zh-CN"/>
        </w:rPr>
        <w:t>矿区工程地质属简单类型。</w:t>
      </w:r>
    </w:p>
    <w:p w14:paraId="07673A67">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273" w:name="_Toc10965"/>
      <w:bookmarkStart w:id="274" w:name="_Toc27637"/>
      <w:bookmarkStart w:id="275" w:name="_Toc27071"/>
      <w:bookmarkStart w:id="276" w:name="_Toc12852"/>
      <w:bookmarkStart w:id="277" w:name="_Toc4119"/>
      <w:bookmarkStart w:id="278" w:name="_Toc9636"/>
      <w:bookmarkStart w:id="279" w:name="_Toc5129"/>
      <w:r>
        <w:rPr>
          <w:rFonts w:hint="eastAsia" w:ascii="宋体" w:hAnsi="宋体" w:eastAsia="宋体" w:cs="宋体"/>
          <w:color w:val="auto"/>
          <w:sz w:val="28"/>
          <w:szCs w:val="28"/>
          <w:lang w:val="en-US" w:eastAsia="zh-CN"/>
        </w:rPr>
        <w:t>2.6.5 环境地质概况</w:t>
      </w:r>
      <w:bookmarkEnd w:id="273"/>
      <w:bookmarkEnd w:id="274"/>
      <w:bookmarkEnd w:id="275"/>
      <w:bookmarkEnd w:id="276"/>
      <w:bookmarkEnd w:id="277"/>
      <w:bookmarkEnd w:id="278"/>
      <w:bookmarkEnd w:id="279"/>
    </w:p>
    <w:p w14:paraId="7F294938">
      <w:pPr>
        <w:bidi w:val="0"/>
        <w:rPr>
          <w:rFonts w:hint="eastAsia"/>
          <w:color w:val="auto"/>
          <w:lang w:val="en-US" w:eastAsia="zh-CN"/>
        </w:rPr>
      </w:pPr>
      <w:r>
        <w:rPr>
          <w:rFonts w:hint="eastAsia"/>
          <w:color w:val="auto"/>
          <w:lang w:val="en-US" w:eastAsia="zh-CN"/>
        </w:rPr>
        <w:t>矿区以低山丘陵地貌形态为主，植被发育，人居稀少，沟谷低地少量耕地，较多的耕地主要分布在同江河两岸。</w:t>
      </w:r>
    </w:p>
    <w:p w14:paraId="590754C8">
      <w:pPr>
        <w:bidi w:val="0"/>
        <w:rPr>
          <w:rFonts w:hint="eastAsia"/>
          <w:color w:val="auto"/>
          <w:lang w:val="en-US" w:eastAsia="zh-CN"/>
        </w:rPr>
      </w:pPr>
      <w:r>
        <w:rPr>
          <w:rFonts w:hint="eastAsia"/>
          <w:color w:val="auto"/>
          <w:lang w:val="en-US" w:eastAsia="zh-CN"/>
        </w:rPr>
        <w:t>矿山采矿及选矿是矿山主要污染源，地表水体已受到粉尘的污染，地表水体质量Ⅱ-Ⅲ级，地下水质尚好，矿石和废石不易分解出有害组分,采矿可能引起局部地表变形和生态失衡，对地质环境有一定影响。</w:t>
      </w:r>
    </w:p>
    <w:p w14:paraId="529EC22B">
      <w:pPr>
        <w:bidi w:val="0"/>
        <w:rPr>
          <w:rFonts w:hint="eastAsia"/>
          <w:color w:val="auto"/>
          <w:lang w:val="en-US" w:eastAsia="zh-CN"/>
        </w:rPr>
      </w:pPr>
      <w:r>
        <w:rPr>
          <w:rFonts w:hint="eastAsia"/>
          <w:color w:val="auto"/>
          <w:lang w:val="en-US" w:eastAsia="zh-CN"/>
        </w:rPr>
        <w:t>矿区及附近地区没有地震活动的记载，按《中国地震烈度区划图》(</w:t>
      </w:r>
      <w:r>
        <w:rPr>
          <w:rFonts w:hint="eastAsia"/>
          <w:color w:val="auto"/>
        </w:rPr>
        <w:t>GB18306—2015</w:t>
      </w:r>
      <w:r>
        <w:rPr>
          <w:rFonts w:hint="eastAsia"/>
          <w:color w:val="auto"/>
          <w:lang w:val="en-US" w:eastAsia="zh-CN"/>
        </w:rPr>
        <w:t>)和《中国地震动参数区划图》，区域地震烈度6度，地震动峰值加速度0.05g，属于区域稳定性较好的地区。</w:t>
      </w:r>
    </w:p>
    <w:p w14:paraId="471E06AC">
      <w:pPr>
        <w:bidi w:val="0"/>
        <w:rPr>
          <w:rFonts w:hint="eastAsia"/>
          <w:color w:val="auto"/>
          <w:lang w:val="en-US" w:eastAsia="zh-CN"/>
        </w:rPr>
      </w:pPr>
      <w:r>
        <w:rPr>
          <w:rFonts w:hint="eastAsia"/>
          <w:color w:val="auto"/>
          <w:lang w:val="en-US" w:eastAsia="zh-CN"/>
        </w:rPr>
        <w:t>矿区环境质量中等。</w:t>
      </w:r>
    </w:p>
    <w:p w14:paraId="5730342A">
      <w:pPr>
        <w:bidi w:val="0"/>
        <w:rPr>
          <w:rFonts w:hint="eastAsia"/>
          <w:color w:val="auto"/>
          <w:lang w:val="en-US" w:eastAsia="zh-CN"/>
        </w:rPr>
      </w:pPr>
      <w:r>
        <w:rPr>
          <w:rFonts w:hint="eastAsia"/>
          <w:color w:val="auto"/>
          <w:lang w:val="en-US" w:eastAsia="zh-CN"/>
        </w:rPr>
        <w:t>综合上述水文地质、工程地质、环境地质条件属Ⅱ类一型矿床。</w:t>
      </w:r>
    </w:p>
    <w:p w14:paraId="1E91C395">
      <w:pPr>
        <w:pStyle w:val="3"/>
        <w:rPr>
          <w:rFonts w:hint="eastAsia"/>
          <w:color w:val="auto"/>
          <w:lang w:val="en-US" w:eastAsia="zh-CN"/>
        </w:rPr>
      </w:pPr>
      <w:bookmarkStart w:id="280" w:name="_Toc32708"/>
      <w:bookmarkStart w:id="281" w:name="_Toc18360"/>
      <w:bookmarkStart w:id="282" w:name="_Toc28400"/>
      <w:bookmarkStart w:id="283" w:name="_Toc23270"/>
      <w:bookmarkStart w:id="284" w:name="_Toc17579"/>
      <w:bookmarkStart w:id="285" w:name="_Toc18389"/>
      <w:bookmarkStart w:id="286" w:name="_Toc32548"/>
      <w:bookmarkStart w:id="287" w:name="_Toc11197"/>
      <w:bookmarkStart w:id="288" w:name="_Toc27846"/>
      <w:r>
        <w:rPr>
          <w:rFonts w:hint="eastAsia"/>
          <w:color w:val="auto"/>
          <w:lang w:val="en-US" w:eastAsia="zh-CN"/>
        </w:rPr>
        <w:t xml:space="preserve">2.7 </w:t>
      </w:r>
      <w:bookmarkEnd w:id="280"/>
      <w:bookmarkEnd w:id="281"/>
      <w:bookmarkEnd w:id="282"/>
      <w:bookmarkEnd w:id="283"/>
      <w:bookmarkEnd w:id="284"/>
      <w:bookmarkEnd w:id="285"/>
      <w:bookmarkEnd w:id="286"/>
      <w:bookmarkEnd w:id="287"/>
      <w:r>
        <w:rPr>
          <w:rFonts w:hint="eastAsia"/>
          <w:color w:val="auto"/>
          <w:lang w:val="en-US" w:eastAsia="zh-CN"/>
        </w:rPr>
        <w:t>矿山设计</w:t>
      </w:r>
      <w:bookmarkStart w:id="289" w:name="_Toc22782"/>
      <w:bookmarkStart w:id="290" w:name="_Toc30439"/>
      <w:bookmarkStart w:id="291" w:name="_Toc21028"/>
      <w:r>
        <w:rPr>
          <w:rFonts w:hint="eastAsia"/>
          <w:color w:val="auto"/>
          <w:lang w:val="en-US" w:eastAsia="zh-CN"/>
        </w:rPr>
        <w:t>简介</w:t>
      </w:r>
      <w:bookmarkEnd w:id="288"/>
    </w:p>
    <w:bookmarkEnd w:id="289"/>
    <w:bookmarkEnd w:id="290"/>
    <w:bookmarkEnd w:id="291"/>
    <w:p w14:paraId="24B9F728">
      <w:pPr>
        <w:pStyle w:val="4"/>
        <w:rPr>
          <w:rFonts w:hint="default"/>
          <w:color w:val="auto"/>
          <w:lang w:val="en-US" w:eastAsia="zh-CN"/>
        </w:rPr>
      </w:pPr>
      <w:bookmarkStart w:id="292" w:name="_Toc9942"/>
      <w:r>
        <w:rPr>
          <w:rFonts w:hint="eastAsia"/>
          <w:color w:val="auto"/>
          <w:lang w:val="en-US" w:eastAsia="zh-CN"/>
        </w:rPr>
        <w:t>2.7.1 开采初步设计简介</w:t>
      </w:r>
      <w:bookmarkEnd w:id="292"/>
    </w:p>
    <w:p w14:paraId="7A575265">
      <w:pPr>
        <w:bidi w:val="0"/>
        <w:rPr>
          <w:rFonts w:hint="eastAsia"/>
          <w:color w:val="auto"/>
          <w:lang w:val="en-US" w:eastAsia="zh-CN"/>
        </w:rPr>
      </w:pPr>
      <w:r>
        <w:rPr>
          <w:rFonts w:hint="eastAsia"/>
          <w:color w:val="auto"/>
          <w:lang w:val="en-US" w:eastAsia="zh-CN"/>
        </w:rPr>
        <w:t>茅排金矿于2012年11月委托山东黄金集团烟台设计研究工程有限公司编制了《江西临川鲁金矿业有限公司茅排金矿100t/d采矿工程初步设计安全专篇》。分两期工程建设：一期工程主要修复270m平硐；二期工程（未开工建设）主要建设270m平硐以下工程。</w:t>
      </w:r>
    </w:p>
    <w:p w14:paraId="1F213385">
      <w:pPr>
        <w:keepNext w:val="0"/>
        <w:keepLines w:val="0"/>
        <w:pageBreakBefore w:val="0"/>
        <w:widowControl w:val="0"/>
        <w:numPr>
          <w:ilvl w:val="0"/>
          <w:numId w:val="0"/>
        </w:numPr>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 设计开采范围</w:t>
      </w:r>
    </w:p>
    <w:p w14:paraId="3720ABFB">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16～55 勘探线之间，+120m标高以上的矿体。采用两期开拓：一期主要修复270m平垌，采用平硐开拓；二期主要回采270m平垌以下的矿体，采用平硐+盲斜井联合开拓，下设+220m、+170m、+120m共三个中段。</w:t>
      </w:r>
    </w:p>
    <w:p w14:paraId="3265C782">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 设计规模</w:t>
      </w:r>
    </w:p>
    <w:p w14:paraId="1C05F48E">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生产规模为3.0×10</w:t>
      </w:r>
      <w:r>
        <w:rPr>
          <w:rFonts w:hint="eastAsia" w:ascii="宋体" w:hAnsi="宋体" w:eastAsia="宋体" w:cs="宋体"/>
          <w:color w:val="auto"/>
          <w:sz w:val="28"/>
          <w:szCs w:val="28"/>
          <w:vertAlign w:val="superscript"/>
          <w:lang w:val="en-US" w:eastAsia="zh-CN"/>
        </w:rPr>
        <w:t>4</w:t>
      </w:r>
      <w:r>
        <w:rPr>
          <w:rFonts w:hint="eastAsia" w:ascii="宋体" w:hAnsi="宋体" w:eastAsia="宋体" w:cs="宋体"/>
          <w:color w:val="auto"/>
          <w:sz w:val="28"/>
          <w:szCs w:val="28"/>
          <w:lang w:val="en-US" w:eastAsia="zh-CN"/>
        </w:rPr>
        <w:t>t/a。</w:t>
      </w:r>
    </w:p>
    <w:p w14:paraId="45E566FC">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 开拓方式</w:t>
      </w:r>
    </w:p>
    <w:p w14:paraId="571DEAD2">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采用地下开采方式，一期采用平硐开拓，二期采用平硐+盲斜井联合开拓。</w:t>
      </w:r>
    </w:p>
    <w:p w14:paraId="7CE72EBA">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 采矿方法</w:t>
      </w:r>
    </w:p>
    <w:p w14:paraId="1E931A34">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采用浅孔留矿法、削壁充填法采矿。</w:t>
      </w:r>
    </w:p>
    <w:p w14:paraId="66CEC09D">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 运输系统</w:t>
      </w:r>
    </w:p>
    <w:p w14:paraId="343CD242">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一期生产期间270m平硐作为主运输平垌，担负矿区矿石和废石运输任务。+270m中段矿石、废石装入矿车后，由电机车牵引至+270m平硐口，分别运到矿石和废石堆场。矿石运输量100t/d，废石运输量40t/d。</w:t>
      </w:r>
    </w:p>
    <w:p w14:paraId="172F77AE">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期生产期间主要由盲斜井担负矿岩、废石、人员和材料提升任务。矿石、废石装入矿车后，由电机车牵引至盲斜井井底车场，经盲斜井提升至+270m中段，再由电机车牵引至+270m平硐口，分别运到矿石和废石堆场。矿石运输量 100t/d，废石运输量40t/d。运矿、废石的矿车采用YFC0.7-6 翻斗式矿车，电机车采用ZK3-6/250 型架线式电机车。</w:t>
      </w:r>
    </w:p>
    <w:p w14:paraId="3FBC1927">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 通风系统</w:t>
      </w:r>
    </w:p>
    <w:p w14:paraId="5B4E156A">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采用单翼对角式通风方式。矿山一期生产期间由270m平硐进风，二期生产期间主要由270m平硐、斜井进风；经工作面，一、二期污风均由由北翼回风井经上中段+320m回风平硐排出地表。</w:t>
      </w:r>
    </w:p>
    <w:p w14:paraId="4980F02C">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矿山一期设计采用机械抽出式通风方式：选取 K40-4-No11(30</w:t>
      </w:r>
      <w:r>
        <w:rPr>
          <w:rFonts w:hint="eastAsia" w:cs="宋体"/>
          <w:color w:val="auto"/>
          <w:sz w:val="28"/>
          <w:szCs w:val="28"/>
          <w:lang w:val="en-US" w:eastAsia="zh-CN"/>
        </w:rPr>
        <w:t>kW</w:t>
      </w:r>
      <w:r>
        <w:rPr>
          <w:rFonts w:hint="eastAsia" w:ascii="宋体" w:hAnsi="宋体" w:eastAsia="宋体" w:cs="宋体"/>
          <w:color w:val="auto"/>
          <w:sz w:val="28"/>
          <w:szCs w:val="28"/>
          <w:lang w:val="en-US" w:eastAsia="zh-CN"/>
        </w:rPr>
        <w:t>)轴流式风机一台，额定风量11.3～24.7m</w:t>
      </w:r>
      <w:r>
        <w:rPr>
          <w:rFonts w:hint="default" w:ascii="Arial" w:hAnsi="Arial" w:eastAsia="宋体" w:cs="Arial"/>
          <w:color w:val="auto"/>
          <w:sz w:val="28"/>
          <w:szCs w:val="28"/>
          <w:lang w:val="en-US" w:eastAsia="zh-CN"/>
        </w:rPr>
        <w:t>³</w:t>
      </w:r>
      <w:r>
        <w:rPr>
          <w:rFonts w:hint="eastAsia" w:ascii="宋体" w:hAnsi="宋体" w:eastAsia="宋体" w:cs="宋体"/>
          <w:color w:val="auto"/>
          <w:sz w:val="28"/>
          <w:szCs w:val="28"/>
          <w:lang w:val="en-US" w:eastAsia="zh-CN"/>
        </w:rPr>
        <w:t>/s，压力203～ 939Pa，配套电机功率30</w:t>
      </w:r>
      <w:r>
        <w:rPr>
          <w:rFonts w:hint="eastAsia" w:cs="宋体"/>
          <w:color w:val="auto"/>
          <w:sz w:val="28"/>
          <w:szCs w:val="28"/>
          <w:lang w:val="en-US" w:eastAsia="zh-CN"/>
        </w:rPr>
        <w:t>kW</w:t>
      </w:r>
      <w:r>
        <w:rPr>
          <w:rFonts w:hint="eastAsia" w:ascii="宋体" w:hAnsi="宋体" w:eastAsia="宋体" w:cs="宋体"/>
          <w:color w:val="auto"/>
          <w:sz w:val="28"/>
          <w:szCs w:val="28"/>
          <w:lang w:val="en-US" w:eastAsia="zh-CN"/>
        </w:rPr>
        <w:t>，安装于+320m回风平硐风机硐室。</w:t>
      </w:r>
    </w:p>
    <w:p w14:paraId="277E231D">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矿山二期设计选取与一期同型号的风机，设计选取K40-4-No11(30</w:t>
      </w:r>
      <w:r>
        <w:rPr>
          <w:rFonts w:hint="eastAsia" w:cs="宋体"/>
          <w:color w:val="auto"/>
          <w:sz w:val="28"/>
          <w:szCs w:val="28"/>
          <w:lang w:val="en-US" w:eastAsia="zh-CN"/>
        </w:rPr>
        <w:t>kW</w:t>
      </w:r>
      <w:r>
        <w:rPr>
          <w:rFonts w:hint="eastAsia" w:ascii="宋体" w:hAnsi="宋体" w:eastAsia="宋体" w:cs="宋体"/>
          <w:color w:val="auto"/>
          <w:sz w:val="28"/>
          <w:szCs w:val="28"/>
          <w:lang w:val="en-US" w:eastAsia="zh-CN"/>
        </w:rPr>
        <w:t>) 轴流式风机一台，额定风量11.3～24.7m</w:t>
      </w:r>
      <w:r>
        <w:rPr>
          <w:rFonts w:hint="default" w:ascii="Arial" w:hAnsi="Arial" w:eastAsia="宋体" w:cs="Arial"/>
          <w:color w:val="auto"/>
          <w:sz w:val="28"/>
          <w:szCs w:val="28"/>
          <w:lang w:val="en-US" w:eastAsia="zh-CN"/>
        </w:rPr>
        <w:t>³</w:t>
      </w:r>
      <w:r>
        <w:rPr>
          <w:rFonts w:hint="eastAsia" w:ascii="宋体" w:hAnsi="宋体" w:eastAsia="宋体" w:cs="宋体"/>
          <w:color w:val="auto"/>
          <w:sz w:val="28"/>
          <w:szCs w:val="28"/>
          <w:lang w:val="en-US" w:eastAsia="zh-CN"/>
        </w:rPr>
        <w:t>/s，压力203～939Pa，配套电机功率30</w:t>
      </w:r>
      <w:r>
        <w:rPr>
          <w:rFonts w:hint="eastAsia" w:cs="宋体"/>
          <w:color w:val="auto"/>
          <w:sz w:val="28"/>
          <w:szCs w:val="28"/>
          <w:lang w:val="en-US" w:eastAsia="zh-CN"/>
        </w:rPr>
        <w:t>kW</w:t>
      </w:r>
      <w:r>
        <w:rPr>
          <w:rFonts w:hint="eastAsia" w:ascii="宋体" w:hAnsi="宋体" w:eastAsia="宋体" w:cs="宋体"/>
          <w:color w:val="auto"/>
          <w:sz w:val="28"/>
          <w:szCs w:val="28"/>
          <w:lang w:val="en-US" w:eastAsia="zh-CN"/>
        </w:rPr>
        <w:t>。</w:t>
      </w:r>
    </w:p>
    <w:p w14:paraId="585970AE">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 排水系统</w:t>
      </w:r>
    </w:p>
    <w:p w14:paraId="6E5B9642">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一期+270m水平生产时，矿坑可通过平硐自流排出地表；二期+270m以下开采时，采用机械排水方式。设计在+120m中段设排水系统，水仓容积 300m</w:t>
      </w:r>
      <w:r>
        <w:rPr>
          <w:rFonts w:hint="default" w:ascii="Arial" w:hAnsi="Arial" w:eastAsia="宋体" w:cs="Arial"/>
          <w:color w:val="auto"/>
          <w:sz w:val="28"/>
          <w:szCs w:val="28"/>
          <w:lang w:val="en-US" w:eastAsia="zh-CN"/>
        </w:rPr>
        <w:t>³</w:t>
      </w:r>
      <w:r>
        <w:rPr>
          <w:rFonts w:hint="eastAsia" w:ascii="宋体" w:hAnsi="宋体" w:eastAsia="宋体" w:cs="宋体"/>
          <w:color w:val="auto"/>
          <w:sz w:val="28"/>
          <w:szCs w:val="28"/>
          <w:lang w:val="en-US" w:eastAsia="zh-CN"/>
        </w:rPr>
        <w:t xml:space="preserve"> 。在+120m中段水泵站内选用3台D46-50×5型排水泵，单台水泵流量 Q=46m</w:t>
      </w:r>
      <w:r>
        <w:rPr>
          <w:rFonts w:hint="default" w:ascii="Arial" w:hAnsi="Arial" w:eastAsia="宋体" w:cs="Arial"/>
          <w:color w:val="auto"/>
          <w:sz w:val="28"/>
          <w:szCs w:val="28"/>
          <w:lang w:val="en-US" w:eastAsia="zh-CN"/>
        </w:rPr>
        <w:t>³</w:t>
      </w:r>
      <w:r>
        <w:rPr>
          <w:rFonts w:hint="eastAsia" w:ascii="宋体" w:hAnsi="宋体" w:eastAsia="宋体" w:cs="宋体"/>
          <w:color w:val="auto"/>
          <w:sz w:val="28"/>
          <w:szCs w:val="28"/>
          <w:lang w:val="en-US" w:eastAsia="zh-CN"/>
        </w:rPr>
        <w:t>/h，扬程H＝250m，电动机功率N＝75</w:t>
      </w:r>
      <w:r>
        <w:rPr>
          <w:rFonts w:hint="eastAsia" w:cs="宋体"/>
          <w:color w:val="auto"/>
          <w:sz w:val="28"/>
          <w:szCs w:val="28"/>
          <w:lang w:val="en-US" w:eastAsia="zh-CN"/>
        </w:rPr>
        <w:t>kW</w:t>
      </w:r>
      <w:r>
        <w:rPr>
          <w:rFonts w:hint="eastAsia" w:ascii="宋体" w:hAnsi="宋体" w:eastAsia="宋体" w:cs="宋体"/>
          <w:color w:val="auto"/>
          <w:sz w:val="28"/>
          <w:szCs w:val="28"/>
          <w:lang w:val="en-US" w:eastAsia="zh-CN"/>
        </w:rPr>
        <w:t>。主排水管路采用两条，沿斜井、270m平硐铺设，采用φ108×5型无缝钢管。</w:t>
      </w:r>
    </w:p>
    <w:p w14:paraId="2F9EB4D0">
      <w:pPr>
        <w:keepNext w:val="0"/>
        <w:keepLines w:val="0"/>
        <w:pageBreakBefore w:val="0"/>
        <w:widowControl w:val="0"/>
        <w:kinsoku/>
        <w:wordWrap/>
        <w:overflowPunct/>
        <w:topLinePunct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 供电系统</w:t>
      </w:r>
    </w:p>
    <w:p w14:paraId="3F743B17">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选用 S11-200/10/0.4kV变压器一台，采用中性点接地运行方式，担负向</w:t>
      </w:r>
      <w:r>
        <w:rPr>
          <w:rFonts w:hint="default" w:ascii="宋体" w:hAnsi="宋体" w:eastAsia="宋体" w:cs="宋体"/>
          <w:color w:val="auto"/>
          <w:sz w:val="28"/>
          <w:szCs w:val="28"/>
          <w:lang w:val="en-US" w:eastAsia="zh-CN"/>
        </w:rPr>
        <w:t>空压机、坑口机修和风机等地表设备供电。在变电所旁设一套 400</w:t>
      </w:r>
      <w:r>
        <w:rPr>
          <w:rFonts w:hint="eastAsia" w:cs="宋体"/>
          <w:color w:val="auto"/>
          <w:sz w:val="28"/>
          <w:szCs w:val="28"/>
          <w:lang w:val="en-US" w:eastAsia="zh-CN"/>
        </w:rPr>
        <w:t>kW</w:t>
      </w:r>
      <w:r>
        <w:rPr>
          <w:rFonts w:hint="default" w:ascii="宋体" w:hAnsi="宋体" w:eastAsia="宋体" w:cs="宋体"/>
          <w:color w:val="auto"/>
          <w:sz w:val="28"/>
          <w:szCs w:val="28"/>
          <w:lang w:val="en-US" w:eastAsia="zh-CN"/>
        </w:rPr>
        <w:t>0.4kV低压柴油发电机组作为一级负荷的保安电源，通过一台 S11-315/0.4/0.4kV隔离变压器，与 S11-315/10/0.4kV变压器一起，采用中性点不接地运行方式，担负向井下卷扬机、水泵等设备供电</w:t>
      </w:r>
      <w:r>
        <w:rPr>
          <w:rFonts w:hint="eastAsia" w:ascii="宋体" w:hAnsi="宋体" w:eastAsia="宋体" w:cs="宋体"/>
          <w:color w:val="auto"/>
          <w:sz w:val="28"/>
          <w:szCs w:val="28"/>
          <w:lang w:val="en-US" w:eastAsia="zh-CN"/>
        </w:rPr>
        <w:t>。</w:t>
      </w:r>
    </w:p>
    <w:p w14:paraId="620182D7">
      <w:pPr>
        <w:pStyle w:val="4"/>
        <w:rPr>
          <w:rFonts w:hint="eastAsia"/>
          <w:color w:val="auto"/>
          <w:lang w:val="en-US" w:eastAsia="zh-CN"/>
        </w:rPr>
      </w:pPr>
      <w:bookmarkStart w:id="293" w:name="_Toc32411"/>
      <w:bookmarkStart w:id="294" w:name="_Toc9873"/>
      <w:bookmarkStart w:id="295" w:name="_Toc21086"/>
      <w:bookmarkStart w:id="296" w:name="_Toc5409"/>
      <w:bookmarkStart w:id="297" w:name="_Toc29439"/>
      <w:r>
        <w:rPr>
          <w:rFonts w:hint="eastAsia"/>
          <w:color w:val="auto"/>
          <w:lang w:val="en-US" w:eastAsia="zh-CN"/>
        </w:rPr>
        <w:t>2.7.2 设计变更</w:t>
      </w:r>
      <w:bookmarkEnd w:id="293"/>
      <w:bookmarkEnd w:id="294"/>
      <w:bookmarkEnd w:id="295"/>
      <w:bookmarkEnd w:id="296"/>
      <w:r>
        <w:rPr>
          <w:rFonts w:hint="eastAsia"/>
          <w:color w:val="auto"/>
          <w:lang w:val="en-US" w:eastAsia="zh-CN"/>
        </w:rPr>
        <w:t>简介</w:t>
      </w:r>
      <w:bookmarkEnd w:id="297"/>
    </w:p>
    <w:p w14:paraId="5BC03C87">
      <w:pPr>
        <w:bidi w:val="0"/>
        <w:rPr>
          <w:rFonts w:hint="eastAsia"/>
          <w:color w:val="auto"/>
          <w:lang w:val="en-US" w:eastAsia="zh-CN"/>
        </w:rPr>
      </w:pPr>
      <w:r>
        <w:rPr>
          <w:rFonts w:hint="eastAsia"/>
          <w:color w:val="auto"/>
          <w:lang w:val="en-US" w:eastAsia="zh-CN"/>
        </w:rPr>
        <w:t>矿山在建设过程中发现25线至14线间实际矿量锐减且不稳定，故对原有设计进行了适当变更，山东黄金集团烟台设计研究工程有限公司于2013年8月编制了《江西临川鲁金矿业有限公司茅排金矿100t/d采矿工程初步设计安全专篇（变更）》。主要设计变更内容简介如下：</w:t>
      </w:r>
    </w:p>
    <w:p w14:paraId="1DE7787E">
      <w:pPr>
        <w:bidi w:val="0"/>
        <w:rPr>
          <w:rFonts w:hint="eastAsia"/>
          <w:color w:val="auto"/>
          <w:lang w:val="en-US" w:eastAsia="zh-CN"/>
        </w:rPr>
      </w:pPr>
      <w:r>
        <w:rPr>
          <w:rFonts w:hint="eastAsia"/>
          <w:color w:val="auto"/>
          <w:lang w:val="en-US" w:eastAsia="zh-CN"/>
        </w:rPr>
        <w:t>1）变更内容</w:t>
      </w:r>
    </w:p>
    <w:p w14:paraId="4186FA16">
      <w:pPr>
        <w:bidi w:val="0"/>
        <w:rPr>
          <w:rFonts w:hint="eastAsia"/>
          <w:color w:val="auto"/>
          <w:lang w:val="en-US" w:eastAsia="zh-CN"/>
        </w:rPr>
      </w:pPr>
      <w:r>
        <w:rPr>
          <w:rFonts w:hint="eastAsia"/>
          <w:color w:val="auto"/>
          <w:lang w:val="en-US" w:eastAsia="zh-CN"/>
        </w:rPr>
        <w:t>因25线至14线间实际矿量锐减且不稳定，将原设计中23线处人行天井调整到25线，并对25线已有天井进行修复利用，变更后270m中段25线至14线不进行开拓工程。</w:t>
      </w:r>
    </w:p>
    <w:p w14:paraId="5603056A">
      <w:pPr>
        <w:bidi w:val="0"/>
        <w:rPr>
          <w:rFonts w:hint="eastAsia"/>
          <w:color w:val="auto"/>
          <w:lang w:val="en-US" w:eastAsia="zh-CN"/>
        </w:rPr>
      </w:pPr>
      <w:r>
        <w:rPr>
          <w:rFonts w:hint="eastAsia"/>
          <w:color w:val="auto"/>
          <w:lang w:val="en-US" w:eastAsia="zh-CN"/>
        </w:rPr>
        <w:t>2）风机位置调整</w:t>
      </w:r>
    </w:p>
    <w:p w14:paraId="25C9CE43">
      <w:pPr>
        <w:bidi w:val="0"/>
        <w:rPr>
          <w:rFonts w:hint="eastAsia"/>
          <w:color w:val="auto"/>
          <w:lang w:val="en-US" w:eastAsia="zh-CN"/>
        </w:rPr>
      </w:pPr>
      <w:r>
        <w:rPr>
          <w:rFonts w:hint="eastAsia"/>
          <w:color w:val="auto"/>
          <w:lang w:val="en-US" w:eastAsia="zh-CN"/>
        </w:rPr>
        <w:t>原设计风机安装在18线附近平硐口，变更后将风机调整到1线平硐口位置。</w:t>
      </w:r>
    </w:p>
    <w:p w14:paraId="3A8FFAA8">
      <w:pPr>
        <w:bidi w:val="0"/>
        <w:rPr>
          <w:rFonts w:hint="eastAsia"/>
          <w:color w:val="auto"/>
          <w:lang w:val="en-US" w:eastAsia="zh-CN"/>
        </w:rPr>
      </w:pPr>
      <w:r>
        <w:rPr>
          <w:rFonts w:hint="eastAsia"/>
          <w:color w:val="auto"/>
          <w:lang w:val="en-US" w:eastAsia="zh-CN"/>
        </w:rPr>
        <w:t>3）一期运输系统变更</w:t>
      </w:r>
    </w:p>
    <w:p w14:paraId="009D32F9">
      <w:pPr>
        <w:bidi w:val="0"/>
        <w:rPr>
          <w:rFonts w:hint="eastAsia"/>
          <w:color w:val="auto"/>
          <w:lang w:val="en-US" w:eastAsia="zh-CN"/>
        </w:rPr>
      </w:pPr>
      <w:r>
        <w:rPr>
          <w:rFonts w:hint="eastAsia"/>
          <w:color w:val="auto"/>
          <w:lang w:val="en-US" w:eastAsia="zh-CN"/>
        </w:rPr>
        <w:t>270m平硐原设计采用有轨电机车运输，变更为人力推车运输，随后将人力推车淘汰，改为目前采用的矿用四轮车运输，并在2013年4月向原江西省安全生产监督管理局提出了变更申请，专家及上级有关部门均认可矿山提出的变更申请。</w:t>
      </w:r>
    </w:p>
    <w:p w14:paraId="4430A393">
      <w:pPr>
        <w:bidi w:val="0"/>
        <w:rPr>
          <w:rFonts w:hint="eastAsia"/>
          <w:color w:val="auto"/>
          <w:lang w:val="en-US" w:eastAsia="zh-CN"/>
        </w:rPr>
      </w:pPr>
      <w:r>
        <w:rPr>
          <w:rFonts w:hint="eastAsia"/>
          <w:color w:val="auto"/>
          <w:lang w:val="en-US" w:eastAsia="zh-CN"/>
        </w:rPr>
        <w:t>4）270m中段“六大系统”建设变更</w:t>
      </w:r>
    </w:p>
    <w:p w14:paraId="4D2CC656">
      <w:pPr>
        <w:bidi w:val="0"/>
        <w:rPr>
          <w:rFonts w:hint="eastAsia"/>
          <w:color w:val="auto"/>
          <w:lang w:val="en-US" w:eastAsia="zh-CN"/>
        </w:rPr>
      </w:pPr>
      <w:r>
        <w:rPr>
          <w:rFonts w:hint="eastAsia"/>
          <w:color w:val="auto"/>
          <w:lang w:val="en-US" w:eastAsia="zh-CN"/>
        </w:rPr>
        <w:t>（1）原设计内容：270m中段69线至14线均需按要求建设六大系统。</w:t>
      </w:r>
    </w:p>
    <w:p w14:paraId="0AB7FA86">
      <w:pPr>
        <w:bidi w:val="0"/>
        <w:rPr>
          <w:rFonts w:hint="eastAsia"/>
          <w:color w:val="auto"/>
          <w:lang w:val="en-US" w:eastAsia="zh-CN"/>
        </w:rPr>
      </w:pPr>
      <w:r>
        <w:rPr>
          <w:rFonts w:hint="eastAsia"/>
          <w:color w:val="auto"/>
          <w:lang w:val="en-US" w:eastAsia="zh-CN"/>
        </w:rPr>
        <w:t>（2）变更原因：矿方在25线至14线未探得稳定连续、有经济价值的矿体，因此不进行开拓系统布置。</w:t>
      </w:r>
    </w:p>
    <w:p w14:paraId="5A3CB58F">
      <w:pPr>
        <w:bidi w:val="0"/>
        <w:rPr>
          <w:rFonts w:hint="eastAsia"/>
          <w:color w:val="auto"/>
          <w:lang w:val="en-US" w:eastAsia="zh-CN"/>
        </w:rPr>
      </w:pPr>
      <w:r>
        <w:rPr>
          <w:rFonts w:hint="eastAsia"/>
          <w:color w:val="auto"/>
          <w:lang w:val="en-US" w:eastAsia="zh-CN"/>
        </w:rPr>
        <w:t>（3）变更内容：270m中段25线至14线不再铺设监测监控设备、通信设备以及供水、压风管路，监测监控设备和通信设备备用于下一中段开采时使用。但25线的人行天井仍需保留监测监控设备。</w:t>
      </w:r>
    </w:p>
    <w:p w14:paraId="7E73F4C8">
      <w:pPr>
        <w:pStyle w:val="3"/>
        <w:rPr>
          <w:rFonts w:hint="default"/>
          <w:color w:val="auto"/>
          <w:lang w:val="en-US" w:eastAsia="zh-CN"/>
        </w:rPr>
      </w:pPr>
      <w:bookmarkStart w:id="298" w:name="_Toc9282"/>
      <w:bookmarkStart w:id="299" w:name="_Toc2540"/>
      <w:bookmarkStart w:id="300" w:name="_Toc7977"/>
      <w:bookmarkStart w:id="301" w:name="_Toc13263"/>
      <w:r>
        <w:rPr>
          <w:rFonts w:hint="eastAsia"/>
          <w:color w:val="auto"/>
          <w:lang w:val="en-US" w:eastAsia="zh-CN"/>
        </w:rPr>
        <w:t>2.8上一轮</w:t>
      </w:r>
      <w:bookmarkEnd w:id="298"/>
      <w:r>
        <w:rPr>
          <w:rFonts w:hint="eastAsia"/>
          <w:color w:val="auto"/>
          <w:lang w:val="en-US" w:eastAsia="zh-CN"/>
        </w:rPr>
        <w:t>许可情况</w:t>
      </w:r>
      <w:bookmarkEnd w:id="299"/>
    </w:p>
    <w:p w14:paraId="66B44830">
      <w:pPr>
        <w:bidi w:val="0"/>
        <w:rPr>
          <w:rFonts w:hint="eastAsia"/>
          <w:color w:val="auto"/>
          <w:lang w:val="en-US" w:eastAsia="zh-CN"/>
        </w:rPr>
      </w:pPr>
      <w:r>
        <w:rPr>
          <w:rFonts w:hint="eastAsia"/>
          <w:color w:val="auto"/>
          <w:lang w:val="en-US" w:eastAsia="zh-CN"/>
        </w:rPr>
        <w:t>2023年4月，</w:t>
      </w:r>
      <w:r>
        <w:rPr>
          <w:rFonts w:hint="eastAsia"/>
          <w:color w:val="auto"/>
        </w:rPr>
        <w:t>江西赣安安全生产科学技术咨询服务中心</w:t>
      </w:r>
      <w:r>
        <w:rPr>
          <w:rFonts w:hint="eastAsia"/>
          <w:color w:val="auto"/>
          <w:lang w:val="en-US" w:eastAsia="zh-CN"/>
        </w:rPr>
        <w:t>编制了《江西临川鲁金矿业有限公司茅排金矿地下开采安全现状评价报告》，根据该报告，可知：</w:t>
      </w:r>
    </w:p>
    <w:p w14:paraId="79618372">
      <w:pPr>
        <w:bidi w:val="0"/>
        <w:rPr>
          <w:rFonts w:hint="eastAsia"/>
          <w:color w:val="auto"/>
          <w:lang w:val="en-US" w:eastAsia="zh-CN"/>
        </w:rPr>
      </w:pPr>
      <w:r>
        <w:rPr>
          <w:rFonts w:hint="eastAsia"/>
          <w:color w:val="auto"/>
          <w:lang w:val="en-US" w:eastAsia="zh-CN"/>
        </w:rPr>
        <w:t>矿山开采方式为地下开采，开拓方式为平硐开拓，采用浅孔留矿法进行采矿，矿山在+270m中段进行开采活动，采</w:t>
      </w:r>
      <w:r>
        <w:rPr>
          <w:rFonts w:hint="default"/>
          <w:color w:val="auto"/>
          <w:lang w:val="en-US" w:eastAsia="zh-CN"/>
        </w:rPr>
        <w:t>区位于+270m中段</w:t>
      </w:r>
      <w:r>
        <w:rPr>
          <w:rFonts w:hint="eastAsia"/>
          <w:color w:val="auto"/>
          <w:lang w:val="en-US" w:eastAsia="zh-CN"/>
        </w:rPr>
        <w:t>25</w:t>
      </w:r>
      <w:r>
        <w:rPr>
          <w:rFonts w:hint="default"/>
          <w:color w:val="auto"/>
          <w:lang w:val="en-US" w:eastAsia="zh-CN"/>
        </w:rPr>
        <w:t>-</w:t>
      </w:r>
      <w:r>
        <w:rPr>
          <w:rFonts w:hint="eastAsia"/>
          <w:color w:val="auto"/>
          <w:lang w:val="en-US" w:eastAsia="zh-CN"/>
        </w:rPr>
        <w:t>2</w:t>
      </w:r>
      <w:r>
        <w:rPr>
          <w:rFonts w:hint="default"/>
          <w:color w:val="auto"/>
          <w:lang w:val="en-US" w:eastAsia="zh-CN"/>
        </w:rPr>
        <w:t>7号勘探线之间</w:t>
      </w:r>
      <w:r>
        <w:rPr>
          <w:rFonts w:hint="eastAsia"/>
          <w:color w:val="auto"/>
          <w:lang w:val="en-US" w:eastAsia="zh-CN"/>
        </w:rPr>
        <w:t>。+320m中段为回风中段，+270m平硐作为主运输平硐，采用矿用四轮汽车运输方式。</w:t>
      </w:r>
    </w:p>
    <w:p w14:paraId="4571D51D">
      <w:pPr>
        <w:bidi w:val="0"/>
        <w:rPr>
          <w:rFonts w:hint="eastAsia"/>
          <w:color w:val="auto"/>
          <w:lang w:val="en-US" w:eastAsia="zh-CN"/>
        </w:rPr>
      </w:pPr>
      <w:r>
        <w:rPr>
          <w:rFonts w:hint="eastAsia"/>
          <w:color w:val="auto"/>
          <w:lang w:val="en-US" w:eastAsia="zh-CN"/>
        </w:rPr>
        <w:t>上一轮安全生产许可证许可范围：金矿3万吨/年，平硐开拓，+270m中段地下开采。</w:t>
      </w:r>
    </w:p>
    <w:bookmarkEnd w:id="300"/>
    <w:bookmarkEnd w:id="301"/>
    <w:p w14:paraId="7F706086">
      <w:pPr>
        <w:pStyle w:val="3"/>
        <w:rPr>
          <w:rFonts w:hint="eastAsia"/>
          <w:color w:val="auto"/>
          <w:lang w:val="en-US" w:eastAsia="zh-CN"/>
        </w:rPr>
      </w:pPr>
      <w:bookmarkStart w:id="302" w:name="_Toc22284"/>
      <w:bookmarkStart w:id="303" w:name="_Toc1739"/>
      <w:bookmarkStart w:id="304" w:name="_Toc21403"/>
      <w:bookmarkStart w:id="305" w:name="_Toc28942"/>
      <w:bookmarkStart w:id="306" w:name="_Toc14060"/>
      <w:bookmarkStart w:id="307" w:name="_Toc27920"/>
      <w:bookmarkStart w:id="308" w:name="_Toc14806"/>
      <w:r>
        <w:rPr>
          <w:rFonts w:hint="eastAsia"/>
          <w:color w:val="auto"/>
          <w:lang w:val="en-US" w:eastAsia="zh-CN"/>
        </w:rPr>
        <w:t>2.9 矿区总平面布置</w:t>
      </w:r>
      <w:bookmarkEnd w:id="302"/>
      <w:bookmarkEnd w:id="303"/>
      <w:bookmarkEnd w:id="304"/>
      <w:bookmarkEnd w:id="305"/>
      <w:bookmarkEnd w:id="306"/>
      <w:bookmarkEnd w:id="307"/>
      <w:bookmarkEnd w:id="308"/>
    </w:p>
    <w:p w14:paraId="4BF4FCFF">
      <w:pPr>
        <w:bidi w:val="0"/>
        <w:rPr>
          <w:rFonts w:hint="eastAsia"/>
          <w:color w:val="auto"/>
          <w:lang w:val="en-US" w:eastAsia="zh-CN"/>
        </w:rPr>
      </w:pPr>
      <w:r>
        <w:rPr>
          <w:rFonts w:hint="eastAsia"/>
          <w:color w:val="auto"/>
          <w:lang w:val="en-US" w:eastAsia="zh-CN"/>
        </w:rPr>
        <w:t>江西临川鲁金矿业有限公司茅排金矿为采选联合企业，矿山总体布局由五个主要部分组成，即采矿工业场地、选矿厂、废石场、尾矿库及 (矿部) 生活区组成。其中采矿工业场地设置在+270m平硐口附近。详见井下井下对照图及总平面布置图。</w:t>
      </w:r>
    </w:p>
    <w:p w14:paraId="13356DB2">
      <w:pPr>
        <w:bidi w:val="0"/>
        <w:rPr>
          <w:rFonts w:hint="eastAsia"/>
          <w:color w:val="auto"/>
          <w:lang w:val="en-US" w:eastAsia="zh-CN"/>
        </w:rPr>
      </w:pPr>
      <w:r>
        <w:rPr>
          <w:rFonts w:hint="eastAsia"/>
          <w:color w:val="auto"/>
          <w:lang w:val="en-US" w:eastAsia="zh-CN"/>
        </w:rPr>
        <w:t>1) +270m平硐</w:t>
      </w:r>
    </w:p>
    <w:p w14:paraId="701B4AA6">
      <w:pPr>
        <w:bidi w:val="0"/>
        <w:rPr>
          <w:rFonts w:hint="eastAsia"/>
          <w:color w:val="auto"/>
          <w:lang w:val="en-US" w:eastAsia="zh-CN"/>
        </w:rPr>
      </w:pPr>
      <w:r>
        <w:rPr>
          <w:rFonts w:hint="eastAsia"/>
          <w:color w:val="auto"/>
          <w:lang w:val="en-US" w:eastAsia="zh-CN"/>
        </w:rPr>
        <w:t>+270m平硐口位于67-69号勘探线之间，方位近南187°，规格2.6m×2.4m，硐口坐标X=3060128.45、Y=39449166.84、Z=+270m。该平硐作为主运输平硐，位于17-69号勘探线之间，担负矿区矿石和废石运输任务，硐口位于地表岩移范围外。</w:t>
      </w:r>
    </w:p>
    <w:p w14:paraId="14E42A96">
      <w:pPr>
        <w:bidi w:val="0"/>
        <w:rPr>
          <w:rFonts w:hint="eastAsia"/>
          <w:color w:val="auto"/>
          <w:lang w:val="en-US" w:eastAsia="zh-CN"/>
        </w:rPr>
      </w:pPr>
      <w:r>
        <w:rPr>
          <w:rFonts w:hint="eastAsia"/>
          <w:color w:val="auto"/>
          <w:lang w:val="en-US" w:eastAsia="zh-CN"/>
        </w:rPr>
        <w:t>2) +320m平硐</w:t>
      </w:r>
    </w:p>
    <w:p w14:paraId="29267122">
      <w:pPr>
        <w:bidi w:val="0"/>
        <w:rPr>
          <w:rFonts w:hint="eastAsia"/>
          <w:color w:val="auto"/>
          <w:lang w:val="en-US" w:eastAsia="zh-CN"/>
        </w:rPr>
      </w:pPr>
      <w:r>
        <w:rPr>
          <w:rFonts w:hint="eastAsia"/>
          <w:color w:val="auto"/>
          <w:lang w:val="en-US" w:eastAsia="zh-CN"/>
        </w:rPr>
        <w:t>+320m平硐位于6-43号勘探线之间，其北东平硐口位于1号勘探线，南西平硐口位于+270m平硐口东北约571.3m处，岩移范围外，硐口标高+320m。</w:t>
      </w:r>
    </w:p>
    <w:p w14:paraId="30225795">
      <w:pPr>
        <w:bidi w:val="0"/>
        <w:rPr>
          <w:rFonts w:hint="eastAsia"/>
          <w:color w:val="auto"/>
          <w:lang w:val="en-US" w:eastAsia="zh-CN"/>
        </w:rPr>
      </w:pPr>
      <w:r>
        <w:rPr>
          <w:rFonts w:hint="eastAsia"/>
          <w:color w:val="auto"/>
          <w:lang w:val="en-US" w:eastAsia="zh-CN"/>
        </w:rPr>
        <w:t>3) 高位水池</w:t>
      </w:r>
    </w:p>
    <w:p w14:paraId="0E79880F">
      <w:pPr>
        <w:bidi w:val="0"/>
        <w:rPr>
          <w:rFonts w:hint="eastAsia"/>
          <w:color w:val="auto"/>
          <w:lang w:val="en-US" w:eastAsia="zh-CN"/>
        </w:rPr>
      </w:pPr>
      <w:r>
        <w:rPr>
          <w:rFonts w:hint="eastAsia"/>
          <w:color w:val="auto"/>
          <w:lang w:val="en-US" w:eastAsia="zh-CN"/>
        </w:rPr>
        <w:t>矿山在+270m平硐口附近建了1个高位水池，水源来自山上小溪流水。</w:t>
      </w:r>
    </w:p>
    <w:p w14:paraId="34C187AC">
      <w:pPr>
        <w:bidi w:val="0"/>
        <w:rPr>
          <w:rFonts w:hint="eastAsia"/>
          <w:color w:val="auto"/>
          <w:lang w:val="en-US" w:eastAsia="zh-CN"/>
        </w:rPr>
      </w:pPr>
      <w:r>
        <w:rPr>
          <w:rFonts w:hint="eastAsia"/>
          <w:color w:val="auto"/>
          <w:lang w:val="en-US" w:eastAsia="zh-CN"/>
        </w:rPr>
        <w:t>4) 空压机房</w:t>
      </w:r>
    </w:p>
    <w:p w14:paraId="1831EAE8">
      <w:pPr>
        <w:bidi w:val="0"/>
        <w:rPr>
          <w:rFonts w:hint="eastAsia"/>
          <w:color w:val="auto"/>
          <w:lang w:val="en-US" w:eastAsia="zh-CN"/>
        </w:rPr>
      </w:pPr>
      <w:r>
        <w:rPr>
          <w:rFonts w:hint="eastAsia"/>
          <w:color w:val="auto"/>
          <w:lang w:val="en-US" w:eastAsia="zh-CN"/>
        </w:rPr>
        <w:t>空压机房设置在+270m平硐口附近的地面工业场地上。</w:t>
      </w:r>
    </w:p>
    <w:p w14:paraId="339D65D6">
      <w:pPr>
        <w:bidi w:val="0"/>
        <w:rPr>
          <w:rFonts w:hint="eastAsia"/>
          <w:color w:val="auto"/>
          <w:lang w:val="en-US" w:eastAsia="zh-CN"/>
        </w:rPr>
      </w:pPr>
      <w:r>
        <w:rPr>
          <w:rFonts w:hint="eastAsia"/>
          <w:color w:val="auto"/>
          <w:lang w:val="en-US" w:eastAsia="zh-CN"/>
        </w:rPr>
        <w:t>5) 矿部、总仓库及生活区</w:t>
      </w:r>
    </w:p>
    <w:p w14:paraId="13670A11">
      <w:pPr>
        <w:bidi w:val="0"/>
        <w:rPr>
          <w:rFonts w:hint="eastAsia"/>
          <w:color w:val="auto"/>
          <w:lang w:val="en-US" w:eastAsia="zh-CN"/>
        </w:rPr>
      </w:pPr>
      <w:r>
        <w:rPr>
          <w:rFonts w:hint="eastAsia"/>
          <w:color w:val="auto"/>
          <w:lang w:val="en-US" w:eastAsia="zh-CN"/>
        </w:rPr>
        <w:t>矿部、总仓库及生活区位于+270m平硐口下方，矿区西南部山簏下。</w:t>
      </w:r>
    </w:p>
    <w:p w14:paraId="3C1263A5">
      <w:pPr>
        <w:bidi w:val="0"/>
        <w:rPr>
          <w:rFonts w:hint="eastAsia"/>
          <w:color w:val="auto"/>
          <w:lang w:val="en-US" w:eastAsia="zh-CN"/>
        </w:rPr>
      </w:pPr>
      <w:r>
        <w:rPr>
          <w:rFonts w:hint="eastAsia"/>
          <w:color w:val="auto"/>
          <w:lang w:val="en-US" w:eastAsia="zh-CN"/>
        </w:rPr>
        <w:t>6) 炸药库</w:t>
      </w:r>
    </w:p>
    <w:p w14:paraId="218362F3">
      <w:pPr>
        <w:bidi w:val="0"/>
        <w:rPr>
          <w:rFonts w:hint="eastAsia"/>
          <w:color w:val="auto"/>
          <w:lang w:val="en-US" w:eastAsia="zh-CN"/>
        </w:rPr>
      </w:pPr>
      <w:r>
        <w:rPr>
          <w:rFonts w:hint="eastAsia"/>
          <w:color w:val="auto"/>
          <w:lang w:val="en-US" w:eastAsia="zh-CN"/>
        </w:rPr>
        <w:t>炸药库位于庄前尾矿库东北侧，与矿部之间有一山脊相隔。距离约323m。</w:t>
      </w:r>
    </w:p>
    <w:p w14:paraId="6F975C78">
      <w:pPr>
        <w:bidi w:val="0"/>
        <w:rPr>
          <w:rFonts w:hint="eastAsia"/>
          <w:color w:val="auto"/>
          <w:lang w:val="en-US" w:eastAsia="zh-CN"/>
        </w:rPr>
      </w:pPr>
      <w:r>
        <w:rPr>
          <w:rFonts w:hint="eastAsia"/>
          <w:color w:val="auto"/>
          <w:lang w:val="en-US" w:eastAsia="zh-CN"/>
        </w:rPr>
        <w:t>7) 废石场</w:t>
      </w:r>
    </w:p>
    <w:p w14:paraId="1E4594E9">
      <w:pPr>
        <w:bidi w:val="0"/>
        <w:rPr>
          <w:rFonts w:hint="default"/>
          <w:color w:val="auto"/>
          <w:lang w:val="en-US"/>
        </w:rPr>
      </w:pPr>
      <w:r>
        <w:rPr>
          <w:rFonts w:hint="eastAsia"/>
          <w:color w:val="auto"/>
          <w:lang w:val="en-US" w:eastAsia="zh-CN"/>
        </w:rPr>
        <w:t>废石场设在+270m平硐口南侧150m处山谷内，下方为低洼山地，无民宅和村庄。废石大部分均被当地用做建筑材料进行回收利用，小部分废石和尾砂用于矿区铺路填垫，废石场现堆存极少量废石。</w:t>
      </w:r>
    </w:p>
    <w:p w14:paraId="35DB864A">
      <w:pPr>
        <w:bidi w:val="0"/>
        <w:rPr>
          <w:rFonts w:hint="eastAsia"/>
          <w:color w:val="auto"/>
          <w:lang w:val="en-US" w:eastAsia="zh-CN"/>
        </w:rPr>
      </w:pPr>
      <w:r>
        <w:rPr>
          <w:rFonts w:hint="eastAsia"/>
          <w:color w:val="auto"/>
          <w:lang w:val="en-US" w:eastAsia="zh-CN"/>
        </w:rPr>
        <w:t>8) 选矿厂、尾矿库</w:t>
      </w:r>
    </w:p>
    <w:p w14:paraId="15FE8055">
      <w:pPr>
        <w:bidi w:val="0"/>
        <w:rPr>
          <w:rFonts w:hint="eastAsia"/>
          <w:color w:val="auto"/>
          <w:lang w:val="en-US" w:eastAsia="zh-CN"/>
        </w:rPr>
      </w:pPr>
      <w:r>
        <w:rPr>
          <w:rFonts w:hint="eastAsia"/>
          <w:color w:val="auto"/>
          <w:lang w:val="en-US" w:eastAsia="zh-CN"/>
        </w:rPr>
        <w:t>选矿厂位于+270m主平硐口南侧下方，尾矿经压滤机进行固、水分离后，固态尾矿汽车运输至庄前尾矿库。庄前位于选厂对面山谷内，距离选矿厂约309m。</w:t>
      </w:r>
    </w:p>
    <w:p w14:paraId="37B29A80">
      <w:pPr>
        <w:pStyle w:val="3"/>
        <w:pageBreakBefore w:val="0"/>
        <w:numPr>
          <w:ilvl w:val="-1"/>
          <w:numId w:val="0"/>
        </w:numPr>
        <w:kinsoku/>
        <w:wordWrap/>
        <w:overflowPunct/>
        <w:topLinePunct w:val="0"/>
        <w:autoSpaceDE/>
        <w:autoSpaceDN/>
        <w:bidi w:val="0"/>
        <w:spacing w:before="0" w:after="0"/>
        <w:ind w:leftChars="0"/>
        <w:textAlignment w:val="auto"/>
        <w:rPr>
          <w:rFonts w:hint="eastAsia" w:ascii="Arial" w:hAnsi="Arial" w:eastAsia="宋体" w:cs="宋体"/>
          <w:color w:val="auto"/>
          <w:lang w:val="en-US" w:eastAsia="zh-CN"/>
        </w:rPr>
      </w:pPr>
      <w:bookmarkStart w:id="309" w:name="_Toc15696"/>
      <w:bookmarkStart w:id="310" w:name="_Toc24243"/>
      <w:bookmarkStart w:id="311" w:name="_Toc2330"/>
      <w:r>
        <w:rPr>
          <w:rFonts w:hint="eastAsia" w:ascii="Arial" w:hAnsi="Arial" w:eastAsia="宋体" w:cs="宋体"/>
          <w:color w:val="auto"/>
          <w:lang w:val="en-US" w:eastAsia="zh-CN"/>
        </w:rPr>
        <w:t>2.</w:t>
      </w:r>
      <w:r>
        <w:rPr>
          <w:rFonts w:hint="eastAsia" w:eastAsia="宋体" w:cs="宋体"/>
          <w:color w:val="auto"/>
          <w:lang w:val="en-US" w:eastAsia="zh-CN"/>
        </w:rPr>
        <w:t>10</w:t>
      </w:r>
      <w:r>
        <w:rPr>
          <w:rFonts w:hint="eastAsia" w:ascii="Arial" w:hAnsi="Arial" w:eastAsia="宋体" w:cs="宋体"/>
          <w:color w:val="auto"/>
          <w:lang w:val="en-US" w:eastAsia="zh-CN"/>
        </w:rPr>
        <w:t xml:space="preserve"> 主要生产及辅助系统</w:t>
      </w:r>
      <w:bookmarkEnd w:id="309"/>
      <w:bookmarkEnd w:id="310"/>
      <w:bookmarkEnd w:id="311"/>
      <w:r>
        <w:rPr>
          <w:rFonts w:hint="eastAsia" w:ascii="Arial" w:hAnsi="Arial" w:eastAsia="宋体" w:cs="宋体"/>
          <w:color w:val="auto"/>
          <w:lang w:val="en-US" w:eastAsia="zh-CN"/>
        </w:rPr>
        <w:t xml:space="preserve"> </w:t>
      </w:r>
    </w:p>
    <w:p w14:paraId="2E6CC024">
      <w:pPr>
        <w:pStyle w:val="4"/>
        <w:keepNext/>
        <w:keepLines/>
        <w:widowControl/>
        <w:kinsoku w:val="0"/>
        <w:autoSpaceDE w:val="0"/>
        <w:autoSpaceDN w:val="0"/>
        <w:adjustRightInd w:val="0"/>
        <w:snapToGrid w:val="0"/>
        <w:textAlignment w:val="baseline"/>
        <w:rPr>
          <w:rFonts w:hint="eastAsia" w:ascii="宋体" w:hAnsi="宋体" w:eastAsia="宋体" w:cs="宋体"/>
          <w:b/>
          <w:bCs w:val="0"/>
          <w:snapToGrid w:val="0"/>
          <w:color w:val="auto"/>
          <w:kern w:val="0"/>
          <w:sz w:val="28"/>
          <w:szCs w:val="28"/>
          <w:lang w:val="en-US" w:eastAsia="zh-CN" w:bidi="ar-SA"/>
        </w:rPr>
      </w:pPr>
      <w:bookmarkStart w:id="312" w:name="_Toc14120"/>
      <w:r>
        <w:rPr>
          <w:rFonts w:hint="eastAsia" w:ascii="宋体" w:hAnsi="宋体" w:eastAsia="宋体" w:cs="宋体"/>
          <w:b/>
          <w:bCs w:val="0"/>
          <w:snapToGrid w:val="0"/>
          <w:color w:val="auto"/>
          <w:kern w:val="0"/>
          <w:sz w:val="28"/>
          <w:szCs w:val="28"/>
          <w:lang w:val="en-US" w:eastAsia="zh-CN" w:bidi="ar-SA"/>
        </w:rPr>
        <w:t>2.10.1 矿山开采现状</w:t>
      </w:r>
      <w:bookmarkEnd w:id="312"/>
    </w:p>
    <w:p w14:paraId="2DB1D436">
      <w:pPr>
        <w:bidi w:val="0"/>
        <w:rPr>
          <w:rFonts w:hint="default"/>
          <w:color w:val="auto"/>
          <w:lang w:val="en-US" w:eastAsia="zh-CN"/>
        </w:rPr>
      </w:pPr>
      <w:r>
        <w:rPr>
          <w:rFonts w:hint="eastAsia"/>
          <w:color w:val="auto"/>
          <w:lang w:val="en-US" w:eastAsia="zh-CN"/>
        </w:rPr>
        <w:t>因江西临川鲁金矿业有限公司茅排金矿采矿许可证于2025年1月17日到期，抚州市自然资源局临川分局2025年1月17日下达《采矿许可证到期停采通知书》（临自然资责停书〔2025〕001号），通知企业自采矿许可证有效期届满之日起，立即停止矿山开采活动。2025年1月至今，茅排金矿处于停止生产状态。</w:t>
      </w:r>
    </w:p>
    <w:p w14:paraId="4FE3A521">
      <w:pPr>
        <w:bidi w:val="0"/>
        <w:rPr>
          <w:rFonts w:hint="eastAsia"/>
          <w:color w:val="auto"/>
          <w:lang w:val="en-US" w:eastAsia="zh-CN"/>
        </w:rPr>
      </w:pPr>
      <w:r>
        <w:rPr>
          <w:rFonts w:hint="eastAsia"/>
          <w:color w:val="auto"/>
          <w:lang w:val="en-US" w:eastAsia="zh-CN"/>
        </w:rPr>
        <w:t>矿山开采方式为地下开采，开拓方式为平硐开拓，采用浅孔留矿法进行采矿，矿山+270m中段为生产作业中段，采区位于+270m中段25-27号勘探线之间，掘进工作面在35号勘探线附近。+320m中段为回风中段。</w:t>
      </w:r>
    </w:p>
    <w:p w14:paraId="14DACAB6">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313" w:name="_Toc15790"/>
      <w:bookmarkStart w:id="314" w:name="_Toc26490"/>
      <w:bookmarkStart w:id="315" w:name="_Toc12244"/>
      <w:bookmarkStart w:id="316" w:name="_Toc28361"/>
      <w:bookmarkStart w:id="317" w:name="_Toc18627"/>
      <w:bookmarkStart w:id="318" w:name="_Toc10809"/>
      <w:bookmarkStart w:id="319" w:name="_Toc13693"/>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 xml:space="preserve"> 开拓系统</w:t>
      </w:r>
      <w:bookmarkEnd w:id="313"/>
      <w:bookmarkEnd w:id="314"/>
      <w:bookmarkEnd w:id="315"/>
      <w:bookmarkEnd w:id="316"/>
      <w:bookmarkEnd w:id="317"/>
      <w:bookmarkEnd w:id="318"/>
      <w:bookmarkEnd w:id="319"/>
    </w:p>
    <w:p w14:paraId="12FA098C">
      <w:pPr>
        <w:bidi w:val="0"/>
        <w:rPr>
          <w:color w:val="auto"/>
        </w:rPr>
      </w:pPr>
      <w:r>
        <w:rPr>
          <w:rFonts w:hint="eastAsia"/>
          <w:color w:val="auto"/>
          <w:lang w:val="en-US" w:eastAsia="zh-CN"/>
        </w:rPr>
        <w:t>矿山开拓方式为平硐开拓</w:t>
      </w:r>
      <w:r>
        <w:rPr>
          <w:color w:val="auto"/>
        </w:rPr>
        <w:t>。</w:t>
      </w:r>
      <w:r>
        <w:rPr>
          <w:rFonts w:hint="eastAsia"/>
          <w:color w:val="auto"/>
          <w:lang w:val="en-US" w:eastAsia="zh-CN"/>
        </w:rPr>
        <w:t>开拓的中段有+320m中段、+270m中段。其中+320m中段为回风中段，+270m中段为生产中段。</w:t>
      </w:r>
    </w:p>
    <w:p w14:paraId="2F734CD3">
      <w:pPr>
        <w:bidi w:val="0"/>
        <w:rPr>
          <w:color w:val="auto"/>
        </w:rPr>
      </w:pPr>
      <w:r>
        <w:rPr>
          <w:rFonts w:hint="eastAsia"/>
          <w:color w:val="auto"/>
          <w:lang w:val="en-US" w:eastAsia="zh-CN"/>
        </w:rPr>
        <w:t>+270m平硐口位于67-69号勘探线之间，方位近南187°，硐口坐标X=3060128.45、Y=39449166.84、Z=+270m。该平硐作为主运输平硐，位于17-69号勘探线之间，巷道规格2.6m×2.4m，担负矿区矿石和废石运输任务，硐口位于地表岩移范围外。</w:t>
      </w:r>
    </w:p>
    <w:p w14:paraId="4933CBCE">
      <w:pPr>
        <w:bidi w:val="0"/>
        <w:rPr>
          <w:rFonts w:hint="eastAsia"/>
          <w:color w:val="auto"/>
          <w:lang w:val="en-US" w:eastAsia="zh-CN"/>
        </w:rPr>
      </w:pPr>
      <w:r>
        <w:rPr>
          <w:rFonts w:hint="eastAsia"/>
          <w:color w:val="auto"/>
          <w:lang w:val="en-US" w:eastAsia="zh-CN"/>
        </w:rPr>
        <w:t>+320m平硐位于6-43号勘探线之间，巷道规格2.6m×2.4m，其平硐口位于+270m平硐口东北约571.3m处，岩移范围外，硐口标高+320m。</w:t>
      </w:r>
    </w:p>
    <w:p w14:paraId="5FBB25E9">
      <w:pPr>
        <w:bidi w:val="0"/>
        <w:rPr>
          <w:rFonts w:hint="eastAsia"/>
          <w:color w:val="auto"/>
          <w:lang w:val="en-US" w:eastAsia="zh-CN"/>
        </w:rPr>
      </w:pPr>
      <w:r>
        <w:rPr>
          <w:rFonts w:hint="eastAsia"/>
          <w:color w:val="auto"/>
          <w:lang w:val="en-US" w:eastAsia="zh-CN"/>
        </w:rPr>
        <w:t>+270m与+320m 两个中段之间布置了人行通风天井，作为人行通道和安全出口。+270m平硐作为主运输平硐，担负矿区矿石和废石运输任务，开采出的矿石经+270m平硐直接运输至地面。</w:t>
      </w:r>
    </w:p>
    <w:p w14:paraId="6B26485D">
      <w:pPr>
        <w:bidi w:val="0"/>
        <w:rPr>
          <w:rFonts w:hint="eastAsia"/>
          <w:color w:val="auto"/>
          <w:lang w:val="en-US" w:eastAsia="zh-CN"/>
        </w:rPr>
      </w:pPr>
      <w:r>
        <w:rPr>
          <w:rFonts w:hint="eastAsia"/>
          <w:color w:val="auto"/>
          <w:lang w:val="en-US" w:eastAsia="zh-CN"/>
        </w:rPr>
        <w:t>在主平硐 PD270 靠近 39 线附近掘进了盲斜井至 250m，但未形成中段开拓系统，该盲斜井现已砌墙封闭。</w:t>
      </w:r>
    </w:p>
    <w:p w14:paraId="0A46E09D">
      <w:pPr>
        <w:pStyle w:val="4"/>
        <w:rPr>
          <w:rFonts w:hint="eastAsia"/>
          <w:color w:val="auto"/>
          <w:lang w:val="en-US" w:eastAsia="zh-CN"/>
        </w:rPr>
      </w:pPr>
      <w:bookmarkStart w:id="320" w:name="_Toc14903"/>
      <w:r>
        <w:rPr>
          <w:rFonts w:hint="eastAsia"/>
          <w:color w:val="auto"/>
          <w:lang w:val="en-US" w:eastAsia="zh-CN"/>
        </w:rPr>
        <w:t>2.10.3 采矿方法和回采工艺</w:t>
      </w:r>
      <w:bookmarkEnd w:id="320"/>
    </w:p>
    <w:p w14:paraId="0189854D">
      <w:pPr>
        <w:bidi w:val="0"/>
        <w:rPr>
          <w:rFonts w:hint="eastAsia"/>
          <w:color w:val="auto"/>
          <w:lang w:val="en-US" w:eastAsia="zh-CN"/>
        </w:rPr>
      </w:pPr>
      <w:r>
        <w:rPr>
          <w:rFonts w:hint="eastAsia"/>
          <w:color w:val="auto"/>
          <w:lang w:val="en-US" w:eastAsia="zh-CN"/>
        </w:rPr>
        <w:t>1）采矿方法：浅孔留矿法。</w:t>
      </w:r>
    </w:p>
    <w:p w14:paraId="0F9B5480">
      <w:pPr>
        <w:bidi w:val="0"/>
        <w:rPr>
          <w:rFonts w:hint="eastAsia"/>
          <w:color w:val="auto"/>
        </w:rPr>
      </w:pPr>
      <w:r>
        <w:rPr>
          <w:rFonts w:hint="eastAsia"/>
          <w:color w:val="auto"/>
          <w:lang w:val="en-US" w:eastAsia="zh-CN"/>
        </w:rPr>
        <w:t>2）</w:t>
      </w:r>
      <w:r>
        <w:rPr>
          <w:rFonts w:hint="eastAsia"/>
          <w:color w:val="auto"/>
        </w:rPr>
        <w:t>矿块构成要素</w:t>
      </w:r>
    </w:p>
    <w:p w14:paraId="5121112D">
      <w:pPr>
        <w:bidi w:val="0"/>
        <w:rPr>
          <w:rFonts w:hint="eastAsia"/>
          <w:color w:val="auto"/>
        </w:rPr>
      </w:pPr>
      <w:r>
        <w:rPr>
          <w:rFonts w:hint="eastAsia"/>
          <w:color w:val="auto"/>
        </w:rPr>
        <w:t>矿块沿走向布置，一般长为 40m～60m，宽即为矿体厚度，高 50m。留顶、间柱，顶柱高3m，间柱宽6m</w:t>
      </w:r>
      <w:r>
        <w:rPr>
          <w:rFonts w:hint="eastAsia"/>
          <w:color w:val="auto"/>
          <w:lang w:eastAsia="zh-CN"/>
        </w:rPr>
        <w:t>，</w:t>
      </w:r>
      <w:r>
        <w:rPr>
          <w:rFonts w:hint="eastAsia"/>
          <w:color w:val="auto"/>
          <w:lang w:val="en-US" w:eastAsia="zh-CN"/>
        </w:rPr>
        <w:t>无底柱</w:t>
      </w:r>
      <w:r>
        <w:rPr>
          <w:rFonts w:hint="eastAsia"/>
          <w:color w:val="auto"/>
        </w:rPr>
        <w:t>。</w:t>
      </w:r>
    </w:p>
    <w:p w14:paraId="588553B7">
      <w:pPr>
        <w:bidi w:val="0"/>
        <w:rPr>
          <w:rFonts w:hint="eastAsia"/>
          <w:color w:val="auto"/>
          <w:lang w:val="en-US" w:eastAsia="zh-CN"/>
        </w:rPr>
      </w:pPr>
      <w:r>
        <w:rPr>
          <w:rFonts w:hint="eastAsia"/>
          <w:color w:val="auto"/>
          <w:lang w:val="en-US" w:eastAsia="zh-CN"/>
        </w:rPr>
        <w:t>3）采准切割</w:t>
      </w:r>
    </w:p>
    <w:p w14:paraId="55C16A61">
      <w:pPr>
        <w:bidi w:val="0"/>
        <w:rPr>
          <w:rFonts w:hint="eastAsia"/>
          <w:color w:val="auto"/>
          <w:spacing w:val="-6"/>
          <w:sz w:val="28"/>
          <w:lang w:val="en-US" w:eastAsia="zh-CN"/>
        </w:rPr>
      </w:pPr>
      <w:r>
        <w:rPr>
          <w:rFonts w:hint="eastAsia"/>
          <w:color w:val="auto"/>
          <w:spacing w:val="-6"/>
          <w:sz w:val="28"/>
          <w:lang w:val="en-US" w:eastAsia="zh-CN"/>
        </w:rPr>
        <w:t>在+270m主运输巷垂直矿体走向布置运输穿脉，运输穿脉规格3m×2.8m，运输穿脉间距为矿块长度。垂直运输穿脉，沿着矿房轴线，在矿块中间掘进矿房拉底巷道（沿脉巷），并按照矿体水平厚度全部拉开，拉底高度一般为2.6m，拉底宽度等于矿体厚度；在薄和极薄矿脉中，为保证放矿顺利，其宽度不应小于1.2m。采场两侧布置人行天井，人行天井位于矿房两侧，规格为1.8m×1.8m。人行天井内布置了爬梯、扶手及36V照明灯。两侧人行天井向上每隔4m掘进一条采矿联络巷道，联络巷道断面尺寸为2m×2m</w:t>
      </w:r>
    </w:p>
    <w:p w14:paraId="24E23723">
      <w:pPr>
        <w:bidi w:val="0"/>
        <w:rPr>
          <w:rFonts w:hint="eastAsia"/>
          <w:color w:val="auto"/>
          <w:lang w:val="en-US" w:eastAsia="zh-CN"/>
        </w:rPr>
      </w:pPr>
      <w:r>
        <w:rPr>
          <w:rFonts w:hint="eastAsia"/>
          <w:color w:val="auto"/>
          <w:spacing w:val="-6"/>
          <w:sz w:val="28"/>
          <w:lang w:val="en-US" w:eastAsia="zh-CN"/>
        </w:rPr>
        <w:t>垂直运输穿脉，在平行矿体走向矿体脉外施工运输巷，在运输巷垂直于矿体走向掘进出矿穿脉贯穿沿脉巷，出矿穿脉长度约4m左右，间柱约8m。</w:t>
      </w:r>
    </w:p>
    <w:p w14:paraId="7BEF1E8E">
      <w:pPr>
        <w:bidi w:val="0"/>
        <w:rPr>
          <w:rFonts w:hint="eastAsia"/>
          <w:color w:val="auto"/>
          <w:lang w:val="en-US" w:eastAsia="zh-CN"/>
        </w:rPr>
      </w:pPr>
      <w:r>
        <w:rPr>
          <w:rFonts w:hint="eastAsia"/>
          <w:color w:val="auto"/>
          <w:lang w:val="en-US" w:eastAsia="zh-CN"/>
        </w:rPr>
        <w:t>3)回采</w:t>
      </w:r>
    </w:p>
    <w:p w14:paraId="32BB65AF">
      <w:pPr>
        <w:bidi w:val="0"/>
        <w:rPr>
          <w:rFonts w:hint="eastAsia"/>
          <w:color w:val="auto"/>
          <w:lang w:val="en-US" w:eastAsia="zh-CN"/>
        </w:rPr>
      </w:pPr>
      <w:r>
        <w:rPr>
          <w:rFonts w:hint="eastAsia"/>
          <w:color w:val="auto"/>
          <w:lang w:val="en-US" w:eastAsia="zh-CN"/>
        </w:rPr>
        <w:t>采取脉内切割沿矿体上向分层回采，分层高度一般1.5-2.0m。回采工作面多为阶梯形布置，作业循环为凿岩、放炮、通风及局部放矿、松石处理、场地平整等。凿岩设备采用YT-28型上向凿岩，上向炮孔一般为70°-80°的倾斜炮孔。</w:t>
      </w:r>
    </w:p>
    <w:p w14:paraId="7D4DE0E4">
      <w:pPr>
        <w:bidi w:val="0"/>
        <w:rPr>
          <w:rFonts w:hint="eastAsia" w:ascii="宋体" w:hAnsi="宋体" w:eastAsia="宋体" w:cs="宋体"/>
          <w:color w:val="auto"/>
          <w:szCs w:val="28"/>
          <w:lang w:val="en-US" w:eastAsia="zh-CN"/>
        </w:rPr>
      </w:pPr>
      <w:r>
        <w:rPr>
          <w:rFonts w:hint="eastAsia"/>
          <w:color w:val="auto"/>
        </w:rPr>
        <w:t>爆破使用乳化炸药，采用孔内延时起爆，</w:t>
      </w:r>
      <w:r>
        <w:rPr>
          <w:rFonts w:hint="eastAsia"/>
          <w:color w:val="auto"/>
          <w:lang w:val="en-US" w:eastAsia="zh-CN"/>
        </w:rPr>
        <w:t>由专用起爆器、专用母线和电子数码雷管组成</w:t>
      </w:r>
      <w:r>
        <w:rPr>
          <w:rFonts w:hint="eastAsia"/>
          <w:color w:val="auto"/>
        </w:rPr>
        <w:t>起爆网路。</w:t>
      </w:r>
    </w:p>
    <w:p w14:paraId="090BF282">
      <w:pPr>
        <w:bidi w:val="0"/>
        <w:rPr>
          <w:rFonts w:hint="eastAsia"/>
          <w:color w:val="auto"/>
          <w:lang w:val="en-US" w:eastAsia="zh-CN"/>
        </w:rPr>
      </w:pPr>
      <w:r>
        <w:rPr>
          <w:rFonts w:hint="eastAsia"/>
          <w:color w:val="auto"/>
          <w:lang w:val="en-US" w:eastAsia="zh-CN"/>
        </w:rPr>
        <w:t>4)采场通风</w:t>
      </w:r>
    </w:p>
    <w:p w14:paraId="3C76D74A">
      <w:pPr>
        <w:bidi w:val="0"/>
        <w:rPr>
          <w:rFonts w:hint="eastAsia"/>
          <w:color w:val="auto"/>
          <w:lang w:val="en-US" w:eastAsia="zh-CN"/>
        </w:rPr>
      </w:pPr>
      <w:r>
        <w:rPr>
          <w:rFonts w:hint="eastAsia"/>
          <w:color w:val="auto"/>
          <w:lang w:val="en-US" w:eastAsia="zh-CN"/>
        </w:rPr>
        <w:t>采用局部扇风机通风。新风由采场一端天井进入采场，清洗采场工作面后由另一端天井回风。</w:t>
      </w:r>
    </w:p>
    <w:p w14:paraId="31DE4E36">
      <w:pPr>
        <w:bidi w:val="0"/>
        <w:rPr>
          <w:rFonts w:hint="default"/>
          <w:color w:val="auto"/>
          <w:lang w:val="en-US" w:eastAsia="zh-CN"/>
        </w:rPr>
      </w:pPr>
      <w:r>
        <w:rPr>
          <w:rFonts w:hint="eastAsia"/>
          <w:color w:val="auto"/>
          <w:lang w:val="en-US" w:eastAsia="zh-CN"/>
        </w:rPr>
        <w:t>5）</w:t>
      </w:r>
      <w:r>
        <w:rPr>
          <w:rFonts w:hint="eastAsia"/>
          <w:color w:val="auto"/>
        </w:rPr>
        <w:t>装矿设备</w:t>
      </w:r>
    </w:p>
    <w:p w14:paraId="1C834978">
      <w:pPr>
        <w:bidi w:val="0"/>
        <w:rPr>
          <w:rFonts w:hint="default"/>
          <w:color w:val="auto"/>
          <w:lang w:val="en-US" w:eastAsia="zh-CN"/>
        </w:rPr>
      </w:pPr>
      <w:r>
        <w:rPr>
          <w:rFonts w:hint="eastAsia"/>
          <w:color w:val="auto"/>
          <w:lang w:eastAsia="zh-CN"/>
        </w:rPr>
        <w:t>使用</w:t>
      </w:r>
      <w:r>
        <w:rPr>
          <w:rFonts w:hint="eastAsia"/>
          <w:color w:val="auto"/>
          <w:lang w:val="en-US" w:eastAsia="zh-CN"/>
        </w:rPr>
        <w:t>型号ZL20E(/E)型轮胎式机，</w:t>
      </w:r>
      <w:r>
        <w:rPr>
          <w:rFonts w:hint="eastAsia" w:cs="宋体"/>
          <w:color w:val="auto"/>
          <w:sz w:val="28"/>
          <w:szCs w:val="28"/>
          <w:lang w:val="en-US" w:eastAsia="zh-CN"/>
        </w:rPr>
        <w:t>该设备</w:t>
      </w:r>
      <w:r>
        <w:rPr>
          <w:rFonts w:hint="eastAsia"/>
          <w:color w:val="auto"/>
          <w:lang w:val="en-US" w:eastAsia="zh-CN"/>
        </w:rPr>
        <w:t>有矿用产品安全标志。</w:t>
      </w:r>
    </w:p>
    <w:p w14:paraId="4D8C66A4">
      <w:pPr>
        <w:bidi w:val="0"/>
        <w:rPr>
          <w:rFonts w:hint="eastAsia"/>
          <w:color w:val="auto"/>
          <w:lang w:val="en-US" w:eastAsia="zh-CN"/>
        </w:rPr>
      </w:pPr>
      <w:r>
        <w:rPr>
          <w:rFonts w:hint="eastAsia"/>
          <w:color w:val="auto"/>
          <w:lang w:val="en-US" w:eastAsia="zh-CN"/>
        </w:rPr>
        <w:t>6）采空区处理</w:t>
      </w:r>
    </w:p>
    <w:p w14:paraId="25627562">
      <w:pPr>
        <w:bidi w:val="0"/>
        <w:rPr>
          <w:rFonts w:hint="eastAsia"/>
          <w:color w:val="auto"/>
          <w:lang w:eastAsia="zh-CN"/>
        </w:rPr>
      </w:pPr>
      <w:r>
        <w:rPr>
          <w:rFonts w:hint="eastAsia"/>
          <w:color w:val="auto"/>
          <w:lang w:eastAsia="zh-CN"/>
        </w:rPr>
        <w:t>砌筑封闭隔墙来隔离采空区。在每个采场结束后，对报废的采场和巷道进行砌墙永久性封闭，并布置醒目标语及警示牌，禁止无关人员进入采空区。为防止空区积水危害，在封堵密闭墙下部设置1-2条泄水管，及时泄出空区积水。</w:t>
      </w:r>
    </w:p>
    <w:p w14:paraId="6E7BD572">
      <w:pPr>
        <w:bidi w:val="0"/>
        <w:rPr>
          <w:rFonts w:hint="eastAsia"/>
          <w:color w:val="auto"/>
          <w:lang w:eastAsia="zh-CN"/>
        </w:rPr>
      </w:pPr>
      <w:r>
        <w:rPr>
          <w:rFonts w:hint="eastAsia"/>
          <w:color w:val="auto"/>
          <w:lang w:val="en-US" w:eastAsia="zh-CN"/>
        </w:rPr>
        <w:t>现场检查时，+270m中段一封堵墙破损，墙上未设标识牌；+270m中段掘进作业边帮松石未处理；未</w:t>
      </w:r>
      <w:r>
        <w:rPr>
          <w:rFonts w:hint="eastAsia"/>
          <w:color w:val="auto"/>
        </w:rPr>
        <w:t>建立顶板分级管理制度</w:t>
      </w:r>
      <w:r>
        <w:rPr>
          <w:rFonts w:hint="eastAsia"/>
          <w:color w:val="auto"/>
          <w:lang w:eastAsia="zh-CN"/>
        </w:rPr>
        <w:t>。</w:t>
      </w:r>
    </w:p>
    <w:p w14:paraId="14C45FA0">
      <w:pPr>
        <w:spacing w:line="14" w:lineRule="auto"/>
        <w:rPr>
          <w:color w:val="auto"/>
        </w:rPr>
      </w:pPr>
    </w:p>
    <w:p w14:paraId="1FCF34B6">
      <w:pPr>
        <w:pStyle w:val="4"/>
        <w:rPr>
          <w:rFonts w:hint="eastAsia"/>
          <w:color w:val="auto"/>
          <w:lang w:val="en-US" w:eastAsia="zh-CN"/>
        </w:rPr>
      </w:pPr>
      <w:bookmarkStart w:id="321" w:name="_Toc24192"/>
      <w:bookmarkStart w:id="322" w:name="_Toc6632"/>
      <w:bookmarkStart w:id="323" w:name="_Toc24392"/>
      <w:bookmarkStart w:id="324" w:name="_Toc16591"/>
      <w:r>
        <w:rPr>
          <w:rFonts w:hint="eastAsia"/>
          <w:color w:val="auto"/>
          <w:lang w:val="en-US" w:eastAsia="zh-CN"/>
        </w:rPr>
        <w:t>2.10.4 安全出口</w:t>
      </w:r>
      <w:bookmarkEnd w:id="321"/>
      <w:bookmarkEnd w:id="322"/>
      <w:bookmarkEnd w:id="323"/>
      <w:bookmarkEnd w:id="324"/>
    </w:p>
    <w:p w14:paraId="70ABAAFC">
      <w:pPr>
        <w:bidi w:val="0"/>
        <w:rPr>
          <w:rFonts w:hint="eastAsia"/>
          <w:color w:val="auto"/>
          <w:lang w:val="en-US" w:eastAsia="zh-CN"/>
        </w:rPr>
      </w:pPr>
      <w:r>
        <w:rPr>
          <w:rFonts w:hint="eastAsia"/>
          <w:color w:val="auto"/>
          <w:lang w:val="en-US" w:eastAsia="zh-CN"/>
        </w:rPr>
        <w:t>1) 矿井安全出口</w:t>
      </w:r>
    </w:p>
    <w:p w14:paraId="4EFDAC42">
      <w:pPr>
        <w:bidi w:val="0"/>
        <w:rPr>
          <w:rFonts w:hint="eastAsia"/>
          <w:color w:val="auto"/>
          <w:lang w:val="en-US" w:eastAsia="zh-CN"/>
        </w:rPr>
      </w:pPr>
      <w:r>
        <w:rPr>
          <w:rFonts w:hint="eastAsia"/>
          <w:color w:val="auto"/>
          <w:lang w:val="en-US" w:eastAsia="zh-CN"/>
        </w:rPr>
        <w:t>主要安全出口：+270m平硐。</w:t>
      </w:r>
    </w:p>
    <w:p w14:paraId="4E247C07">
      <w:pPr>
        <w:bidi w:val="0"/>
        <w:rPr>
          <w:rFonts w:hint="eastAsia"/>
          <w:color w:val="auto"/>
          <w:lang w:val="en-US" w:eastAsia="zh-CN"/>
        </w:rPr>
      </w:pPr>
      <w:r>
        <w:rPr>
          <w:rFonts w:hint="eastAsia"/>
          <w:color w:val="auto"/>
          <w:lang w:val="en-US" w:eastAsia="zh-CN"/>
        </w:rPr>
        <w:t>应急安全出口：+320m平硐。</w:t>
      </w:r>
    </w:p>
    <w:p w14:paraId="4DEB572C">
      <w:pPr>
        <w:bidi w:val="0"/>
        <w:rPr>
          <w:rFonts w:hint="eastAsia"/>
          <w:color w:val="auto"/>
          <w:lang w:val="en-US" w:eastAsia="zh-CN"/>
        </w:rPr>
      </w:pPr>
      <w:r>
        <w:rPr>
          <w:rFonts w:hint="eastAsia"/>
          <w:color w:val="auto"/>
          <w:lang w:val="en-US" w:eastAsia="zh-CN"/>
        </w:rPr>
        <w:t>安全出口的间距大于30m。</w:t>
      </w:r>
    </w:p>
    <w:p w14:paraId="2680CB97">
      <w:pPr>
        <w:bidi w:val="0"/>
        <w:rPr>
          <w:rFonts w:hint="eastAsia"/>
          <w:color w:val="auto"/>
          <w:lang w:val="en-US" w:eastAsia="zh-CN"/>
        </w:rPr>
      </w:pPr>
      <w:r>
        <w:rPr>
          <w:rFonts w:hint="eastAsia"/>
          <w:color w:val="auto"/>
          <w:lang w:val="en-US" w:eastAsia="zh-CN"/>
        </w:rPr>
        <w:t>2) 中段安全出口</w:t>
      </w:r>
    </w:p>
    <w:p w14:paraId="60C1E86F">
      <w:pPr>
        <w:bidi w:val="0"/>
        <w:rPr>
          <w:rFonts w:hint="eastAsia"/>
          <w:color w:val="auto"/>
          <w:lang w:val="en-US" w:eastAsia="zh-CN"/>
        </w:rPr>
      </w:pPr>
      <w:r>
        <w:rPr>
          <w:rFonts w:hint="eastAsia"/>
          <w:color w:val="auto"/>
          <w:lang w:val="en-US" w:eastAsia="zh-CN"/>
        </w:rPr>
        <w:t>+270m生产中段：主要安全出口为+270m平硐，应急安全出口为通往+320m中段的人行通风天井。</w:t>
      </w:r>
    </w:p>
    <w:p w14:paraId="13D18F87">
      <w:pPr>
        <w:bidi w:val="0"/>
        <w:rPr>
          <w:rFonts w:hint="eastAsia"/>
          <w:color w:val="auto"/>
          <w:lang w:val="en-US" w:eastAsia="zh-CN"/>
        </w:rPr>
      </w:pPr>
      <w:r>
        <w:rPr>
          <w:rFonts w:hint="eastAsia"/>
          <w:color w:val="auto"/>
          <w:lang w:val="en-US" w:eastAsia="zh-CN"/>
        </w:rPr>
        <w:t>3) 采场安全出口</w:t>
      </w:r>
    </w:p>
    <w:p w14:paraId="2D0ECD83">
      <w:pPr>
        <w:bidi w:val="0"/>
        <w:rPr>
          <w:rFonts w:hint="eastAsia"/>
          <w:color w:val="auto"/>
          <w:lang w:val="en-US" w:eastAsia="zh-CN"/>
        </w:rPr>
      </w:pPr>
      <w:r>
        <w:rPr>
          <w:rFonts w:hint="eastAsia"/>
          <w:color w:val="auto"/>
          <w:lang w:val="en-US" w:eastAsia="zh-CN"/>
        </w:rPr>
        <w:t>采场设置了一路先行天井与上部中段连通，另一端设有顺路天井，均可作为安全出口，天井设置了梯子和扶手、照明。</w:t>
      </w:r>
    </w:p>
    <w:p w14:paraId="5B52E362">
      <w:pPr>
        <w:bidi w:val="0"/>
        <w:rPr>
          <w:rFonts w:hint="eastAsia"/>
          <w:color w:val="auto"/>
          <w:lang w:val="en-US" w:eastAsia="zh-CN"/>
        </w:rPr>
      </w:pPr>
      <w:r>
        <w:rPr>
          <w:rFonts w:hint="eastAsia"/>
          <w:color w:val="auto"/>
          <w:lang w:val="en-US" w:eastAsia="zh-CN"/>
        </w:rPr>
        <w:t>现场检查时+270m应急安全出口缺少安全指示、警示标志。</w:t>
      </w:r>
    </w:p>
    <w:p w14:paraId="61D6E4A5">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325" w:name="_Toc19081"/>
      <w:bookmarkStart w:id="326" w:name="_Toc13458"/>
      <w:bookmarkStart w:id="327" w:name="_Toc19232"/>
      <w:bookmarkStart w:id="328" w:name="_Toc15339"/>
      <w:bookmarkStart w:id="329" w:name="_Toc10772"/>
      <w:bookmarkStart w:id="330" w:name="_Toc23064"/>
      <w:bookmarkStart w:id="331" w:name="_Toc15803"/>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.5 运输系统</w:t>
      </w:r>
      <w:bookmarkEnd w:id="325"/>
      <w:bookmarkEnd w:id="326"/>
      <w:bookmarkEnd w:id="327"/>
      <w:bookmarkEnd w:id="328"/>
      <w:bookmarkEnd w:id="329"/>
      <w:bookmarkEnd w:id="330"/>
      <w:bookmarkEnd w:id="331"/>
    </w:p>
    <w:p w14:paraId="12745C51">
      <w:pPr>
        <w:bidi w:val="0"/>
        <w:rPr>
          <w:rFonts w:hint="eastAsia"/>
          <w:color w:val="auto"/>
          <w:lang w:val="en-US" w:eastAsia="zh-CN"/>
        </w:rPr>
      </w:pPr>
      <w:r>
        <w:rPr>
          <w:rFonts w:hint="eastAsia"/>
          <w:color w:val="auto"/>
          <w:lang w:val="en-US" w:eastAsia="zh-CN"/>
        </w:rPr>
        <w:t>采用无轨运输方式，+270m中段采、掘的矿石（废石），采用ZL20E(/E)型轮胎式机装入型号为UQ-5A的</w:t>
      </w:r>
      <w:r>
        <w:rPr>
          <w:rFonts w:hint="eastAsia"/>
          <w:color w:val="auto"/>
        </w:rPr>
        <w:t>矿用自卸车出矿</w:t>
      </w:r>
      <w:r>
        <w:rPr>
          <w:rFonts w:hint="eastAsia"/>
          <w:color w:val="auto"/>
          <w:lang w:val="en-US" w:eastAsia="zh-CN"/>
        </w:rPr>
        <w:t>后，运出+270m平硐口后倒入地表矿仓，</w:t>
      </w:r>
      <w:r>
        <w:rPr>
          <w:rFonts w:hint="eastAsia" w:ascii="宋体" w:hAnsi="宋体" w:eastAsia="宋体" w:cs="宋体"/>
          <w:color w:val="auto"/>
          <w:sz w:val="28"/>
          <w:szCs w:val="28"/>
          <w:lang w:val="en-US" w:eastAsia="zh-CN"/>
        </w:rPr>
        <w:t>运输</w:t>
      </w:r>
      <w:r>
        <w:rPr>
          <w:rFonts w:hint="eastAsia" w:cs="宋体"/>
          <w:color w:val="auto"/>
          <w:sz w:val="28"/>
          <w:szCs w:val="28"/>
          <w:lang w:val="en-US" w:eastAsia="zh-CN"/>
        </w:rPr>
        <w:t>设备</w:t>
      </w:r>
      <w:r>
        <w:rPr>
          <w:rFonts w:hint="eastAsia"/>
          <w:color w:val="auto"/>
          <w:lang w:val="en-US" w:eastAsia="zh-CN"/>
        </w:rPr>
        <w:t>有矿用产品安全标志，并配备灭火器。</w:t>
      </w:r>
    </w:p>
    <w:p w14:paraId="1B180781">
      <w:pPr>
        <w:bidi w:val="0"/>
        <w:rPr>
          <w:color w:val="auto"/>
        </w:rPr>
      </w:pPr>
      <w:r>
        <w:rPr>
          <w:rFonts w:hint="eastAsia"/>
          <w:color w:val="auto"/>
          <w:lang w:val="en-US" w:eastAsia="zh-CN"/>
        </w:rPr>
        <w:t>现场检查时发现地表矿仓卸矿口未设置车挡，未设明显的警示标志；未见</w:t>
      </w:r>
      <w:r>
        <w:rPr>
          <w:rFonts w:hint="eastAsia"/>
          <w:color w:val="auto"/>
        </w:rPr>
        <w:t>定期</w:t>
      </w:r>
      <w:r>
        <w:rPr>
          <w:rFonts w:hint="eastAsia"/>
          <w:color w:val="auto"/>
          <w:lang w:val="en-US" w:eastAsia="zh-CN"/>
        </w:rPr>
        <w:t>对运输</w:t>
      </w:r>
      <w:r>
        <w:rPr>
          <w:rFonts w:hint="eastAsia"/>
          <w:color w:val="auto"/>
        </w:rPr>
        <w:t>设备进行检查和维护保养</w:t>
      </w:r>
      <w:r>
        <w:rPr>
          <w:rFonts w:hint="eastAsia"/>
          <w:color w:val="auto"/>
          <w:lang w:val="en-US" w:eastAsia="zh-CN"/>
        </w:rPr>
        <w:t>记录</w:t>
      </w:r>
      <w:r>
        <w:rPr>
          <w:color w:val="auto"/>
          <w:lang w:val="en-US" w:eastAsia="zh-CN"/>
        </w:rPr>
        <w:t>。</w:t>
      </w:r>
    </w:p>
    <w:p w14:paraId="67A5B9BF">
      <w:pPr>
        <w:bidi w:val="0"/>
        <w:rPr>
          <w:rFonts w:hint="eastAsia"/>
          <w:color w:val="auto"/>
          <w:lang w:val="en-US" w:eastAsia="zh-CN"/>
        </w:rPr>
      </w:pPr>
      <w:r>
        <w:rPr>
          <w:rFonts w:hint="eastAsia"/>
          <w:color w:val="auto"/>
          <w:lang w:val="en-US" w:eastAsia="zh-CN"/>
        </w:rPr>
        <w:t>该矿UQ-5A的</w:t>
      </w:r>
      <w:r>
        <w:rPr>
          <w:rFonts w:hint="eastAsia"/>
          <w:color w:val="auto"/>
        </w:rPr>
        <w:t>矿用自卸车</w:t>
      </w:r>
      <w:r>
        <w:rPr>
          <w:rFonts w:hint="eastAsia"/>
          <w:color w:val="auto"/>
          <w:lang w:val="en-US" w:eastAsia="zh-CN"/>
        </w:rPr>
        <w:t>经江西省矿检安全科技有限公司检测检测检验合格，检测时间为2026年3月。</w:t>
      </w:r>
    </w:p>
    <w:p w14:paraId="5D94F444">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332" w:name="_Toc18290"/>
      <w:bookmarkStart w:id="333" w:name="_Toc8610"/>
      <w:bookmarkStart w:id="334" w:name="_Toc28202"/>
      <w:bookmarkStart w:id="335" w:name="_Toc31621"/>
      <w:bookmarkStart w:id="336" w:name="_Toc3122"/>
      <w:bookmarkStart w:id="337" w:name="_Toc19253"/>
      <w:bookmarkStart w:id="338" w:name="_Toc25064"/>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 xml:space="preserve"> 通风、防尘系统</w:t>
      </w:r>
      <w:bookmarkEnd w:id="332"/>
      <w:bookmarkEnd w:id="333"/>
      <w:bookmarkEnd w:id="334"/>
      <w:bookmarkEnd w:id="335"/>
      <w:bookmarkEnd w:id="336"/>
      <w:bookmarkEnd w:id="337"/>
      <w:bookmarkEnd w:id="338"/>
    </w:p>
    <w:p w14:paraId="75B2A9BD">
      <w:pPr>
        <w:bidi w:val="0"/>
        <w:rPr>
          <w:rFonts w:hint="eastAsia"/>
          <w:color w:val="auto"/>
          <w:lang w:val="en-US" w:eastAsia="zh-CN"/>
        </w:rPr>
      </w:pPr>
      <w:bookmarkStart w:id="339" w:name="_Toc1189"/>
      <w:bookmarkStart w:id="340" w:name="_Toc14130"/>
      <w:bookmarkStart w:id="341" w:name="_Toc12089"/>
      <w:r>
        <w:rPr>
          <w:rFonts w:hint="eastAsia"/>
          <w:color w:val="auto"/>
          <w:lang w:val="en-US" w:eastAsia="zh-CN"/>
        </w:rPr>
        <w:t>1） 通风</w:t>
      </w:r>
      <w:bookmarkEnd w:id="339"/>
      <w:bookmarkEnd w:id="340"/>
      <w:bookmarkEnd w:id="341"/>
      <w:r>
        <w:rPr>
          <w:rFonts w:hint="eastAsia"/>
          <w:color w:val="auto"/>
          <w:lang w:val="en-US" w:eastAsia="zh-CN"/>
        </w:rPr>
        <w:t>系统</w:t>
      </w:r>
    </w:p>
    <w:p w14:paraId="3521E21E">
      <w:pPr>
        <w:bidi w:val="0"/>
        <w:rPr>
          <w:rFonts w:hint="eastAsia"/>
          <w:color w:val="auto"/>
          <w:lang w:val="en-US" w:eastAsia="zh-CN"/>
        </w:rPr>
      </w:pPr>
      <w:r>
        <w:rPr>
          <w:rFonts w:hint="eastAsia"/>
          <w:color w:val="auto"/>
          <w:lang w:val="en-US" w:eastAsia="zh-CN"/>
        </w:rPr>
        <w:t>矿井采用单翼对角机械抽出式通风。由+270m平硐进风，+320m平硐出风，在+320m回风平硐口安装K40-4-No11型主扇1台，主扇额定风量11.3～24.7m</w:t>
      </w:r>
      <w:r>
        <w:rPr>
          <w:rFonts w:hint="default"/>
          <w:color w:val="auto"/>
          <w:lang w:val="en-US" w:eastAsia="zh-CN"/>
        </w:rPr>
        <w:t>³</w:t>
      </w:r>
      <w:r>
        <w:rPr>
          <w:rFonts w:hint="eastAsia"/>
          <w:color w:val="auto"/>
          <w:lang w:val="en-US" w:eastAsia="zh-CN"/>
        </w:rPr>
        <w:t>/s，额定风压203～ 939Pa，电机功率30kW，电机型号为YX-200L-4，额定电压380V，主扇设有正反转开关，配备有相同型号的备用电机一台和电机快速更换装置，并配备了测量风压、风量、电流、电压等仪表、设施。</w:t>
      </w:r>
    </w:p>
    <w:p w14:paraId="04628743">
      <w:pPr>
        <w:bidi w:val="0"/>
        <w:rPr>
          <w:rFonts w:hint="eastAsia"/>
          <w:color w:val="auto"/>
          <w:lang w:val="en-US" w:eastAsia="zh-CN"/>
        </w:rPr>
      </w:pPr>
      <w:bookmarkStart w:id="342" w:name="_Toc29496"/>
      <w:bookmarkStart w:id="343" w:name="_Toc9317"/>
      <w:bookmarkStart w:id="344" w:name="_Toc26452"/>
      <w:r>
        <w:rPr>
          <w:rFonts w:hint="eastAsia"/>
          <w:color w:val="auto"/>
          <w:lang w:val="en-US" w:eastAsia="zh-CN"/>
        </w:rPr>
        <w:t>通风线路</w:t>
      </w:r>
      <w:bookmarkEnd w:id="342"/>
      <w:bookmarkEnd w:id="343"/>
      <w:bookmarkEnd w:id="344"/>
      <w:r>
        <w:rPr>
          <w:rFonts w:hint="eastAsia"/>
          <w:color w:val="auto"/>
          <w:lang w:val="en-US" w:eastAsia="zh-CN"/>
        </w:rPr>
        <w:t>：新鲜风流从+270m平硐→顺路天井→采场→先行天井→+320m 回风平硐→抽出式主扇→地表。</w:t>
      </w:r>
    </w:p>
    <w:p w14:paraId="3F490158">
      <w:pPr>
        <w:bidi w:val="0"/>
        <w:rPr>
          <w:rFonts w:hint="eastAsia"/>
          <w:color w:val="auto"/>
          <w:lang w:val="en-US" w:eastAsia="zh-CN"/>
        </w:rPr>
      </w:pPr>
      <w:bookmarkStart w:id="345" w:name="_Toc11593"/>
      <w:bookmarkStart w:id="346" w:name="_Toc8334"/>
      <w:bookmarkStart w:id="347" w:name="_Toc7346"/>
      <w:r>
        <w:rPr>
          <w:rFonts w:hint="eastAsia"/>
          <w:color w:val="auto"/>
          <w:lang w:val="en-US" w:eastAsia="zh-CN"/>
        </w:rPr>
        <w:t>3）局部通风</w:t>
      </w:r>
      <w:bookmarkEnd w:id="345"/>
      <w:bookmarkEnd w:id="346"/>
      <w:bookmarkEnd w:id="347"/>
    </w:p>
    <w:p w14:paraId="6B8D02C1">
      <w:pPr>
        <w:bidi w:val="0"/>
        <w:rPr>
          <w:rFonts w:hint="eastAsia"/>
          <w:color w:val="auto"/>
          <w:lang w:val="en-US" w:eastAsia="zh-CN"/>
        </w:rPr>
      </w:pPr>
      <w:r>
        <w:rPr>
          <w:rFonts w:hint="eastAsia"/>
          <w:color w:val="auto"/>
          <w:spacing w:val="-6"/>
          <w:sz w:val="28"/>
          <w:lang w:val="en-US" w:eastAsia="zh-CN"/>
        </w:rPr>
        <w:t>独头掘进和通风不良的采场安装局扇和阻燃风筒通风，风筒直径400mm</w:t>
      </w:r>
      <w:r>
        <w:rPr>
          <w:rFonts w:hint="eastAsia"/>
          <w:color w:val="auto"/>
          <w:spacing w:val="-6"/>
          <w:sz w:val="28"/>
          <w:lang w:eastAsia="zh-CN"/>
        </w:rPr>
        <w:t>。</w:t>
      </w:r>
    </w:p>
    <w:p w14:paraId="216C83B4">
      <w:pPr>
        <w:bidi w:val="0"/>
        <w:rPr>
          <w:rFonts w:hint="eastAsia"/>
          <w:color w:val="auto"/>
          <w:lang w:val="en-US" w:eastAsia="zh-CN"/>
        </w:rPr>
      </w:pPr>
      <w:bookmarkStart w:id="348" w:name="_Toc10863"/>
      <w:bookmarkStart w:id="349" w:name="_Toc18926"/>
      <w:bookmarkStart w:id="350" w:name="_Toc21065"/>
      <w:r>
        <w:rPr>
          <w:rFonts w:hint="eastAsia"/>
          <w:color w:val="auto"/>
          <w:lang w:val="en-US" w:eastAsia="zh-CN"/>
        </w:rPr>
        <w:t>4）防尘</w:t>
      </w:r>
      <w:bookmarkEnd w:id="348"/>
      <w:bookmarkEnd w:id="349"/>
      <w:bookmarkEnd w:id="350"/>
    </w:p>
    <w:p w14:paraId="0BF41A19">
      <w:pPr>
        <w:bidi w:val="0"/>
        <w:rPr>
          <w:rFonts w:hint="eastAsia"/>
          <w:color w:val="auto"/>
          <w:lang w:val="en-US" w:eastAsia="zh-CN"/>
        </w:rPr>
      </w:pPr>
      <w:r>
        <w:rPr>
          <w:rFonts w:hint="eastAsia"/>
          <w:color w:val="auto"/>
          <w:lang w:val="en-US" w:eastAsia="zh-CN"/>
        </w:rPr>
        <w:t>矿山实行湿式作业，定期洒水防尘，清洗巷道岩壁；下井人员佩戴防尘口罩。</w:t>
      </w:r>
    </w:p>
    <w:p w14:paraId="12120784">
      <w:pPr>
        <w:bidi w:val="0"/>
        <w:rPr>
          <w:rFonts w:hint="eastAsia"/>
          <w:color w:val="auto"/>
          <w:lang w:val="en-US" w:eastAsia="zh-CN"/>
        </w:rPr>
      </w:pPr>
      <w:r>
        <w:rPr>
          <w:rFonts w:hint="eastAsia"/>
          <w:color w:val="auto"/>
          <w:lang w:val="en-US" w:eastAsia="zh-CN"/>
        </w:rPr>
        <w:t>+270m中段掘进作业圧入式通风口距工作面大于10m。</w:t>
      </w:r>
    </w:p>
    <w:p w14:paraId="7A0E191C">
      <w:pPr>
        <w:bidi w:val="0"/>
        <w:rPr>
          <w:rFonts w:hint="eastAsia"/>
          <w:color w:val="auto"/>
          <w:lang w:val="en-US" w:eastAsia="zh-CN"/>
        </w:rPr>
      </w:pPr>
      <w:r>
        <w:rPr>
          <w:rFonts w:hint="eastAsia"/>
          <w:color w:val="auto"/>
          <w:lang w:val="en-US" w:eastAsia="zh-CN"/>
        </w:rPr>
        <w:t>2026年3月，江西省矿检安全科技有限公司提交了《金属非金属地下矿山通风系统安全检测检验报告》，检测结果为合格。主通风机有矿用产品安全标志，主通风机能使矿井风流在10min内反向，反风量能达到正常运转时风量的70.73%。</w:t>
      </w:r>
    </w:p>
    <w:p w14:paraId="6103D493">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351" w:name="_Toc8883"/>
      <w:bookmarkStart w:id="352" w:name="_Toc984"/>
      <w:bookmarkStart w:id="353" w:name="_Toc17494"/>
      <w:bookmarkStart w:id="354" w:name="_Toc15567"/>
      <w:bookmarkStart w:id="355" w:name="_Toc9276"/>
      <w:bookmarkStart w:id="356" w:name="_Toc5142"/>
      <w:bookmarkStart w:id="357" w:name="_Toc2482"/>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 xml:space="preserve"> 供电系统</w:t>
      </w:r>
      <w:bookmarkEnd w:id="351"/>
      <w:bookmarkEnd w:id="352"/>
      <w:bookmarkEnd w:id="353"/>
      <w:bookmarkEnd w:id="354"/>
      <w:bookmarkEnd w:id="355"/>
      <w:bookmarkEnd w:id="356"/>
      <w:bookmarkEnd w:id="357"/>
    </w:p>
    <w:p w14:paraId="68F4FB1F">
      <w:pPr>
        <w:bidi w:val="0"/>
        <w:rPr>
          <w:rFonts w:hint="eastAsia"/>
          <w:color w:val="auto"/>
          <w:lang w:val="en-US" w:eastAsia="zh-CN"/>
        </w:rPr>
      </w:pPr>
      <w:bookmarkStart w:id="358" w:name="_Toc16972"/>
      <w:bookmarkStart w:id="359" w:name="_Toc11184"/>
      <w:bookmarkStart w:id="360" w:name="_Toc14363"/>
      <w:r>
        <w:rPr>
          <w:rFonts w:hint="eastAsia"/>
          <w:color w:val="auto"/>
          <w:lang w:val="en-US" w:eastAsia="zh-CN"/>
        </w:rPr>
        <w:t>1）电源</w:t>
      </w:r>
      <w:bookmarkEnd w:id="358"/>
      <w:bookmarkEnd w:id="359"/>
      <w:bookmarkEnd w:id="360"/>
    </w:p>
    <w:p w14:paraId="7C2289AF">
      <w:pPr>
        <w:bidi w:val="0"/>
        <w:rPr>
          <w:rFonts w:hint="default"/>
          <w:color w:val="auto"/>
          <w:lang w:val="en-US" w:eastAsia="zh-CN"/>
        </w:rPr>
      </w:pPr>
      <w:r>
        <w:rPr>
          <w:rFonts w:hint="eastAsia"/>
          <w:color w:val="auto"/>
          <w:lang w:val="en-US" w:eastAsia="zh-CN"/>
        </w:rPr>
        <w:t>由东馆35kV/10kV变电所10kV母线接线，架设一条10KV金矿专用供电线路，作为成为矿山主电源。矿山自备一台stc-30kW柴油发电机，作为矿山备用电源。矿山采用双电源供电。</w:t>
      </w:r>
    </w:p>
    <w:p w14:paraId="41146124">
      <w:pPr>
        <w:keepNext w:val="0"/>
        <w:keepLines w:val="0"/>
        <w:widowControl/>
        <w:suppressLineNumbers w:val="0"/>
        <w:jc w:val="left"/>
        <w:rPr>
          <w:rFonts w:hint="eastAsia"/>
          <w:color w:val="auto"/>
          <w:lang w:val="en-US" w:eastAsia="zh-CN"/>
        </w:rPr>
      </w:pPr>
      <w:bookmarkStart w:id="361" w:name="_Toc12892"/>
      <w:bookmarkStart w:id="362" w:name="_Toc23839"/>
      <w:bookmarkStart w:id="363" w:name="_Toc15822"/>
      <w:r>
        <w:rPr>
          <w:rFonts w:hint="eastAsia"/>
          <w:color w:val="auto"/>
          <w:lang w:val="en-US" w:eastAsia="zh-CN"/>
        </w:rPr>
        <w:t>2） 地面供电</w:t>
      </w:r>
      <w:bookmarkEnd w:id="361"/>
      <w:bookmarkEnd w:id="362"/>
      <w:bookmarkEnd w:id="363"/>
    </w:p>
    <w:p w14:paraId="557D388D">
      <w:pPr>
        <w:bidi w:val="0"/>
        <w:rPr>
          <w:rFonts w:hint="eastAsia"/>
          <w:color w:val="auto"/>
          <w:lang w:val="en-US" w:eastAsia="zh-CN"/>
        </w:rPr>
      </w:pPr>
      <w:r>
        <w:rPr>
          <w:rFonts w:hint="eastAsia"/>
          <w:color w:val="auto"/>
          <w:lang w:val="en-US" w:eastAsia="zh-CN"/>
        </w:rPr>
        <w:t>矿山10kV高压电源经架空线引至矿区附近低压变电所，低压变电所内设一台江西森田电力设备有限公司生产的S11-315/10/0.4kV配电型变压器，主要负责矿山地面动力、照明用电。</w:t>
      </w:r>
    </w:p>
    <w:p w14:paraId="4EBD9B37">
      <w:pPr>
        <w:bidi w:val="0"/>
        <w:rPr>
          <w:rFonts w:hint="eastAsia"/>
          <w:color w:val="auto"/>
          <w:lang w:val="en-US" w:eastAsia="zh-CN"/>
        </w:rPr>
      </w:pPr>
      <w:r>
        <w:rPr>
          <w:rFonts w:hint="eastAsia"/>
          <w:color w:val="auto"/>
          <w:lang w:val="en-US" w:eastAsia="zh-CN"/>
        </w:rPr>
        <w:t>变压器低压配电为三相四线制TN-C-S系统。</w:t>
      </w:r>
    </w:p>
    <w:p w14:paraId="14B5BEE7">
      <w:pPr>
        <w:bidi w:val="0"/>
        <w:rPr>
          <w:rFonts w:hint="eastAsia"/>
          <w:color w:val="auto"/>
          <w:lang w:val="en-US" w:eastAsia="zh-CN"/>
        </w:rPr>
      </w:pPr>
      <w:bookmarkStart w:id="364" w:name="_Toc24009"/>
      <w:bookmarkStart w:id="365" w:name="_Toc29279"/>
      <w:bookmarkStart w:id="366" w:name="_Toc10800"/>
      <w:r>
        <w:rPr>
          <w:rFonts w:hint="eastAsia"/>
          <w:color w:val="auto"/>
          <w:lang w:val="en-US" w:eastAsia="zh-CN"/>
        </w:rPr>
        <w:t>3）井下供电</w:t>
      </w:r>
      <w:bookmarkEnd w:id="364"/>
      <w:bookmarkEnd w:id="365"/>
      <w:bookmarkEnd w:id="366"/>
    </w:p>
    <w:p w14:paraId="091AC81D">
      <w:pPr>
        <w:bidi w:val="0"/>
        <w:rPr>
          <w:rFonts w:hint="eastAsia"/>
          <w:color w:val="auto"/>
          <w:lang w:val="en-US" w:eastAsia="zh-CN"/>
        </w:rPr>
      </w:pPr>
      <w:r>
        <w:rPr>
          <w:rFonts w:hint="eastAsia"/>
          <w:color w:val="auto"/>
          <w:lang w:val="en-US" w:eastAsia="zh-CN"/>
        </w:rPr>
        <w:t>矿山从低压配电柜1路电源进入隔离变压器 (SBK-50KVA)，隔离变压器布置在+270m平硐口附近，采用IT系统向井下设备及其照明供电，变压器中性点不引出。电缆采用ZR-VLV-3×95mm</w:t>
      </w:r>
      <w:r>
        <w:rPr>
          <w:rFonts w:hint="eastAsia"/>
          <w:color w:val="auto"/>
          <w:vertAlign w:val="superscript"/>
          <w:lang w:val="en-US" w:eastAsia="zh-CN"/>
        </w:rPr>
        <w:t>2</w:t>
      </w:r>
      <w:r>
        <w:rPr>
          <w:rFonts w:hint="eastAsia"/>
          <w:color w:val="auto"/>
          <w:lang w:val="en-US" w:eastAsia="zh-CN"/>
        </w:rPr>
        <w:t>+1×50mm</w:t>
      </w:r>
      <w:r>
        <w:rPr>
          <w:rFonts w:hint="eastAsia"/>
          <w:color w:val="auto"/>
          <w:vertAlign w:val="superscript"/>
          <w:lang w:val="en-US" w:eastAsia="zh-CN"/>
        </w:rPr>
        <w:t>2</w:t>
      </w:r>
      <w:r>
        <w:rPr>
          <w:rFonts w:hint="eastAsia"/>
          <w:color w:val="auto"/>
          <w:lang w:val="en-US" w:eastAsia="zh-CN"/>
        </w:rPr>
        <w:t>型阻燃电力铜芯电缆(740m长) 沿+270m主平硐运输巷敷设至+270m中段低压配电硐室。</w:t>
      </w:r>
    </w:p>
    <w:p w14:paraId="76F37CF8">
      <w:pPr>
        <w:bidi w:val="0"/>
        <w:rPr>
          <w:rFonts w:hint="default"/>
          <w:color w:val="auto"/>
          <w:lang w:val="en-US" w:eastAsia="zh-CN"/>
        </w:rPr>
      </w:pPr>
      <w:r>
        <w:rPr>
          <w:rFonts w:hint="eastAsia"/>
          <w:color w:val="auto"/>
          <w:lang w:val="en-US" w:eastAsia="zh-CN"/>
        </w:rPr>
        <w:t>井下低压配电硐室分别通过相应的电缆及配电空气开关和线路向局扇、井下照明变压器供电。低压输出馈出线装设自动空气开关和漏电保护装置，实现对低压电力线路和电气设备的短路、过流、漏电和欠电压等保护。</w:t>
      </w:r>
    </w:p>
    <w:p w14:paraId="5AD3250C">
      <w:pPr>
        <w:bidi w:val="0"/>
        <w:rPr>
          <w:rFonts w:hint="eastAsia"/>
          <w:color w:val="auto"/>
          <w:lang w:val="en-US" w:eastAsia="zh-CN"/>
        </w:rPr>
      </w:pPr>
      <w:bookmarkStart w:id="367" w:name="_Toc12319"/>
      <w:bookmarkStart w:id="368" w:name="_Toc6018"/>
      <w:bookmarkStart w:id="369" w:name="_Toc14253"/>
      <w:r>
        <w:rPr>
          <w:rFonts w:hint="eastAsia"/>
          <w:color w:val="auto"/>
          <w:lang w:val="en-US" w:eastAsia="zh-CN"/>
        </w:rPr>
        <w:t>4）供电等级</w:t>
      </w:r>
      <w:bookmarkEnd w:id="367"/>
      <w:bookmarkEnd w:id="368"/>
      <w:bookmarkEnd w:id="369"/>
    </w:p>
    <w:p w14:paraId="6CEEFC0B">
      <w:pPr>
        <w:bidi w:val="0"/>
        <w:rPr>
          <w:rFonts w:hint="eastAsia"/>
          <w:color w:val="auto"/>
          <w:lang w:val="en-US" w:eastAsia="zh-CN"/>
        </w:rPr>
      </w:pPr>
      <w:r>
        <w:rPr>
          <w:rFonts w:hint="eastAsia"/>
          <w:color w:val="auto"/>
          <w:lang w:val="en-US" w:eastAsia="zh-CN"/>
        </w:rPr>
        <w:t>高压电源电压：10kV；</w:t>
      </w:r>
    </w:p>
    <w:p w14:paraId="3B7B4F81">
      <w:pPr>
        <w:bidi w:val="0"/>
        <w:rPr>
          <w:rFonts w:hint="eastAsia"/>
          <w:color w:val="auto"/>
          <w:lang w:val="en-US" w:eastAsia="zh-CN"/>
        </w:rPr>
      </w:pPr>
      <w:r>
        <w:rPr>
          <w:rFonts w:hint="eastAsia"/>
          <w:color w:val="auto"/>
          <w:lang w:val="en-US" w:eastAsia="zh-CN"/>
        </w:rPr>
        <w:t>地面用电设备电压：380V/220V；</w:t>
      </w:r>
    </w:p>
    <w:p w14:paraId="7093D58F">
      <w:pPr>
        <w:bidi w:val="0"/>
        <w:rPr>
          <w:rFonts w:hint="eastAsia"/>
          <w:color w:val="auto"/>
          <w:lang w:val="en-US" w:eastAsia="zh-CN"/>
        </w:rPr>
      </w:pPr>
      <w:r>
        <w:rPr>
          <w:rFonts w:hint="eastAsia"/>
          <w:color w:val="auto"/>
          <w:lang w:val="en-US" w:eastAsia="zh-CN"/>
        </w:rPr>
        <w:t>井下用电设备电压：220V；</w:t>
      </w:r>
    </w:p>
    <w:p w14:paraId="57D1226C">
      <w:pPr>
        <w:bidi w:val="0"/>
        <w:rPr>
          <w:rFonts w:hint="eastAsia"/>
          <w:color w:val="auto"/>
          <w:lang w:val="en-US" w:eastAsia="zh-CN"/>
        </w:rPr>
      </w:pPr>
      <w:r>
        <w:rPr>
          <w:rFonts w:hint="eastAsia"/>
          <w:color w:val="auto"/>
          <w:lang w:val="en-US" w:eastAsia="zh-CN"/>
        </w:rPr>
        <w:t>井下照明电压：220V/127V/36V。</w:t>
      </w:r>
    </w:p>
    <w:p w14:paraId="693F8253">
      <w:pPr>
        <w:bidi w:val="0"/>
        <w:rPr>
          <w:rFonts w:hint="eastAsia"/>
          <w:color w:val="auto"/>
          <w:lang w:val="en-US" w:eastAsia="zh-CN"/>
        </w:rPr>
      </w:pPr>
      <w:bookmarkStart w:id="370" w:name="_Toc27084"/>
      <w:bookmarkStart w:id="371" w:name="_Toc15417"/>
      <w:bookmarkStart w:id="372" w:name="_Toc12924"/>
      <w:r>
        <w:rPr>
          <w:rFonts w:hint="eastAsia"/>
          <w:color w:val="auto"/>
          <w:lang w:val="en-US" w:eastAsia="zh-CN"/>
        </w:rPr>
        <w:t>5）防雷及接地</w:t>
      </w:r>
      <w:bookmarkEnd w:id="370"/>
      <w:bookmarkEnd w:id="371"/>
      <w:bookmarkEnd w:id="372"/>
    </w:p>
    <w:p w14:paraId="1214258E">
      <w:pPr>
        <w:bidi w:val="0"/>
        <w:rPr>
          <w:rFonts w:hint="eastAsia"/>
          <w:color w:val="auto"/>
          <w:lang w:val="en-US" w:eastAsia="zh-CN"/>
        </w:rPr>
      </w:pPr>
      <w:r>
        <w:rPr>
          <w:rFonts w:hint="eastAsia"/>
          <w:color w:val="auto"/>
          <w:lang w:val="en-US" w:eastAsia="zh-CN"/>
        </w:rPr>
        <w:t>+270m中段已形成完整的接地系统，以圆钢为主接地线，沿排水沟一直连接至井下各点面，井下电缆、设备均通过接地芯和接地线与主接地干线连接，经检测接地电阻在1.79Ω至3.16Ω范围内。</w:t>
      </w:r>
    </w:p>
    <w:p w14:paraId="352EAB9E">
      <w:pPr>
        <w:bidi w:val="0"/>
        <w:rPr>
          <w:rFonts w:hint="default"/>
          <w:color w:val="auto"/>
          <w:lang w:val="en-US" w:eastAsia="zh-CN"/>
        </w:rPr>
      </w:pPr>
      <w:r>
        <w:rPr>
          <w:rFonts w:hint="eastAsia"/>
          <w:color w:val="auto"/>
          <w:lang w:val="en-US" w:eastAsia="zh-CN"/>
        </w:rPr>
        <w:t>现场检查时</w:t>
      </w:r>
      <w:r>
        <w:rPr>
          <w:color w:val="auto"/>
          <w:lang w:val="en-US" w:eastAsia="zh-CN"/>
        </w:rPr>
        <w:t>未见低压馈出线检漏装置检查记录</w:t>
      </w:r>
      <w:r>
        <w:rPr>
          <w:rFonts w:hint="eastAsia"/>
          <w:color w:val="auto"/>
          <w:lang w:val="en-US" w:eastAsia="zh-CN"/>
        </w:rPr>
        <w:t>；+</w:t>
      </w:r>
      <w:r>
        <w:rPr>
          <w:rFonts w:hint="eastAsia" w:ascii="宋体" w:hAnsi="宋体" w:eastAsia="宋体" w:cs="宋体"/>
          <w:color w:val="auto"/>
          <w:sz w:val="28"/>
          <w:szCs w:val="28"/>
          <w:lang w:val="en-US" w:eastAsia="zh-CN"/>
        </w:rPr>
        <w:t>270m中段运输巷道部分地段照明灯损坏。</w:t>
      </w:r>
    </w:p>
    <w:p w14:paraId="74360FDA">
      <w:pPr>
        <w:bidi w:val="0"/>
        <w:rPr>
          <w:rFonts w:hint="eastAsia"/>
          <w:color w:val="auto"/>
          <w:lang w:val="en-US" w:eastAsia="zh-CN"/>
        </w:rPr>
      </w:pPr>
      <w:r>
        <w:rPr>
          <w:rFonts w:hint="eastAsia"/>
          <w:color w:val="auto"/>
          <w:lang w:val="en-US" w:eastAsia="zh-CN"/>
        </w:rPr>
        <w:t>2026年3月经江西省矿检安全科技有限公司对供电系统进行检测，综合判断为合格</w:t>
      </w:r>
      <w:bookmarkStart w:id="373" w:name="_Toc20282"/>
      <w:r>
        <w:rPr>
          <w:rFonts w:hint="eastAsia"/>
          <w:color w:val="auto"/>
          <w:lang w:val="en-US" w:eastAsia="zh-CN"/>
        </w:rPr>
        <w:t>。</w:t>
      </w:r>
    </w:p>
    <w:p w14:paraId="10FABF6F">
      <w:pPr>
        <w:pStyle w:val="4"/>
        <w:keepNext/>
        <w:keepLines/>
        <w:rPr>
          <w:rFonts w:hint="eastAsia" w:ascii="宋体" w:hAnsi="宋体" w:eastAsia="宋体" w:cs="宋体"/>
          <w:color w:val="auto"/>
          <w:sz w:val="28"/>
          <w:szCs w:val="28"/>
          <w:lang w:val="en-US" w:eastAsia="zh-CN"/>
        </w:rPr>
      </w:pPr>
      <w:bookmarkStart w:id="374" w:name="_Toc5147"/>
      <w:bookmarkStart w:id="375" w:name="_Toc19274"/>
      <w:bookmarkStart w:id="376" w:name="_Toc28458"/>
      <w:bookmarkStart w:id="377" w:name="_Toc1053"/>
      <w:r>
        <w:rPr>
          <w:rFonts w:hint="eastAsia" w:ascii="宋体" w:hAnsi="宋体" w:eastAsia="宋体" w:cs="宋体"/>
          <w:b/>
          <w:bCs w:val="0"/>
          <w:color w:val="auto"/>
          <w:sz w:val="28"/>
          <w:szCs w:val="28"/>
          <w:lang w:val="en-US" w:eastAsia="zh-CN"/>
        </w:rPr>
        <w:t>2.</w:t>
      </w:r>
      <w:r>
        <w:rPr>
          <w:rFonts w:hint="eastAsia" w:ascii="宋体" w:hAnsi="宋体" w:cs="宋体"/>
          <w:b/>
          <w:bCs w:val="0"/>
          <w:color w:val="auto"/>
          <w:sz w:val="28"/>
          <w:szCs w:val="28"/>
          <w:lang w:val="en-US" w:eastAsia="zh-CN"/>
        </w:rPr>
        <w:t>10</w:t>
      </w:r>
      <w:r>
        <w:rPr>
          <w:rFonts w:hint="eastAsia" w:ascii="宋体" w:hAnsi="宋体" w:eastAsia="宋体" w:cs="宋体"/>
          <w:b/>
          <w:bCs w:val="0"/>
          <w:color w:val="auto"/>
          <w:sz w:val="28"/>
          <w:szCs w:val="28"/>
          <w:lang w:val="en-US" w:eastAsia="zh-CN"/>
        </w:rPr>
        <w:t>.</w:t>
      </w:r>
      <w:r>
        <w:rPr>
          <w:rFonts w:hint="eastAsia" w:ascii="宋体" w:hAnsi="宋体" w:cs="宋体"/>
          <w:b/>
          <w:bCs w:val="0"/>
          <w:color w:val="auto"/>
          <w:sz w:val="28"/>
          <w:szCs w:val="28"/>
          <w:lang w:val="en-US" w:eastAsia="zh-CN"/>
        </w:rPr>
        <w:t>8</w:t>
      </w:r>
      <w:r>
        <w:rPr>
          <w:rFonts w:hint="eastAsia" w:ascii="宋体" w:hAnsi="宋体" w:eastAsia="宋体" w:cs="宋体"/>
          <w:b/>
          <w:bCs w:val="0"/>
          <w:color w:val="auto"/>
          <w:sz w:val="28"/>
          <w:szCs w:val="28"/>
          <w:lang w:val="en-US" w:eastAsia="zh-CN"/>
        </w:rPr>
        <w:t xml:space="preserve"> 防、排水系统</w:t>
      </w:r>
      <w:bookmarkEnd w:id="373"/>
      <w:bookmarkEnd w:id="374"/>
      <w:bookmarkEnd w:id="375"/>
      <w:bookmarkEnd w:id="376"/>
      <w:bookmarkEnd w:id="377"/>
    </w:p>
    <w:p w14:paraId="4C053431">
      <w:pPr>
        <w:bidi w:val="0"/>
        <w:rPr>
          <w:rFonts w:hint="eastAsia"/>
          <w:color w:val="auto"/>
          <w:lang w:val="en-US" w:eastAsia="zh-CN"/>
        </w:rPr>
      </w:pPr>
      <w:r>
        <w:rPr>
          <w:rFonts w:hint="eastAsia"/>
          <w:color w:val="auto"/>
          <w:lang w:val="en-US" w:eastAsia="zh-CN"/>
        </w:rPr>
        <w:t>当地最低侵蚀基准面位于茅排溪入抚河(盱江)口处(岳口)，绝对标高+65m。矿山硐口选址高于历史最高水位，+270m生产中段和+320m回风中段排水由巷道水沟以自流方式排出地表。</w:t>
      </w:r>
    </w:p>
    <w:p w14:paraId="4B322D63">
      <w:pPr>
        <w:bidi w:val="0"/>
        <w:rPr>
          <w:rFonts w:hint="eastAsia"/>
          <w:color w:val="auto"/>
          <w:lang w:val="en-US" w:eastAsia="zh-CN"/>
        </w:rPr>
      </w:pPr>
      <w:r>
        <w:rPr>
          <w:rFonts w:hint="eastAsia"/>
          <w:color w:val="auto"/>
          <w:lang w:val="en-US" w:eastAsia="zh-CN"/>
        </w:rPr>
        <w:t>矿山建有雨水截排水沟，并建设有沉淀池，实现了雨污分流。</w:t>
      </w:r>
    </w:p>
    <w:p w14:paraId="3CA886C6">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default" w:ascii="宋体" w:hAnsi="宋体" w:eastAsia="宋体" w:cs="宋体"/>
          <w:color w:val="auto"/>
          <w:sz w:val="28"/>
          <w:szCs w:val="28"/>
          <w:lang w:val="en-US" w:eastAsia="zh-CN"/>
        </w:rPr>
      </w:pPr>
      <w:bookmarkStart w:id="378" w:name="_Toc2053"/>
      <w:bookmarkStart w:id="379" w:name="_Toc14846"/>
      <w:bookmarkStart w:id="380" w:name="_Toc32624"/>
      <w:bookmarkStart w:id="381" w:name="_Toc16063"/>
      <w:bookmarkStart w:id="382" w:name="_Toc12042"/>
      <w:bookmarkStart w:id="383" w:name="_Toc13419"/>
      <w:bookmarkStart w:id="384" w:name="_Toc28576"/>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9</w:t>
      </w:r>
      <w:r>
        <w:rPr>
          <w:rFonts w:hint="eastAsia" w:ascii="宋体" w:hAnsi="宋体" w:eastAsia="宋体" w:cs="宋体"/>
          <w:color w:val="auto"/>
          <w:sz w:val="28"/>
          <w:szCs w:val="28"/>
          <w:lang w:val="en-US" w:eastAsia="zh-CN"/>
        </w:rPr>
        <w:t xml:space="preserve"> 供水系统</w:t>
      </w:r>
      <w:bookmarkEnd w:id="378"/>
      <w:bookmarkEnd w:id="379"/>
      <w:bookmarkEnd w:id="380"/>
      <w:bookmarkEnd w:id="381"/>
      <w:bookmarkEnd w:id="382"/>
      <w:bookmarkEnd w:id="383"/>
      <w:r>
        <w:rPr>
          <w:rFonts w:hint="eastAsia" w:ascii="宋体" w:hAnsi="宋体" w:cs="宋体"/>
          <w:color w:val="auto"/>
          <w:sz w:val="28"/>
          <w:szCs w:val="28"/>
          <w:lang w:val="en-US" w:eastAsia="zh-CN"/>
        </w:rPr>
        <w:t>及消防</w:t>
      </w:r>
      <w:bookmarkEnd w:id="384"/>
    </w:p>
    <w:p w14:paraId="39A38BF9">
      <w:pPr>
        <w:bidi w:val="0"/>
        <w:rPr>
          <w:rFonts w:hint="eastAsia"/>
          <w:color w:val="auto"/>
          <w:lang w:val="en-US" w:eastAsia="zh-CN"/>
        </w:rPr>
      </w:pPr>
      <w:r>
        <w:rPr>
          <w:rFonts w:hint="eastAsia"/>
          <w:color w:val="auto"/>
          <w:lang w:val="en-US" w:eastAsia="zh-CN"/>
        </w:rPr>
        <w:t>+270m中段生产中段采用地面集中供水。矿山在+270m平硐口附近建一个200m</w:t>
      </w:r>
      <w:r>
        <w:rPr>
          <w:rFonts w:hint="default"/>
          <w:color w:val="auto"/>
          <w:lang w:val="en-US" w:eastAsia="zh-CN"/>
        </w:rPr>
        <w:t>³</w:t>
      </w:r>
      <w:r>
        <w:rPr>
          <w:rFonts w:hint="eastAsia"/>
          <w:color w:val="auto"/>
          <w:lang w:val="en-US" w:eastAsia="zh-CN"/>
        </w:rPr>
        <w:t>高位水池，水源来自山上小溪流水。矿山生活用水取自山上泉水，水管接至270m平硐口的5m</w:t>
      </w:r>
      <w:r>
        <w:rPr>
          <w:rFonts w:hint="default"/>
          <w:color w:val="auto"/>
          <w:lang w:val="en-US" w:eastAsia="zh-CN"/>
        </w:rPr>
        <w:t>³</w:t>
      </w:r>
      <w:r>
        <w:rPr>
          <w:rFonts w:hint="eastAsia"/>
          <w:color w:val="auto"/>
          <w:lang w:val="en-US" w:eastAsia="zh-CN"/>
        </w:rPr>
        <w:t>生活水池。</w:t>
      </w:r>
    </w:p>
    <w:p w14:paraId="687CFE0D">
      <w:pPr>
        <w:bidi w:val="0"/>
        <w:rPr>
          <w:rFonts w:hint="eastAsia"/>
          <w:color w:val="auto"/>
          <w:lang w:val="en-US" w:eastAsia="zh-CN"/>
        </w:rPr>
      </w:pPr>
      <w:r>
        <w:rPr>
          <w:rFonts w:hint="eastAsia"/>
          <w:color w:val="auto"/>
          <w:lang w:val="en-US" w:eastAsia="zh-CN"/>
        </w:rPr>
        <w:t>200m</w:t>
      </w:r>
      <w:r>
        <w:rPr>
          <w:rFonts w:hint="default"/>
          <w:color w:val="auto"/>
          <w:lang w:val="en-US" w:eastAsia="zh-CN"/>
        </w:rPr>
        <w:t>³</w:t>
      </w:r>
      <w:r>
        <w:rPr>
          <w:rFonts w:hint="eastAsia"/>
          <w:color w:val="auto"/>
          <w:lang w:val="en-US" w:eastAsia="zh-CN"/>
        </w:rPr>
        <w:t>高位水池安装2台型号为IS80-50-250离心式清水泵，与井下供水管连接，井下作业面水压不足时，泵自动开启。井下供水管采用</w:t>
      </w:r>
      <w:r>
        <w:rPr>
          <w:rFonts w:hint="eastAsia" w:ascii="宋体" w:hAnsi="宋体" w:eastAsia="宋体" w:cs="宋体"/>
          <w:color w:val="auto"/>
          <w:lang w:val="en-US" w:eastAsia="zh-CN"/>
        </w:rPr>
        <w:t>φ</w:t>
      </w:r>
      <w:r>
        <w:rPr>
          <w:rFonts w:hint="eastAsia"/>
          <w:color w:val="auto"/>
          <w:lang w:val="en-US" w:eastAsia="zh-CN"/>
        </w:rPr>
        <w:t>89×4mm无缝钢管，沿平硐敷设再用三通阀门分别接送至井下各用水点，支管采用2寸水管通采掘工作面，+270m中段主运输道上设置消火栓。</w:t>
      </w:r>
    </w:p>
    <w:p w14:paraId="0E95A817">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385" w:name="_Toc11106"/>
      <w:bookmarkStart w:id="386" w:name="_Toc1389"/>
      <w:bookmarkStart w:id="387" w:name="_Toc27629"/>
      <w:bookmarkStart w:id="388" w:name="_Toc4645"/>
      <w:bookmarkStart w:id="389" w:name="_Toc5378"/>
      <w:bookmarkStart w:id="390" w:name="_Toc32709"/>
      <w:bookmarkStart w:id="391" w:name="_Toc22710"/>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 xml:space="preserve"> 供气系统</w:t>
      </w:r>
      <w:bookmarkEnd w:id="385"/>
      <w:bookmarkEnd w:id="386"/>
      <w:bookmarkEnd w:id="387"/>
      <w:bookmarkEnd w:id="388"/>
      <w:bookmarkEnd w:id="389"/>
      <w:bookmarkEnd w:id="390"/>
      <w:bookmarkEnd w:id="391"/>
    </w:p>
    <w:p w14:paraId="030CCD8C">
      <w:pPr>
        <w:bidi w:val="0"/>
        <w:rPr>
          <w:rFonts w:hint="eastAsia"/>
          <w:color w:val="auto"/>
          <w:lang w:val="en-US" w:eastAsia="zh-CN"/>
        </w:rPr>
      </w:pPr>
      <w:r>
        <w:rPr>
          <w:rFonts w:hint="eastAsia"/>
          <w:color w:val="auto"/>
          <w:lang w:val="en-US" w:eastAsia="zh-CN"/>
        </w:rPr>
        <w:t>矿山采用地面集中供风方式，在+270m平硐口附近工业场地上设有1间空气压缩机房。</w:t>
      </w:r>
    </w:p>
    <w:p w14:paraId="1BD70140">
      <w:pPr>
        <w:bidi w:val="0"/>
        <w:rPr>
          <w:rFonts w:hint="eastAsia"/>
          <w:color w:val="auto"/>
          <w:lang w:val="en-US" w:eastAsia="zh-CN"/>
        </w:rPr>
      </w:pPr>
      <w:r>
        <w:rPr>
          <w:rFonts w:hint="eastAsia"/>
          <w:color w:val="auto"/>
          <w:lang w:val="en-US" w:eastAsia="zh-CN"/>
        </w:rPr>
        <w:t>空气压缩机房内安装2台螺杆式空气压缩机，型号为LBZ-75A/8，单台空压机电机功率75kW，排气量12.7m</w:t>
      </w:r>
      <w:r>
        <w:rPr>
          <w:rFonts w:hint="default"/>
          <w:color w:val="auto"/>
          <w:lang w:val="en-US" w:eastAsia="zh-CN"/>
        </w:rPr>
        <w:t>³</w:t>
      </w:r>
      <w:r>
        <w:rPr>
          <w:rFonts w:hint="eastAsia"/>
          <w:color w:val="auto"/>
          <w:lang w:val="en-US" w:eastAsia="zh-CN"/>
        </w:rPr>
        <w:t>/min，排气压力0.8MPa。</w:t>
      </w:r>
    </w:p>
    <w:p w14:paraId="36DB6725">
      <w:pPr>
        <w:bidi w:val="0"/>
        <w:rPr>
          <w:rFonts w:hint="eastAsia"/>
          <w:color w:val="auto"/>
          <w:lang w:val="en-US" w:eastAsia="zh-CN"/>
        </w:rPr>
      </w:pPr>
      <w:r>
        <w:rPr>
          <w:rFonts w:hint="eastAsia"/>
          <w:color w:val="auto"/>
          <w:lang w:val="en-US" w:eastAsia="zh-CN"/>
        </w:rPr>
        <w:t>井下主供气管为φ89×4无逢钢管，管路从空压机房2m</w:t>
      </w:r>
      <w:r>
        <w:rPr>
          <w:rFonts w:hint="eastAsia"/>
          <w:color w:val="auto"/>
          <w:vertAlign w:val="superscript"/>
          <w:lang w:val="en-US" w:eastAsia="zh-CN"/>
        </w:rPr>
        <w:t>3</w:t>
      </w:r>
      <w:r>
        <w:rPr>
          <w:rFonts w:hint="eastAsia"/>
          <w:color w:val="auto"/>
          <w:lang w:val="en-US" w:eastAsia="zh-CN"/>
        </w:rPr>
        <w:t>储气罐接出，沿平硐引到井下各用气点。</w:t>
      </w:r>
    </w:p>
    <w:p w14:paraId="0D6E8809">
      <w:pPr>
        <w:bidi w:val="0"/>
        <w:rPr>
          <w:rFonts w:hint="eastAsia"/>
          <w:color w:val="auto"/>
          <w:lang w:val="en-US" w:eastAsia="zh-CN"/>
        </w:rPr>
      </w:pPr>
      <w:r>
        <w:rPr>
          <w:rFonts w:hint="eastAsia"/>
          <w:color w:val="auto"/>
          <w:lang w:val="en-US" w:eastAsia="zh-CN"/>
        </w:rPr>
        <w:t>2026年3月经江西省矿检安全科技有限公司对空气压缩机进行检测，综合判定为合格。</w:t>
      </w:r>
    </w:p>
    <w:p w14:paraId="2730E0EF">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宋体" w:hAnsi="宋体" w:eastAsia="宋体" w:cs="宋体"/>
          <w:color w:val="auto"/>
          <w:sz w:val="28"/>
          <w:szCs w:val="28"/>
          <w:lang w:val="en-US" w:eastAsia="zh-CN"/>
        </w:rPr>
      </w:pPr>
      <w:bookmarkStart w:id="392" w:name="_Toc6626"/>
      <w:bookmarkStart w:id="393" w:name="_Toc9788"/>
      <w:bookmarkStart w:id="394" w:name="_Toc21466"/>
      <w:bookmarkStart w:id="395" w:name="_Toc30958"/>
      <w:bookmarkStart w:id="396" w:name="_Toc24991"/>
      <w:bookmarkStart w:id="397" w:name="_Toc3823"/>
      <w:bookmarkStart w:id="398" w:name="_Toc21187"/>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.1</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 xml:space="preserve"> 民用爆破物品储存库</w:t>
      </w:r>
      <w:bookmarkEnd w:id="392"/>
      <w:bookmarkEnd w:id="393"/>
      <w:bookmarkEnd w:id="394"/>
      <w:bookmarkEnd w:id="395"/>
      <w:bookmarkEnd w:id="396"/>
      <w:bookmarkEnd w:id="397"/>
      <w:bookmarkEnd w:id="398"/>
    </w:p>
    <w:p w14:paraId="2289266C">
      <w:pPr>
        <w:bidi w:val="0"/>
        <w:rPr>
          <w:rFonts w:hint="eastAsia"/>
          <w:color w:val="auto"/>
          <w:lang w:val="en-US" w:eastAsia="zh-CN"/>
        </w:rPr>
      </w:pPr>
      <w:r>
        <w:rPr>
          <w:rFonts w:hint="eastAsia"/>
          <w:color w:val="auto"/>
          <w:lang w:val="en-US" w:eastAsia="zh-CN"/>
        </w:rPr>
        <w:t>江西临川鲁金矿业有限公司设有1</w:t>
      </w:r>
      <w:r>
        <w:rPr>
          <w:rFonts w:hint="eastAsia"/>
          <w:color w:val="auto"/>
        </w:rPr>
        <w:t>座</w:t>
      </w:r>
      <w:r>
        <w:rPr>
          <w:rFonts w:hint="eastAsia"/>
          <w:color w:val="auto"/>
          <w:lang w:val="en-US" w:eastAsia="zh-CN"/>
        </w:rPr>
        <w:t>地面民用爆破物品储存库。</w:t>
      </w:r>
      <w:r>
        <w:rPr>
          <w:rFonts w:hint="eastAsia"/>
          <w:color w:val="auto"/>
        </w:rPr>
        <w:t>该民用爆物品储存库北靠山体，</w:t>
      </w:r>
      <w:r>
        <w:rPr>
          <w:rFonts w:hint="eastAsia"/>
          <w:color w:val="auto"/>
          <w:lang w:val="en-US" w:eastAsia="zh-CN"/>
        </w:rPr>
        <w:t>东、</w:t>
      </w:r>
      <w:r>
        <w:rPr>
          <w:rFonts w:hint="eastAsia"/>
          <w:color w:val="auto"/>
        </w:rPr>
        <w:t>西</w:t>
      </w:r>
      <w:r>
        <w:rPr>
          <w:rFonts w:hint="eastAsia"/>
          <w:color w:val="auto"/>
          <w:lang w:eastAsia="zh-CN"/>
        </w:rPr>
        <w:t>、</w:t>
      </w:r>
      <w:r>
        <w:rPr>
          <w:rFonts w:hint="eastAsia"/>
          <w:color w:val="auto"/>
        </w:rPr>
        <w:t>北面均为山林</w:t>
      </w:r>
      <w:r>
        <w:rPr>
          <w:rFonts w:hint="eastAsia"/>
          <w:color w:val="auto"/>
          <w:lang w:eastAsia="zh-CN"/>
        </w:rPr>
        <w:t>，</w:t>
      </w:r>
      <w:r>
        <w:rPr>
          <w:rFonts w:hint="eastAsia"/>
          <w:color w:val="auto"/>
          <w:lang w:val="en-US" w:eastAsia="zh-CN"/>
        </w:rPr>
        <w:t>南</w:t>
      </w:r>
      <w:r>
        <w:rPr>
          <w:rFonts w:hint="eastAsia"/>
          <w:color w:val="auto"/>
        </w:rPr>
        <w:t>面为</w:t>
      </w:r>
      <w:r>
        <w:rPr>
          <w:rFonts w:hint="eastAsia"/>
          <w:color w:val="auto"/>
          <w:lang w:val="en-US" w:eastAsia="zh-CN"/>
        </w:rPr>
        <w:t>东西走向的</w:t>
      </w:r>
      <w:r>
        <w:rPr>
          <w:rFonts w:hint="eastAsia"/>
          <w:color w:val="auto"/>
        </w:rPr>
        <w:t>进库道路</w:t>
      </w:r>
      <w:r>
        <w:rPr>
          <w:rFonts w:hint="eastAsia"/>
          <w:color w:val="auto"/>
          <w:lang w:eastAsia="zh-CN"/>
        </w:rPr>
        <w:t>。</w:t>
      </w:r>
      <w:r>
        <w:rPr>
          <w:rFonts w:hint="eastAsia"/>
          <w:color w:val="auto"/>
        </w:rPr>
        <w:t>东北方向</w:t>
      </w:r>
      <w:r>
        <w:rPr>
          <w:rFonts w:hint="eastAsia"/>
          <w:color w:val="auto"/>
          <w:lang w:val="en-US" w:eastAsia="zh-CN"/>
        </w:rPr>
        <w:t>240</w:t>
      </w:r>
      <w:r>
        <w:rPr>
          <w:rFonts w:hint="eastAsia"/>
          <w:color w:val="auto"/>
        </w:rPr>
        <w:t>m建有矿山办公生活区，有山体</w:t>
      </w:r>
      <w:r>
        <w:rPr>
          <w:rFonts w:hint="eastAsia"/>
          <w:color w:val="auto"/>
          <w:lang w:eastAsia="zh-CN"/>
        </w:rPr>
        <w:t>（</w:t>
      </w:r>
      <w:r>
        <w:rPr>
          <w:rFonts w:hint="eastAsia"/>
          <w:color w:val="auto"/>
          <w:lang w:val="en-US" w:eastAsia="zh-CN"/>
        </w:rPr>
        <w:t>高度约300m</w:t>
      </w:r>
      <w:r>
        <w:rPr>
          <w:rFonts w:hint="eastAsia"/>
          <w:color w:val="auto"/>
          <w:lang w:eastAsia="zh-CN"/>
        </w:rPr>
        <w:t>）</w:t>
      </w:r>
      <w:r>
        <w:rPr>
          <w:rFonts w:hint="eastAsia"/>
          <w:color w:val="auto"/>
        </w:rPr>
        <w:t>相隔</w:t>
      </w:r>
      <w:r>
        <w:rPr>
          <w:rFonts w:hint="eastAsia"/>
          <w:color w:val="auto"/>
          <w:lang w:eastAsia="zh-CN"/>
        </w:rPr>
        <w:t>，</w:t>
      </w:r>
      <w:r>
        <w:rPr>
          <w:rFonts w:hint="eastAsia"/>
          <w:color w:val="auto"/>
          <w:lang w:val="en-US" w:eastAsia="zh-CN"/>
        </w:rPr>
        <w:t>鲁金矿区位于库区东北面，库区位于矿山地下开采岩石移动范围之外</w:t>
      </w:r>
      <w:r>
        <w:rPr>
          <w:rFonts w:hint="eastAsia"/>
          <w:color w:val="auto"/>
        </w:rPr>
        <w:t>。</w:t>
      </w:r>
      <w:r>
        <w:rPr>
          <w:rFonts w:hint="eastAsia"/>
          <w:color w:val="auto"/>
          <w:lang w:val="en-US" w:eastAsia="zh-CN"/>
        </w:rPr>
        <w:t>东面山体后为S312</w:t>
      </w:r>
      <w:r>
        <w:rPr>
          <w:rFonts w:hint="eastAsia"/>
          <w:color w:val="auto"/>
        </w:rPr>
        <w:t>公路，距离</w:t>
      </w:r>
      <w:r>
        <w:rPr>
          <w:rFonts w:hint="eastAsia"/>
          <w:color w:val="auto"/>
          <w:lang w:val="en-US" w:eastAsia="zh-CN"/>
        </w:rPr>
        <w:t>雷管</w:t>
      </w:r>
      <w:r>
        <w:rPr>
          <w:rFonts w:hint="eastAsia"/>
          <w:color w:val="auto"/>
        </w:rPr>
        <w:t>库1</w:t>
      </w:r>
      <w:r>
        <w:rPr>
          <w:rFonts w:hint="eastAsia"/>
          <w:color w:val="auto"/>
          <w:lang w:val="en-US" w:eastAsia="zh-CN"/>
        </w:rPr>
        <w:t>35</w:t>
      </w:r>
      <w:r>
        <w:rPr>
          <w:rFonts w:hint="eastAsia"/>
          <w:color w:val="auto"/>
        </w:rPr>
        <w:t>m</w:t>
      </w:r>
      <w:r>
        <w:rPr>
          <w:rFonts w:hint="eastAsia"/>
          <w:color w:val="auto"/>
          <w:lang w:eastAsia="zh-CN"/>
        </w:rPr>
        <w:t>、</w:t>
      </w:r>
      <w:r>
        <w:rPr>
          <w:rFonts w:hint="eastAsia"/>
          <w:color w:val="auto"/>
          <w:lang w:val="en-US" w:eastAsia="zh-CN"/>
        </w:rPr>
        <w:t>距离炸药库150m</w:t>
      </w:r>
      <w:r>
        <w:rPr>
          <w:rFonts w:hint="eastAsia"/>
          <w:color w:val="auto"/>
          <w:lang w:eastAsia="zh-CN"/>
        </w:rPr>
        <w:t>；</w:t>
      </w:r>
      <w:r>
        <w:rPr>
          <w:rFonts w:hint="eastAsia"/>
          <w:color w:val="auto"/>
        </w:rPr>
        <w:t>南面沟谷为鲁金矿业</w:t>
      </w:r>
      <w:r>
        <w:rPr>
          <w:rFonts w:hint="eastAsia"/>
          <w:color w:val="auto"/>
          <w:lang w:val="en-US" w:eastAsia="zh-CN"/>
        </w:rPr>
        <w:t>庄前</w:t>
      </w:r>
      <w:r>
        <w:rPr>
          <w:rFonts w:hint="eastAsia"/>
          <w:color w:val="auto"/>
        </w:rPr>
        <w:t>尾矿库，直线距离20m</w:t>
      </w:r>
      <w:r>
        <w:rPr>
          <w:rFonts w:hint="eastAsia"/>
          <w:color w:val="auto"/>
          <w:lang w:eastAsia="zh-CN"/>
        </w:rPr>
        <w:t>，</w:t>
      </w:r>
      <w:r>
        <w:rPr>
          <w:rFonts w:hint="eastAsia"/>
          <w:color w:val="auto"/>
          <w:lang w:val="en-US" w:eastAsia="zh-CN"/>
        </w:rPr>
        <w:t>在尾矿库淹没线以上</w:t>
      </w:r>
      <w:r>
        <w:rPr>
          <w:rFonts w:hint="eastAsia"/>
          <w:color w:val="auto"/>
          <w:lang w:eastAsia="zh-CN"/>
        </w:rPr>
        <w:t>；</w:t>
      </w:r>
      <w:r>
        <w:rPr>
          <w:rFonts w:hint="eastAsia"/>
          <w:color w:val="auto"/>
        </w:rPr>
        <w:t>此外库区周边</w:t>
      </w:r>
      <w:r>
        <w:rPr>
          <w:rFonts w:hint="eastAsia"/>
          <w:color w:val="auto"/>
          <w:lang w:val="en-US" w:eastAsia="zh-CN"/>
        </w:rPr>
        <w:t>安全</w:t>
      </w:r>
      <w:r>
        <w:rPr>
          <w:rFonts w:hint="eastAsia"/>
          <w:color w:val="auto"/>
        </w:rPr>
        <w:t>范围内无其它企业、工业与民用建筑和重要设施。</w:t>
      </w:r>
    </w:p>
    <w:p w14:paraId="17002000">
      <w:pPr>
        <w:bidi w:val="0"/>
        <w:rPr>
          <w:rFonts w:hint="eastAsia"/>
          <w:color w:val="auto"/>
        </w:rPr>
      </w:pPr>
      <w:r>
        <w:rPr>
          <w:rFonts w:hint="eastAsia"/>
          <w:color w:val="auto"/>
        </w:rPr>
        <w:t>江西临川鲁金矿业有限公司</w:t>
      </w:r>
      <w:r>
        <w:rPr>
          <w:rFonts w:hint="eastAsia"/>
          <w:color w:val="auto"/>
          <w:lang w:val="en-US" w:eastAsia="zh-CN"/>
        </w:rPr>
        <w:t>的</w:t>
      </w:r>
      <w:r>
        <w:rPr>
          <w:rFonts w:hint="eastAsia"/>
          <w:color w:val="auto"/>
        </w:rPr>
        <w:t>民用爆炸物品库，建有炸药库和雷管库</w:t>
      </w:r>
      <w:r>
        <w:rPr>
          <w:rFonts w:hint="eastAsia"/>
          <w:color w:val="auto"/>
          <w:lang w:val="en-US" w:eastAsia="zh-CN"/>
        </w:rPr>
        <w:t>各1个</w:t>
      </w:r>
      <w:r>
        <w:rPr>
          <w:rFonts w:hint="eastAsia"/>
          <w:color w:val="auto"/>
        </w:rPr>
        <w:t>，工业炸药最大储存量3t，工业雷管最大储存量20000发。根据协议</w:t>
      </w:r>
      <w:r>
        <w:rPr>
          <w:rFonts w:hint="eastAsia"/>
          <w:color w:val="auto"/>
          <w:lang w:eastAsia="zh-CN"/>
        </w:rPr>
        <w:t>，新余国泰爆破工程有限责任公司</w:t>
      </w:r>
      <w:r>
        <w:rPr>
          <w:rFonts w:hint="eastAsia"/>
          <w:color w:val="auto"/>
        </w:rPr>
        <w:t>承包江西临川鲁金矿业有限公司</w:t>
      </w:r>
      <w:r>
        <w:rPr>
          <w:rFonts w:hint="eastAsia"/>
          <w:color w:val="auto"/>
          <w:lang w:val="en-US" w:eastAsia="zh-CN"/>
        </w:rPr>
        <w:t>茅排金矿井下采掘</w:t>
      </w:r>
      <w:r>
        <w:rPr>
          <w:rFonts w:hint="eastAsia"/>
          <w:color w:val="auto"/>
        </w:rPr>
        <w:t>爆破作业。</w:t>
      </w:r>
    </w:p>
    <w:p w14:paraId="1B3A4F9D">
      <w:pPr>
        <w:bidi w:val="0"/>
        <w:rPr>
          <w:rFonts w:hint="eastAsia" w:ascii="宋体" w:hAnsi="宋体" w:eastAsia="宋体" w:cs="宋体"/>
          <w:color w:val="auto"/>
          <w:szCs w:val="28"/>
          <w:lang w:val="en-US" w:eastAsia="zh-CN"/>
        </w:rPr>
      </w:pPr>
      <w:r>
        <w:rPr>
          <w:rFonts w:hint="eastAsia"/>
          <w:color w:val="auto"/>
          <w:lang w:val="en-US" w:eastAsia="zh-CN"/>
        </w:rPr>
        <w:t>2023年8月江西省赣华安全科技有限公司对该储存库进行了安全现状评价，评价结果为民用爆破物品储存库储存条件合格。</w:t>
      </w:r>
    </w:p>
    <w:p w14:paraId="2B42FB56">
      <w:pPr>
        <w:pStyle w:val="4"/>
        <w:keepNext/>
        <w:keepLines/>
        <w:widowControl/>
        <w:autoSpaceDE w:val="0"/>
        <w:autoSpaceDN w:val="0"/>
        <w:rPr>
          <w:rFonts w:hint="eastAsia" w:ascii="宋体" w:hAnsi="宋体" w:eastAsia="宋体" w:cs="宋体"/>
          <w:color w:val="auto"/>
          <w:sz w:val="28"/>
          <w:szCs w:val="28"/>
          <w:lang w:val="en-US" w:eastAsia="zh-CN"/>
        </w:rPr>
      </w:pPr>
      <w:bookmarkStart w:id="399" w:name="_Toc13843"/>
      <w:bookmarkStart w:id="400" w:name="_Toc3128"/>
      <w:bookmarkStart w:id="401" w:name="_Toc10235"/>
      <w:bookmarkStart w:id="402" w:name="_Toc19420"/>
      <w:bookmarkStart w:id="403" w:name="_Toc26202"/>
      <w:bookmarkStart w:id="404" w:name="_Toc12371"/>
      <w:bookmarkStart w:id="405" w:name="_Toc26322"/>
      <w:r>
        <w:rPr>
          <w:rFonts w:hint="eastAsia" w:ascii="宋体" w:hAnsi="宋体" w:eastAsia="宋体" w:cs="宋体"/>
          <w:color w:val="auto"/>
          <w:sz w:val="28"/>
          <w:szCs w:val="28"/>
          <w:lang w:val="en-US" w:eastAsia="zh-CN"/>
        </w:rPr>
        <w:t>2.</w:t>
      </w:r>
      <w:r>
        <w:rPr>
          <w:rFonts w:hint="eastAsia" w:ascii="宋体" w:hAnsi="宋体" w:cs="宋体"/>
          <w:color w:val="auto"/>
          <w:sz w:val="28"/>
          <w:szCs w:val="28"/>
          <w:lang w:val="en-US" w:eastAsia="zh-CN"/>
        </w:rPr>
        <w:t>10</w:t>
      </w:r>
      <w:r>
        <w:rPr>
          <w:rFonts w:hint="eastAsia" w:ascii="宋体" w:hAnsi="宋体" w:eastAsia="宋体" w:cs="宋体"/>
          <w:color w:val="auto"/>
          <w:sz w:val="28"/>
          <w:szCs w:val="28"/>
          <w:lang w:val="en-US" w:eastAsia="zh-CN"/>
        </w:rPr>
        <w:t>.1</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 xml:space="preserve"> 废石场</w:t>
      </w:r>
      <w:bookmarkEnd w:id="399"/>
      <w:bookmarkEnd w:id="400"/>
      <w:bookmarkEnd w:id="401"/>
      <w:bookmarkEnd w:id="402"/>
      <w:bookmarkEnd w:id="403"/>
      <w:bookmarkEnd w:id="404"/>
      <w:bookmarkEnd w:id="405"/>
    </w:p>
    <w:p w14:paraId="13CEAB0B">
      <w:pPr>
        <w:bidi w:val="0"/>
        <w:rPr>
          <w:rFonts w:hint="eastAsia"/>
          <w:color w:val="auto"/>
          <w:lang w:val="en-US" w:eastAsia="zh-CN"/>
        </w:rPr>
      </w:pPr>
      <w:r>
        <w:rPr>
          <w:rFonts w:hint="eastAsia"/>
          <w:color w:val="auto"/>
          <w:lang w:val="en-US" w:eastAsia="zh-CN"/>
        </w:rPr>
        <w:t>根据设计的要求，矿山废石场设在+270m平硐口南侧150m处山谷内，废石场下方为低洼山地，无民宅和村庄。</w:t>
      </w:r>
    </w:p>
    <w:p w14:paraId="191E74C1">
      <w:pPr>
        <w:bidi w:val="0"/>
        <w:rPr>
          <w:rFonts w:hint="eastAsia"/>
          <w:color w:val="auto"/>
          <w:lang w:val="en-US" w:eastAsia="zh-CN"/>
        </w:rPr>
      </w:pPr>
      <w:r>
        <w:rPr>
          <w:rFonts w:hint="eastAsia"/>
          <w:color w:val="auto"/>
          <w:lang w:val="en-US" w:eastAsia="zh-CN"/>
        </w:rPr>
        <w:t>因矿山多年未生产，矿山产出的废石较少。废石场内堆存的废石大部分被当地用做建筑材料进行回收利用，小部分废石用于矿区铺路填垫，现废石场堆存极少量废石。</w:t>
      </w:r>
    </w:p>
    <w:p w14:paraId="51FBA10C">
      <w:pPr>
        <w:pStyle w:val="4"/>
        <w:keepNext/>
        <w:keepLines/>
        <w:pageBreakBefore w:val="0"/>
        <w:widowControl/>
        <w:kinsoku w:val="0"/>
        <w:wordWrap/>
        <w:overflowPunct/>
        <w:topLinePunct w:val="0"/>
        <w:autoSpaceDE w:val="0"/>
        <w:autoSpaceDN w:val="0"/>
        <w:bidi w:val="0"/>
        <w:adjustRightInd w:val="0"/>
        <w:snapToGrid w:val="0"/>
        <w:spacing w:before="0" w:after="0" w:line="560" w:lineRule="exact"/>
        <w:textAlignment w:val="baseline"/>
        <w:rPr>
          <w:rFonts w:hint="eastAsia" w:asciiTheme="majorEastAsia" w:hAnsiTheme="majorEastAsia" w:eastAsiaTheme="majorEastAsia" w:cstheme="majorEastAsia"/>
          <w:color w:val="auto"/>
          <w:sz w:val="28"/>
          <w:szCs w:val="28"/>
          <w:lang w:val="en-US" w:eastAsia="zh-CN"/>
        </w:rPr>
      </w:pPr>
      <w:bookmarkStart w:id="406" w:name="_Toc1207"/>
      <w:bookmarkStart w:id="407" w:name="_Toc6767"/>
      <w:bookmarkStart w:id="408" w:name="_Toc8913"/>
      <w:bookmarkStart w:id="409" w:name="_Toc11628"/>
      <w:bookmarkStart w:id="410" w:name="_Toc5080"/>
      <w:bookmarkStart w:id="411" w:name="_Toc31620"/>
      <w:bookmarkStart w:id="412" w:name="_Toc18650"/>
      <w:r>
        <w:rPr>
          <w:rFonts w:hint="eastAsia" w:asciiTheme="majorEastAsia" w:hAnsiTheme="majorEastAsia" w:eastAsiaTheme="majorEastAsia" w:cstheme="majorEastAsia"/>
          <w:color w:val="auto"/>
          <w:sz w:val="28"/>
          <w:szCs w:val="28"/>
          <w:lang w:val="en-US" w:eastAsia="zh-CN"/>
        </w:rPr>
        <w:t>2.10.13 安全避险“六大系统”</w:t>
      </w:r>
      <w:bookmarkEnd w:id="406"/>
      <w:bookmarkEnd w:id="407"/>
      <w:bookmarkEnd w:id="408"/>
      <w:bookmarkEnd w:id="409"/>
      <w:bookmarkEnd w:id="410"/>
      <w:bookmarkEnd w:id="411"/>
      <w:bookmarkEnd w:id="412"/>
    </w:p>
    <w:p w14:paraId="208E0A11">
      <w:pPr>
        <w:bidi w:val="0"/>
        <w:rPr>
          <w:rFonts w:hint="eastAsia"/>
          <w:color w:val="auto"/>
          <w:lang w:val="en-US" w:eastAsia="zh-CN"/>
        </w:rPr>
      </w:pPr>
      <w:r>
        <w:rPr>
          <w:rFonts w:hint="eastAsia"/>
          <w:color w:val="auto"/>
        </w:rPr>
        <w:t>安全避险</w:t>
      </w:r>
      <w:r>
        <w:rPr>
          <w:rFonts w:hint="eastAsia"/>
          <w:color w:val="auto"/>
          <w:lang w:val="en-US" w:eastAsia="zh-CN"/>
        </w:rPr>
        <w:t>六</w:t>
      </w:r>
      <w:r>
        <w:rPr>
          <w:rFonts w:hint="eastAsia"/>
          <w:color w:val="auto"/>
        </w:rPr>
        <w:t>大系统由</w:t>
      </w:r>
      <w:r>
        <w:rPr>
          <w:rFonts w:hint="eastAsia"/>
          <w:color w:val="auto"/>
          <w:lang w:val="en-US" w:eastAsia="zh-CN"/>
        </w:rPr>
        <w:t>江西省安创科技有限公司</w:t>
      </w:r>
      <w:r>
        <w:rPr>
          <w:rFonts w:hint="eastAsia"/>
          <w:color w:val="auto"/>
        </w:rPr>
        <w:t>设计和施工，</w:t>
      </w:r>
      <w:r>
        <w:rPr>
          <w:rFonts w:hint="eastAsia"/>
          <w:color w:val="auto"/>
          <w:lang w:val="en-US" w:eastAsia="zh-CN"/>
        </w:rPr>
        <w:t>其中：紧急避险系统、压风自救系统和供水施救系统由设计单位负责指导，建设单位自行施工建设；监测监控系统和通信联络系统由江西省安创科技有限公司负责施工，建设单位参与及配合；江西普瑞智工程技术有限公司2023年4月补充安装了人员定位系统。安全避险“六大系统”由江西临川鲁金矿业有限公司茅排金矿组织了验收，并进行了备案。</w:t>
      </w:r>
    </w:p>
    <w:p w14:paraId="3732629D">
      <w:pPr>
        <w:bidi w:val="0"/>
        <w:rPr>
          <w:rFonts w:hint="eastAsia" w:ascii="宋体" w:hAnsi="宋体"/>
          <w:color w:val="auto"/>
          <w:szCs w:val="28"/>
        </w:rPr>
      </w:pPr>
      <w:r>
        <w:rPr>
          <w:rFonts w:hint="eastAsia"/>
          <w:color w:val="auto"/>
          <w:lang w:val="en-US" w:eastAsia="zh-CN"/>
        </w:rPr>
        <w:t>目前矿山安全避险“六大系统”各项功能齐全有效，系统运行平稳。</w:t>
      </w:r>
    </w:p>
    <w:p w14:paraId="60D5840E">
      <w:pPr>
        <w:bidi w:val="0"/>
        <w:rPr>
          <w:rFonts w:hint="eastAsia"/>
          <w:color w:val="auto"/>
          <w:lang w:val="en-US" w:eastAsia="zh-CN"/>
        </w:rPr>
      </w:pPr>
      <w:r>
        <w:rPr>
          <w:rFonts w:hint="eastAsia"/>
          <w:color w:val="auto"/>
          <w:lang w:val="en-US" w:eastAsia="zh-CN"/>
        </w:rPr>
        <w:t>1） 监测监控系统</w:t>
      </w:r>
    </w:p>
    <w:p w14:paraId="6F861436">
      <w:pPr>
        <w:bidi w:val="0"/>
        <w:rPr>
          <w:rFonts w:hint="eastAsia"/>
          <w:color w:val="auto"/>
          <w:lang w:val="en-US" w:eastAsia="zh-CN"/>
        </w:rPr>
      </w:pPr>
      <w:r>
        <w:rPr>
          <w:rFonts w:hint="eastAsia"/>
          <w:color w:val="auto"/>
          <w:lang w:val="en-US" w:eastAsia="zh-CN"/>
        </w:rPr>
        <w:t>（1）购有2台便携式多气体检测报警仪，</w:t>
      </w:r>
      <w:r>
        <w:rPr>
          <w:rFonts w:hint="eastAsia"/>
          <w:color w:val="auto"/>
        </w:rPr>
        <w:t>型号</w:t>
      </w:r>
      <w:r>
        <w:rPr>
          <w:rFonts w:hint="eastAsia"/>
          <w:color w:val="auto"/>
          <w:lang w:val="en-US" w:eastAsia="zh-CN"/>
        </w:rPr>
        <w:t>为</w:t>
      </w:r>
      <w:r>
        <w:rPr>
          <w:rFonts w:hint="eastAsia"/>
          <w:color w:val="auto"/>
        </w:rPr>
        <w:t>CD3</w:t>
      </w:r>
      <w:r>
        <w:rPr>
          <w:rFonts w:hint="eastAsia"/>
          <w:color w:val="auto"/>
          <w:lang w:eastAsia="zh-CN"/>
        </w:rPr>
        <w:t>，</w:t>
      </w:r>
      <w:r>
        <w:rPr>
          <w:rFonts w:hint="eastAsia"/>
          <w:color w:val="auto"/>
          <w:lang w:val="en-US" w:eastAsia="zh-CN"/>
        </w:rPr>
        <w:t>有矿用产品安全标志</w:t>
      </w:r>
      <w:r>
        <w:rPr>
          <w:rFonts w:hint="eastAsia"/>
          <w:color w:val="auto"/>
          <w:lang w:eastAsia="zh-CN"/>
        </w:rPr>
        <w:t>。</w:t>
      </w:r>
    </w:p>
    <w:p w14:paraId="3B3D0BED">
      <w:pPr>
        <w:bidi w:val="0"/>
        <w:rPr>
          <w:rFonts w:hint="eastAsia"/>
          <w:color w:val="auto"/>
          <w:lang w:val="en-US" w:eastAsia="zh-CN"/>
        </w:rPr>
      </w:pPr>
      <w:r>
        <w:rPr>
          <w:rFonts w:hint="eastAsia"/>
          <w:color w:val="auto"/>
          <w:lang w:val="en-US" w:eastAsia="zh-CN"/>
        </w:rPr>
        <w:t>（2）风速、风压及有害气体监测监测：在+270m 中段主进风巷、+270m 中段主回风巷和+320m中段主回风巷设有风速传感器，在25线装有毒气体检测装置；在+320m回风平硐设有1个风压传感器；主扇、局扇设置有设备开停监测。</w:t>
      </w:r>
    </w:p>
    <w:p w14:paraId="697AE967">
      <w:pPr>
        <w:bidi w:val="0"/>
        <w:rPr>
          <w:rFonts w:hint="eastAsia"/>
          <w:color w:val="auto"/>
          <w:lang w:val="en-US" w:eastAsia="zh-CN"/>
        </w:rPr>
      </w:pPr>
      <w:r>
        <w:rPr>
          <w:rFonts w:hint="eastAsia"/>
          <w:color w:val="auto"/>
          <w:lang w:val="en-US" w:eastAsia="zh-CN"/>
        </w:rPr>
        <w:t>（3）在+270m平硐硐口、+270m 中段人行天井井底、+320m中段主回风巷各安装有1台红外摄像机，共3台。</w:t>
      </w:r>
    </w:p>
    <w:p w14:paraId="41FB2B31">
      <w:pPr>
        <w:bidi w:val="0"/>
        <w:rPr>
          <w:rFonts w:hint="default"/>
          <w:color w:val="auto"/>
          <w:lang w:val="en-US" w:eastAsia="zh-CN"/>
        </w:rPr>
      </w:pPr>
      <w:r>
        <w:rPr>
          <w:rFonts w:hint="eastAsia"/>
          <w:color w:val="auto"/>
          <w:lang w:val="en-US" w:eastAsia="zh-CN"/>
        </w:rPr>
        <w:t>（4）监控中心设有工控机、液晶电视、液晶显示器、机柜、操作台、UPS电源中心设备。</w:t>
      </w:r>
    </w:p>
    <w:p w14:paraId="66D6E876">
      <w:pPr>
        <w:bidi w:val="0"/>
        <w:rPr>
          <w:rFonts w:hint="eastAsia"/>
          <w:color w:val="auto"/>
          <w:lang w:val="en-US" w:eastAsia="zh-CN"/>
        </w:rPr>
      </w:pPr>
      <w:r>
        <w:rPr>
          <w:rFonts w:hint="eastAsia"/>
          <w:color w:val="auto"/>
          <w:lang w:val="en-US" w:eastAsia="zh-CN"/>
        </w:rPr>
        <w:t>2）人员定位系统</w:t>
      </w:r>
    </w:p>
    <w:p w14:paraId="2A32CA72">
      <w:pPr>
        <w:bidi w:val="0"/>
        <w:rPr>
          <w:rFonts w:hint="default"/>
          <w:color w:val="auto"/>
          <w:lang w:val="en-US" w:eastAsia="zh-CN"/>
        </w:rPr>
      </w:pPr>
      <w:r>
        <w:rPr>
          <w:rFonts w:hint="eastAsia"/>
          <w:color w:val="auto"/>
          <w:lang w:val="en-US" w:eastAsia="zh-CN"/>
        </w:rPr>
        <w:t>江西临川鲁金矿业有限公司茅排金矿为井下矿山，已建立人员定位系统。在监控中心装有服务器及显示系统一套，人员定位软件系统一套，配有张下井人员定位卡30个,型号为KJ399-K（A)，在+270m中段装有3个人员定位分站（KJ399-F)，千兆交换机1台（IES5028G-4GS-8GE)。</w:t>
      </w:r>
    </w:p>
    <w:p w14:paraId="0AA9727E">
      <w:pPr>
        <w:bidi w:val="0"/>
        <w:rPr>
          <w:rFonts w:hint="eastAsia"/>
          <w:color w:val="auto"/>
          <w:lang w:val="en-US" w:eastAsia="zh-CN"/>
        </w:rPr>
      </w:pPr>
      <w:r>
        <w:rPr>
          <w:rFonts w:hint="eastAsia"/>
          <w:color w:val="auto"/>
          <w:lang w:val="en-US" w:eastAsia="zh-CN"/>
        </w:rPr>
        <w:t>3）通讯联络系统</w:t>
      </w:r>
    </w:p>
    <w:p w14:paraId="6F2BA3A3">
      <w:pPr>
        <w:bidi w:val="0"/>
        <w:rPr>
          <w:rFonts w:hint="eastAsia"/>
          <w:color w:val="auto"/>
          <w:lang w:val="en-US" w:eastAsia="zh-CN"/>
        </w:rPr>
      </w:pPr>
      <w:r>
        <w:rPr>
          <w:rFonts w:hint="eastAsia"/>
          <w:color w:val="auto"/>
          <w:lang w:val="en-US" w:eastAsia="zh-CN"/>
        </w:rPr>
        <w:t>茅排金矿建设一套有线通信调度系统，主要设备包括调度主机和调度台，具备生产调度指挥功能。</w:t>
      </w:r>
    </w:p>
    <w:p w14:paraId="1963EEC8">
      <w:pPr>
        <w:bidi w:val="0"/>
        <w:rPr>
          <w:rFonts w:hint="eastAsia"/>
          <w:color w:val="auto"/>
          <w:lang w:val="en-US" w:eastAsia="zh-CN"/>
        </w:rPr>
      </w:pPr>
      <w:r>
        <w:rPr>
          <w:rFonts w:hint="eastAsia"/>
          <w:color w:val="auto"/>
          <w:lang w:val="en-US" w:eastAsia="zh-CN"/>
        </w:rPr>
        <w:t>井下在+270m硐口值班房、+270m中段25线人行天井井底、+270m中段35线采场、+320m主回风巷（主扇安装旁）等4处设置电话机。地面在值班室、监控室等场所设置电话，做到一机一号，井下电话与地面电话系统互联互通。</w:t>
      </w:r>
    </w:p>
    <w:p w14:paraId="51DBF7FB">
      <w:pPr>
        <w:bidi w:val="0"/>
        <w:rPr>
          <w:rFonts w:hint="eastAsia"/>
          <w:color w:val="auto"/>
          <w:lang w:val="en-US" w:eastAsia="zh-CN"/>
        </w:rPr>
      </w:pPr>
      <w:r>
        <w:rPr>
          <w:rFonts w:hint="eastAsia"/>
          <w:color w:val="auto"/>
          <w:lang w:val="en-US" w:eastAsia="zh-CN"/>
        </w:rPr>
        <w:t>4）紧急避险系统</w:t>
      </w:r>
    </w:p>
    <w:p w14:paraId="35AFA4B8">
      <w:pPr>
        <w:bidi w:val="0"/>
        <w:rPr>
          <w:rFonts w:hint="eastAsia"/>
          <w:color w:val="auto"/>
        </w:rPr>
      </w:pPr>
      <w:r>
        <w:rPr>
          <w:rFonts w:hint="eastAsia"/>
          <w:color w:val="auto"/>
          <w:lang w:val="en-US" w:eastAsia="zh-CN"/>
        </w:rPr>
        <w:t>矿山</w:t>
      </w:r>
      <w:r>
        <w:rPr>
          <w:rFonts w:hint="eastAsia"/>
          <w:color w:val="auto"/>
        </w:rPr>
        <w:t>编制了应急预案</w:t>
      </w:r>
      <w:r>
        <w:rPr>
          <w:rFonts w:hint="eastAsia"/>
          <w:color w:val="auto"/>
          <w:lang w:val="en-US" w:eastAsia="zh-CN"/>
        </w:rPr>
        <w:t>，制定了灾害的避灾路线，绘制井下避灾线路图并张贴在安全出入口，</w:t>
      </w:r>
      <w:r>
        <w:rPr>
          <w:rFonts w:hint="eastAsia"/>
          <w:color w:val="auto"/>
        </w:rPr>
        <w:t>矿山安全出口符合规范要求，矿山每班井下最大作业人数为</w:t>
      </w:r>
      <w:r>
        <w:rPr>
          <w:rFonts w:hint="eastAsia"/>
          <w:color w:val="auto"/>
          <w:lang w:val="en-US" w:eastAsia="zh-CN"/>
        </w:rPr>
        <w:t>7</w:t>
      </w:r>
      <w:r>
        <w:rPr>
          <w:rFonts w:hint="eastAsia"/>
          <w:color w:val="auto"/>
        </w:rPr>
        <w:t>人，矿山配备了</w:t>
      </w:r>
      <w:r>
        <w:rPr>
          <w:rFonts w:hint="eastAsia"/>
          <w:color w:val="auto"/>
          <w:lang w:val="en-US" w:eastAsia="zh-CN"/>
        </w:rPr>
        <w:t>1</w:t>
      </w:r>
      <w:r>
        <w:rPr>
          <w:rFonts w:hint="eastAsia"/>
          <w:color w:val="auto"/>
        </w:rPr>
        <w:t>5</w:t>
      </w:r>
      <w:r>
        <w:rPr>
          <w:rFonts w:hint="eastAsia"/>
          <w:color w:val="auto"/>
          <w:lang w:val="en-US" w:eastAsia="zh-CN"/>
        </w:rPr>
        <w:t>台</w:t>
      </w:r>
      <w:r>
        <w:rPr>
          <w:rFonts w:hint="eastAsia"/>
          <w:color w:val="auto"/>
        </w:rPr>
        <w:t>隔绝式压缩氧自救器，型号</w:t>
      </w:r>
      <w:r>
        <w:rPr>
          <w:rFonts w:hint="eastAsia"/>
          <w:color w:val="auto"/>
          <w:lang w:val="en-US" w:eastAsia="zh-CN"/>
        </w:rPr>
        <w:t>为</w:t>
      </w:r>
      <w:r>
        <w:rPr>
          <w:rFonts w:hint="eastAsia"/>
          <w:color w:val="auto"/>
        </w:rPr>
        <w:t>ZYX45。</w:t>
      </w:r>
    </w:p>
    <w:p w14:paraId="00BFA2A3">
      <w:pPr>
        <w:bidi w:val="0"/>
        <w:rPr>
          <w:rFonts w:hint="eastAsia"/>
          <w:color w:val="auto"/>
          <w:lang w:val="en-US" w:eastAsia="zh-CN"/>
        </w:rPr>
      </w:pPr>
      <w:r>
        <w:rPr>
          <w:rFonts w:hint="eastAsia"/>
          <w:color w:val="auto"/>
          <w:lang w:val="en-US" w:eastAsia="zh-CN"/>
        </w:rPr>
        <w:t>5)压风自救系统</w:t>
      </w:r>
    </w:p>
    <w:p w14:paraId="3B69447A">
      <w:pPr>
        <w:bidi w:val="0"/>
        <w:rPr>
          <w:color w:val="auto"/>
        </w:rPr>
      </w:pPr>
      <w:r>
        <w:rPr>
          <w:rFonts w:hint="eastAsia"/>
          <w:color w:val="auto"/>
          <w:lang w:val="en-US" w:eastAsia="zh-CN"/>
        </w:rPr>
        <w:t>压风自救系统与供风系统共用，通过压风机房内空压机供风，供风管路每隔100m～200m设置三通和闸阀。</w:t>
      </w:r>
    </w:p>
    <w:p w14:paraId="052D9396">
      <w:pPr>
        <w:bidi w:val="0"/>
        <w:rPr>
          <w:rFonts w:hint="eastAsia"/>
          <w:color w:val="auto"/>
          <w:lang w:val="en-US" w:eastAsia="zh-CN"/>
        </w:rPr>
      </w:pPr>
      <w:r>
        <w:rPr>
          <w:rFonts w:hint="eastAsia"/>
          <w:color w:val="auto"/>
          <w:lang w:val="en-US" w:eastAsia="zh-CN"/>
        </w:rPr>
        <w:t>6)供水施救系统</w:t>
      </w:r>
    </w:p>
    <w:p w14:paraId="4758A892">
      <w:pPr>
        <w:bidi w:val="0"/>
        <w:rPr>
          <w:rFonts w:hint="eastAsia" w:ascii="宋体" w:hAnsi="宋体" w:eastAsia="宋体" w:cs="宋体"/>
          <w:color w:val="auto"/>
          <w:szCs w:val="28"/>
          <w:lang w:val="en-US" w:eastAsia="zh-CN"/>
        </w:rPr>
      </w:pPr>
      <w:r>
        <w:rPr>
          <w:rFonts w:hint="eastAsia"/>
          <w:color w:val="auto"/>
          <w:lang w:val="en-US" w:eastAsia="zh-CN"/>
        </w:rPr>
        <w:t>供水施救系统与生产供水系统共用，采用静压供水。运输巷道的供水管路每隔100m～200m设置一组三通及阐阀，独头掘进巷道距掘进工作面不大于100处的供水管道上设置一组三通及阐阀。</w:t>
      </w:r>
    </w:p>
    <w:p w14:paraId="42AEA002">
      <w:pPr>
        <w:pStyle w:val="4"/>
        <w:pageBreakBefore w:val="0"/>
        <w:kinsoku/>
        <w:wordWrap/>
        <w:overflowPunct/>
        <w:topLinePunct w:val="0"/>
        <w:autoSpaceDE/>
        <w:autoSpaceDN/>
        <w:bidi w:val="0"/>
        <w:spacing w:before="0" w:after="0"/>
        <w:textAlignment w:val="auto"/>
        <w:rPr>
          <w:rFonts w:hint="default" w:ascii="Times New Roman" w:hAnsi="Times New Roman" w:eastAsia="宋体" w:cs="Times New Roman"/>
          <w:b/>
          <w:bCs/>
          <w:color w:val="auto"/>
          <w:lang w:val="en-US" w:eastAsia="zh-CN"/>
        </w:rPr>
      </w:pPr>
      <w:bookmarkStart w:id="413" w:name="_Toc11027"/>
      <w:bookmarkStart w:id="414" w:name="_Toc22820"/>
      <w:r>
        <w:rPr>
          <w:rFonts w:hint="eastAsia" w:ascii="Times New Roman" w:hAnsi="Times New Roman" w:eastAsia="宋体" w:cs="Times New Roman"/>
          <w:b/>
          <w:bCs/>
          <w:color w:val="auto"/>
          <w:lang w:val="en-US" w:eastAsia="zh-CN"/>
        </w:rPr>
        <w:t>2.10.14 矿山主要设备</w:t>
      </w:r>
      <w:bookmarkEnd w:id="413"/>
      <w:bookmarkEnd w:id="414"/>
    </w:p>
    <w:p w14:paraId="3CCCF2B6">
      <w:pPr>
        <w:pageBreakBefore w:val="0"/>
        <w:kinsoku/>
        <w:wordWrap/>
        <w:overflowPunct/>
        <w:topLinePunct w:val="0"/>
        <w:autoSpaceDE/>
        <w:autoSpaceDN/>
        <w:bidi w:val="0"/>
        <w:ind w:firstLine="560" w:firstLineChars="200"/>
        <w:textAlignment w:val="auto"/>
        <w:rPr>
          <w:rFonts w:hint="eastAsia"/>
          <w:color w:val="auto"/>
          <w:sz w:val="28"/>
          <w:szCs w:val="28"/>
        </w:rPr>
      </w:pPr>
      <w:r>
        <w:rPr>
          <w:rFonts w:hint="eastAsia" w:cs="宋体"/>
          <w:color w:val="auto"/>
          <w:sz w:val="28"/>
          <w:szCs w:val="28"/>
        </w:rPr>
        <w:t>矿山主要设备情况见表</w:t>
      </w:r>
      <w:r>
        <w:rPr>
          <w:color w:val="auto"/>
          <w:sz w:val="28"/>
          <w:szCs w:val="28"/>
        </w:rPr>
        <w:t>2</w:t>
      </w:r>
      <w:r>
        <w:rPr>
          <w:rFonts w:hint="eastAsia"/>
          <w:color w:val="auto"/>
          <w:sz w:val="28"/>
          <w:szCs w:val="28"/>
          <w:lang w:val="en-US" w:eastAsia="zh-CN"/>
        </w:rPr>
        <w:t>.10</w:t>
      </w:r>
      <w:r>
        <w:rPr>
          <w:color w:val="auto"/>
          <w:sz w:val="28"/>
          <w:szCs w:val="28"/>
        </w:rPr>
        <w:t>-</w:t>
      </w:r>
      <w:r>
        <w:rPr>
          <w:rFonts w:hint="eastAsia"/>
          <w:color w:val="auto"/>
          <w:sz w:val="28"/>
          <w:szCs w:val="28"/>
          <w:lang w:val="en-US" w:eastAsia="zh-CN"/>
        </w:rPr>
        <w:t>1</w:t>
      </w:r>
      <w:r>
        <w:rPr>
          <w:rFonts w:hint="eastAsia" w:cs="宋体"/>
          <w:color w:val="auto"/>
          <w:sz w:val="28"/>
          <w:szCs w:val="28"/>
        </w:rPr>
        <w:t>。</w:t>
      </w:r>
    </w:p>
    <w:p w14:paraId="26BB26AD">
      <w:pPr>
        <w:pageBreakBefore w:val="0"/>
        <w:kinsoku/>
        <w:wordWrap/>
        <w:overflowPunct/>
        <w:topLinePunct w:val="0"/>
        <w:autoSpaceDE/>
        <w:autoSpaceDN/>
        <w:bidi w:val="0"/>
        <w:spacing w:line="440" w:lineRule="exact"/>
        <w:jc w:val="center"/>
        <w:textAlignment w:val="auto"/>
        <w:rPr>
          <w:rFonts w:hint="eastAsia" w:cs="黑体"/>
          <w:b/>
          <w:bCs/>
          <w:color w:val="auto"/>
          <w:sz w:val="24"/>
          <w:szCs w:val="24"/>
        </w:rPr>
      </w:pPr>
      <w:r>
        <w:rPr>
          <w:rFonts w:hint="eastAsia" w:cs="黑体"/>
          <w:b/>
          <w:bCs/>
          <w:color w:val="auto"/>
          <w:sz w:val="24"/>
          <w:szCs w:val="24"/>
        </w:rPr>
        <w:t>表</w:t>
      </w:r>
      <w:r>
        <w:rPr>
          <w:rFonts w:cs="黑体"/>
          <w:b/>
          <w:bCs/>
          <w:color w:val="auto"/>
          <w:sz w:val="24"/>
          <w:szCs w:val="24"/>
        </w:rPr>
        <w:t>2</w:t>
      </w:r>
      <w:r>
        <w:rPr>
          <w:rFonts w:hint="eastAsia" w:cs="黑体"/>
          <w:b/>
          <w:bCs/>
          <w:color w:val="auto"/>
          <w:sz w:val="24"/>
          <w:szCs w:val="24"/>
          <w:lang w:val="en-US" w:eastAsia="zh-CN"/>
        </w:rPr>
        <w:t>.10</w:t>
      </w:r>
      <w:r>
        <w:rPr>
          <w:rFonts w:cs="黑体"/>
          <w:b/>
          <w:bCs/>
          <w:color w:val="auto"/>
          <w:sz w:val="24"/>
          <w:szCs w:val="24"/>
        </w:rPr>
        <w:t>-</w:t>
      </w:r>
      <w:r>
        <w:rPr>
          <w:rFonts w:hint="eastAsia" w:cs="黑体"/>
          <w:b/>
          <w:bCs/>
          <w:color w:val="auto"/>
          <w:sz w:val="24"/>
          <w:szCs w:val="24"/>
          <w:lang w:val="en-US" w:eastAsia="zh-CN"/>
        </w:rPr>
        <w:t>1</w:t>
      </w:r>
      <w:r>
        <w:rPr>
          <w:rFonts w:cs="黑体"/>
          <w:b/>
          <w:bCs/>
          <w:color w:val="auto"/>
          <w:sz w:val="24"/>
          <w:szCs w:val="24"/>
        </w:rPr>
        <w:t xml:space="preserve"> </w:t>
      </w:r>
      <w:r>
        <w:rPr>
          <w:rFonts w:hint="eastAsia" w:cs="黑体"/>
          <w:b/>
          <w:bCs/>
          <w:color w:val="auto"/>
          <w:sz w:val="24"/>
          <w:szCs w:val="24"/>
        </w:rPr>
        <w:t xml:space="preserve">  主要设备一览表</w:t>
      </w:r>
    </w:p>
    <w:tbl>
      <w:tblPr>
        <w:tblStyle w:val="18"/>
        <w:tblW w:w="487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3133"/>
        <w:gridCol w:w="2970"/>
        <w:gridCol w:w="1113"/>
        <w:gridCol w:w="966"/>
      </w:tblGrid>
      <w:tr w14:paraId="23D1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5DE74BC4">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序号</w:t>
            </w:r>
          </w:p>
        </w:tc>
        <w:tc>
          <w:tcPr>
            <w:tcW w:w="1729" w:type="pct"/>
            <w:noWrap w:val="0"/>
            <w:vAlign w:val="top"/>
          </w:tcPr>
          <w:p w14:paraId="64128F0C">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设备名称</w:t>
            </w:r>
          </w:p>
        </w:tc>
        <w:tc>
          <w:tcPr>
            <w:tcW w:w="1639" w:type="pct"/>
            <w:noWrap w:val="0"/>
            <w:vAlign w:val="top"/>
          </w:tcPr>
          <w:p w14:paraId="4162BFEC">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规格型号</w:t>
            </w:r>
          </w:p>
        </w:tc>
        <w:tc>
          <w:tcPr>
            <w:tcW w:w="614" w:type="pct"/>
            <w:noWrap w:val="0"/>
            <w:vAlign w:val="top"/>
          </w:tcPr>
          <w:p w14:paraId="4A1EE1AD">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单位</w:t>
            </w:r>
          </w:p>
        </w:tc>
        <w:tc>
          <w:tcPr>
            <w:tcW w:w="533" w:type="pct"/>
            <w:noWrap w:val="0"/>
            <w:vAlign w:val="top"/>
          </w:tcPr>
          <w:p w14:paraId="7649A7E2">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数量</w:t>
            </w:r>
          </w:p>
        </w:tc>
      </w:tr>
      <w:tr w14:paraId="6BE3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30996EF1">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ascii="宋体" w:hAnsi="宋体"/>
                <w:color w:val="auto"/>
                <w:sz w:val="21"/>
                <w:szCs w:val="21"/>
              </w:rPr>
            </w:pPr>
            <w:r>
              <w:rPr>
                <w:rFonts w:hint="eastAsia" w:ascii="宋体" w:hAnsi="宋体"/>
                <w:color w:val="auto"/>
                <w:sz w:val="21"/>
                <w:szCs w:val="21"/>
              </w:rPr>
              <w:t>1</w:t>
            </w:r>
          </w:p>
        </w:tc>
        <w:tc>
          <w:tcPr>
            <w:tcW w:w="1729" w:type="pct"/>
            <w:noWrap w:val="0"/>
            <w:vAlign w:val="top"/>
          </w:tcPr>
          <w:p w14:paraId="4D783DD5">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螺杆空气压缩机</w:t>
            </w:r>
          </w:p>
        </w:tc>
        <w:tc>
          <w:tcPr>
            <w:tcW w:w="1639" w:type="pct"/>
            <w:noWrap w:val="0"/>
            <w:vAlign w:val="top"/>
          </w:tcPr>
          <w:p w14:paraId="69A1C8DB">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eastAsia="宋体" w:cs="宋体"/>
                <w:color w:val="auto"/>
                <w:sz w:val="21"/>
                <w:szCs w:val="21"/>
                <w:lang w:val="en-US" w:eastAsia="zh-CN"/>
              </w:rPr>
              <w:t>LBZ-75A/8</w:t>
            </w:r>
          </w:p>
        </w:tc>
        <w:tc>
          <w:tcPr>
            <w:tcW w:w="614" w:type="pct"/>
            <w:noWrap w:val="0"/>
            <w:vAlign w:val="top"/>
          </w:tcPr>
          <w:p w14:paraId="12490762">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台</w:t>
            </w:r>
          </w:p>
        </w:tc>
        <w:tc>
          <w:tcPr>
            <w:tcW w:w="533" w:type="pct"/>
            <w:noWrap w:val="0"/>
            <w:vAlign w:val="top"/>
          </w:tcPr>
          <w:p w14:paraId="7DE69770">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olor w:val="auto"/>
                <w:sz w:val="21"/>
                <w:szCs w:val="21"/>
                <w:lang w:eastAsia="zh-CN"/>
              </w:rPr>
            </w:pPr>
            <w:r>
              <w:rPr>
                <w:rFonts w:hint="eastAsia" w:ascii="宋体" w:hAnsi="宋体"/>
                <w:color w:val="auto"/>
                <w:sz w:val="21"/>
                <w:szCs w:val="21"/>
                <w:lang w:val="en-US" w:eastAsia="zh-CN"/>
              </w:rPr>
              <w:t>2</w:t>
            </w:r>
          </w:p>
        </w:tc>
      </w:tr>
      <w:tr w14:paraId="7C79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2A9DECAA">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ascii="宋体" w:hAnsi="宋体"/>
                <w:color w:val="auto"/>
                <w:sz w:val="21"/>
                <w:szCs w:val="21"/>
              </w:rPr>
            </w:pPr>
            <w:r>
              <w:rPr>
                <w:rFonts w:hint="eastAsia" w:ascii="宋体" w:hAnsi="宋体"/>
                <w:color w:val="auto"/>
                <w:sz w:val="21"/>
                <w:szCs w:val="21"/>
              </w:rPr>
              <w:t>2</w:t>
            </w:r>
          </w:p>
        </w:tc>
        <w:tc>
          <w:tcPr>
            <w:tcW w:w="1729" w:type="pct"/>
            <w:shd w:val="clear" w:color="auto" w:fill="auto"/>
            <w:noWrap w:val="0"/>
            <w:vAlign w:val="top"/>
          </w:tcPr>
          <w:p w14:paraId="00359ED0">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rPr>
              <w:t>凿岩机</w:t>
            </w:r>
          </w:p>
        </w:tc>
        <w:tc>
          <w:tcPr>
            <w:tcW w:w="1639" w:type="pct"/>
            <w:shd w:val="clear" w:color="auto" w:fill="auto"/>
            <w:noWrap w:val="0"/>
            <w:vAlign w:val="top"/>
          </w:tcPr>
          <w:p w14:paraId="4095FCCA">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eastAsia="宋体" w:cs="宋体"/>
                <w:color w:val="auto"/>
                <w:sz w:val="21"/>
                <w:szCs w:val="21"/>
                <w:lang w:val="en-US" w:eastAsia="zh-CN"/>
              </w:rPr>
              <w:t>YT-28</w:t>
            </w:r>
          </w:p>
        </w:tc>
        <w:tc>
          <w:tcPr>
            <w:tcW w:w="614" w:type="pct"/>
            <w:noWrap w:val="0"/>
            <w:vAlign w:val="top"/>
          </w:tcPr>
          <w:p w14:paraId="74384D18">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台</w:t>
            </w:r>
          </w:p>
        </w:tc>
        <w:tc>
          <w:tcPr>
            <w:tcW w:w="533" w:type="pct"/>
            <w:noWrap w:val="0"/>
            <w:vAlign w:val="top"/>
          </w:tcPr>
          <w:p w14:paraId="79B5AE7C">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olor w:val="auto"/>
                <w:sz w:val="21"/>
                <w:szCs w:val="21"/>
                <w:lang w:val="en-US" w:eastAsia="zh-CN"/>
              </w:rPr>
            </w:pPr>
            <w:r>
              <w:rPr>
                <w:rFonts w:hint="eastAsia"/>
                <w:color w:val="auto"/>
                <w:sz w:val="21"/>
                <w:szCs w:val="21"/>
                <w:lang w:val="en-US" w:eastAsia="zh-CN"/>
              </w:rPr>
              <w:t>6</w:t>
            </w:r>
          </w:p>
        </w:tc>
      </w:tr>
      <w:tr w14:paraId="239B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3" w:type="pct"/>
            <w:noWrap w:val="0"/>
            <w:vAlign w:val="top"/>
          </w:tcPr>
          <w:p w14:paraId="0C0BE9F9">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ascii="宋体" w:hAnsi="宋体"/>
                <w:color w:val="auto"/>
                <w:sz w:val="21"/>
                <w:szCs w:val="21"/>
              </w:rPr>
            </w:pPr>
            <w:r>
              <w:rPr>
                <w:rFonts w:hint="eastAsia" w:ascii="宋体" w:hAnsi="宋体"/>
                <w:color w:val="auto"/>
                <w:sz w:val="21"/>
                <w:szCs w:val="21"/>
              </w:rPr>
              <w:t>3</w:t>
            </w:r>
          </w:p>
        </w:tc>
        <w:tc>
          <w:tcPr>
            <w:tcW w:w="1729" w:type="pct"/>
            <w:noWrap w:val="0"/>
            <w:vAlign w:val="top"/>
          </w:tcPr>
          <w:p w14:paraId="46B01459">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color w:val="auto"/>
                <w:sz w:val="21"/>
                <w:szCs w:val="21"/>
              </w:rPr>
            </w:pPr>
            <w:r>
              <w:rPr>
                <w:rFonts w:hint="eastAsia" w:ascii="宋体" w:hAnsi="宋体" w:eastAsia="宋体" w:cs="宋体"/>
                <w:color w:val="auto"/>
                <w:sz w:val="21"/>
                <w:szCs w:val="21"/>
                <w:lang w:val="en-US" w:eastAsia="zh-CN"/>
              </w:rPr>
              <w:t>轮胎式</w:t>
            </w:r>
            <w:r>
              <w:rPr>
                <w:rFonts w:hint="eastAsia" w:ascii="宋体" w:hAnsi="宋体" w:eastAsia="宋体" w:cs="宋体"/>
                <w:color w:val="auto"/>
                <w:kern w:val="0"/>
                <w:sz w:val="21"/>
                <w:szCs w:val="21"/>
                <w:lang w:val="en-US" w:eastAsia="zh-CN" w:bidi="ar"/>
              </w:rPr>
              <w:t>机</w:t>
            </w:r>
          </w:p>
        </w:tc>
        <w:tc>
          <w:tcPr>
            <w:tcW w:w="1639" w:type="pct"/>
            <w:noWrap w:val="0"/>
            <w:vAlign w:val="top"/>
          </w:tcPr>
          <w:p w14:paraId="7B60495D">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Times New Roman"/>
                <w:color w:val="auto"/>
                <w:sz w:val="21"/>
                <w:szCs w:val="21"/>
                <w:lang w:val="en-US" w:eastAsia="zh-CN"/>
              </w:rPr>
            </w:pPr>
            <w:r>
              <w:rPr>
                <w:rFonts w:hint="eastAsia" w:ascii="宋体" w:hAnsi="宋体" w:eastAsia="宋体" w:cs="宋体"/>
                <w:snapToGrid w:val="0"/>
                <w:color w:val="auto"/>
                <w:spacing w:val="8"/>
                <w:kern w:val="0"/>
                <w:sz w:val="21"/>
                <w:szCs w:val="21"/>
                <w:lang w:val="en-US" w:eastAsia="zh-CN" w:bidi="ar"/>
              </w:rPr>
              <w:t>ZL20E(/E)</w:t>
            </w:r>
          </w:p>
        </w:tc>
        <w:tc>
          <w:tcPr>
            <w:tcW w:w="614" w:type="pct"/>
            <w:noWrap w:val="0"/>
            <w:vAlign w:val="top"/>
          </w:tcPr>
          <w:p w14:paraId="35615CCB">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color w:val="auto"/>
                <w:sz w:val="21"/>
                <w:szCs w:val="21"/>
              </w:rPr>
            </w:pPr>
            <w:r>
              <w:rPr>
                <w:rFonts w:hint="eastAsia" w:ascii="宋体" w:hAnsi="宋体" w:eastAsia="宋体" w:cs="Times New Roman"/>
                <w:color w:val="auto"/>
                <w:sz w:val="21"/>
                <w:szCs w:val="21"/>
              </w:rPr>
              <w:t>台</w:t>
            </w:r>
          </w:p>
        </w:tc>
        <w:tc>
          <w:tcPr>
            <w:tcW w:w="533" w:type="pct"/>
            <w:noWrap w:val="0"/>
            <w:vAlign w:val="top"/>
          </w:tcPr>
          <w:p w14:paraId="393F9005">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color w:val="auto"/>
                <w:sz w:val="21"/>
                <w:szCs w:val="21"/>
                <w:lang w:eastAsia="zh-CN"/>
              </w:rPr>
            </w:pPr>
            <w:r>
              <w:rPr>
                <w:rFonts w:hint="eastAsia" w:cs="Times New Roman"/>
                <w:color w:val="auto"/>
                <w:sz w:val="21"/>
                <w:szCs w:val="21"/>
                <w:lang w:val="en-US" w:eastAsia="zh-CN"/>
              </w:rPr>
              <w:t>1</w:t>
            </w:r>
          </w:p>
        </w:tc>
      </w:tr>
      <w:tr w14:paraId="31AF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27491B82">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ascii="宋体" w:hAnsi="宋体"/>
                <w:color w:val="auto"/>
                <w:sz w:val="21"/>
                <w:szCs w:val="21"/>
              </w:rPr>
            </w:pPr>
            <w:r>
              <w:rPr>
                <w:rFonts w:hint="eastAsia" w:ascii="宋体" w:hAnsi="宋体"/>
                <w:color w:val="auto"/>
                <w:sz w:val="21"/>
                <w:szCs w:val="21"/>
              </w:rPr>
              <w:t>4</w:t>
            </w:r>
          </w:p>
        </w:tc>
        <w:tc>
          <w:tcPr>
            <w:tcW w:w="1729" w:type="pct"/>
            <w:shd w:val="clear" w:color="auto" w:fill="auto"/>
            <w:noWrap w:val="0"/>
            <w:vAlign w:val="top"/>
          </w:tcPr>
          <w:p w14:paraId="7CF5BE9F">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snapToGrid w:val="0"/>
                <w:color w:val="auto"/>
                <w:spacing w:val="8"/>
                <w:kern w:val="0"/>
                <w:sz w:val="21"/>
                <w:szCs w:val="21"/>
                <w:lang w:val="en-US" w:eastAsia="zh-CN"/>
              </w:rPr>
            </w:pPr>
            <w:r>
              <w:rPr>
                <w:rFonts w:hint="eastAsia" w:ascii="宋体" w:hAnsi="宋体"/>
                <w:color w:val="auto"/>
                <w:sz w:val="21"/>
                <w:szCs w:val="21"/>
              </w:rPr>
              <w:t>主扇</w:t>
            </w:r>
          </w:p>
        </w:tc>
        <w:tc>
          <w:tcPr>
            <w:tcW w:w="1639" w:type="pct"/>
            <w:shd w:val="clear" w:color="auto" w:fill="auto"/>
            <w:noWrap w:val="0"/>
            <w:vAlign w:val="top"/>
          </w:tcPr>
          <w:p w14:paraId="51FB6B18">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eastAsia="宋体" w:cs="宋体"/>
                <w:color w:val="auto"/>
                <w:sz w:val="21"/>
                <w:szCs w:val="21"/>
                <w:lang w:val="en-US" w:eastAsia="zh-CN"/>
              </w:rPr>
              <w:t>K40-4-No11</w:t>
            </w:r>
          </w:p>
        </w:tc>
        <w:tc>
          <w:tcPr>
            <w:tcW w:w="614" w:type="pct"/>
            <w:shd w:val="clear" w:color="auto" w:fill="auto"/>
            <w:noWrap w:val="0"/>
            <w:vAlign w:val="top"/>
          </w:tcPr>
          <w:p w14:paraId="5C36145B">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rPr>
              <w:t>台</w:t>
            </w:r>
          </w:p>
        </w:tc>
        <w:tc>
          <w:tcPr>
            <w:tcW w:w="533" w:type="pct"/>
            <w:shd w:val="clear" w:color="auto" w:fill="auto"/>
            <w:noWrap w:val="0"/>
            <w:vAlign w:val="top"/>
          </w:tcPr>
          <w:p w14:paraId="55C9DAB3">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rPr>
              <w:t>1</w:t>
            </w:r>
          </w:p>
        </w:tc>
      </w:tr>
      <w:tr w14:paraId="1644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1BC8A28A">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5</w:t>
            </w:r>
          </w:p>
        </w:tc>
        <w:tc>
          <w:tcPr>
            <w:tcW w:w="1729" w:type="pct"/>
            <w:noWrap w:val="0"/>
            <w:vAlign w:val="top"/>
          </w:tcPr>
          <w:p w14:paraId="1128D50D">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局扇</w:t>
            </w:r>
          </w:p>
        </w:tc>
        <w:tc>
          <w:tcPr>
            <w:tcW w:w="1639" w:type="pct"/>
            <w:noWrap w:val="0"/>
            <w:vAlign w:val="top"/>
          </w:tcPr>
          <w:p w14:paraId="6E0DB37E">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JK58-1№.4</w:t>
            </w:r>
          </w:p>
        </w:tc>
        <w:tc>
          <w:tcPr>
            <w:tcW w:w="614" w:type="pct"/>
            <w:noWrap w:val="0"/>
            <w:vAlign w:val="top"/>
          </w:tcPr>
          <w:p w14:paraId="02FBED31">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台</w:t>
            </w:r>
          </w:p>
        </w:tc>
        <w:tc>
          <w:tcPr>
            <w:tcW w:w="533" w:type="pct"/>
            <w:noWrap w:val="0"/>
            <w:vAlign w:val="top"/>
          </w:tcPr>
          <w:p w14:paraId="25D8720E">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olor w:val="auto"/>
                <w:sz w:val="21"/>
                <w:szCs w:val="21"/>
                <w:lang w:val="en-US" w:eastAsia="zh-CN"/>
              </w:rPr>
            </w:pPr>
            <w:r>
              <w:rPr>
                <w:rFonts w:hint="eastAsia"/>
                <w:color w:val="auto"/>
                <w:sz w:val="21"/>
                <w:szCs w:val="21"/>
                <w:lang w:val="en-US" w:eastAsia="zh-CN"/>
              </w:rPr>
              <w:t>2</w:t>
            </w:r>
          </w:p>
        </w:tc>
      </w:tr>
      <w:tr w14:paraId="0631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75AE0D78">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6</w:t>
            </w:r>
          </w:p>
        </w:tc>
        <w:tc>
          <w:tcPr>
            <w:tcW w:w="1729" w:type="pct"/>
            <w:shd w:val="clear" w:color="auto" w:fill="auto"/>
            <w:noWrap w:val="0"/>
            <w:vAlign w:val="top"/>
          </w:tcPr>
          <w:p w14:paraId="0E34A0B5">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rPr>
              <w:t>矿用自卸车</w:t>
            </w:r>
          </w:p>
        </w:tc>
        <w:tc>
          <w:tcPr>
            <w:tcW w:w="1639" w:type="pct"/>
            <w:shd w:val="clear" w:color="auto" w:fill="auto"/>
            <w:noWrap w:val="0"/>
            <w:vAlign w:val="top"/>
          </w:tcPr>
          <w:p w14:paraId="12F7815E">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eastAsia="宋体" w:cs="宋体"/>
                <w:color w:val="auto"/>
                <w:sz w:val="21"/>
                <w:szCs w:val="21"/>
                <w:lang w:val="en-US" w:eastAsia="zh-CN"/>
              </w:rPr>
              <w:t>UQ-5</w:t>
            </w:r>
            <w:r>
              <w:rPr>
                <w:rFonts w:hint="eastAsia" w:cs="宋体"/>
                <w:color w:val="auto"/>
                <w:sz w:val="21"/>
                <w:szCs w:val="21"/>
                <w:lang w:val="en-US" w:eastAsia="zh-CN"/>
              </w:rPr>
              <w:t>A</w:t>
            </w:r>
          </w:p>
        </w:tc>
        <w:tc>
          <w:tcPr>
            <w:tcW w:w="614" w:type="pct"/>
            <w:shd w:val="clear" w:color="auto" w:fill="auto"/>
            <w:noWrap w:val="0"/>
            <w:vAlign w:val="top"/>
          </w:tcPr>
          <w:p w14:paraId="0F3E3A94">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rPr>
              <w:t>辆</w:t>
            </w:r>
          </w:p>
        </w:tc>
        <w:tc>
          <w:tcPr>
            <w:tcW w:w="533" w:type="pct"/>
            <w:shd w:val="clear" w:color="auto" w:fill="auto"/>
            <w:noWrap w:val="0"/>
            <w:vAlign w:val="top"/>
          </w:tcPr>
          <w:p w14:paraId="49540B99">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snapToGrid w:val="0"/>
                <w:color w:val="auto"/>
                <w:spacing w:val="8"/>
                <w:kern w:val="0"/>
                <w:sz w:val="21"/>
                <w:szCs w:val="21"/>
                <w:lang w:val="en-US" w:eastAsia="zh-CN"/>
              </w:rPr>
            </w:pPr>
            <w:r>
              <w:rPr>
                <w:rFonts w:hint="eastAsia" w:cs="宋体"/>
                <w:snapToGrid w:val="0"/>
                <w:color w:val="auto"/>
                <w:spacing w:val="8"/>
                <w:kern w:val="0"/>
                <w:sz w:val="21"/>
                <w:szCs w:val="21"/>
                <w:lang w:val="en-US" w:eastAsia="zh-CN"/>
              </w:rPr>
              <w:t>1</w:t>
            </w:r>
          </w:p>
        </w:tc>
      </w:tr>
      <w:tr w14:paraId="7A17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33E70CF0">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color w:val="auto"/>
                <w:sz w:val="21"/>
                <w:szCs w:val="21"/>
              </w:rPr>
              <w:t>7</w:t>
            </w:r>
          </w:p>
        </w:tc>
        <w:tc>
          <w:tcPr>
            <w:tcW w:w="1729" w:type="pct"/>
            <w:shd w:val="clear" w:color="auto" w:fill="auto"/>
            <w:noWrap w:val="0"/>
            <w:vAlign w:val="top"/>
          </w:tcPr>
          <w:p w14:paraId="5F302385">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lang w:eastAsia="zh-CN"/>
              </w:rPr>
              <w:t>柴油发电机</w:t>
            </w:r>
          </w:p>
        </w:tc>
        <w:tc>
          <w:tcPr>
            <w:tcW w:w="1639" w:type="pct"/>
            <w:shd w:val="clear" w:color="auto" w:fill="auto"/>
            <w:noWrap w:val="0"/>
            <w:vAlign w:val="top"/>
          </w:tcPr>
          <w:p w14:paraId="782A5373">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eastAsia="宋体" w:cs="宋体"/>
                <w:color w:val="auto"/>
                <w:sz w:val="21"/>
                <w:szCs w:val="21"/>
                <w:lang w:val="en-US" w:eastAsia="zh-CN"/>
              </w:rPr>
              <w:t>stc-30</w:t>
            </w:r>
            <w:r>
              <w:rPr>
                <w:rFonts w:hint="eastAsia" w:cs="宋体"/>
                <w:color w:val="auto"/>
                <w:sz w:val="21"/>
                <w:szCs w:val="21"/>
                <w:lang w:val="en-US" w:eastAsia="zh-CN"/>
              </w:rPr>
              <w:t>kW</w:t>
            </w:r>
          </w:p>
        </w:tc>
        <w:tc>
          <w:tcPr>
            <w:tcW w:w="614" w:type="pct"/>
            <w:shd w:val="clear" w:color="auto" w:fill="auto"/>
            <w:noWrap w:val="0"/>
            <w:vAlign w:val="top"/>
          </w:tcPr>
          <w:p w14:paraId="5D1072E6">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lang w:eastAsia="zh-CN"/>
              </w:rPr>
              <w:t>台</w:t>
            </w:r>
          </w:p>
        </w:tc>
        <w:tc>
          <w:tcPr>
            <w:tcW w:w="533" w:type="pct"/>
            <w:shd w:val="clear" w:color="auto" w:fill="auto"/>
            <w:noWrap w:val="0"/>
            <w:vAlign w:val="top"/>
          </w:tcPr>
          <w:p w14:paraId="3AE4BAD4">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napToGrid w:val="0"/>
                <w:color w:val="auto"/>
                <w:spacing w:val="8"/>
                <w:kern w:val="0"/>
                <w:sz w:val="21"/>
                <w:szCs w:val="21"/>
                <w:lang w:val="en-US" w:eastAsia="zh-CN"/>
              </w:rPr>
            </w:pPr>
            <w:r>
              <w:rPr>
                <w:rFonts w:hint="eastAsia" w:ascii="宋体" w:hAnsi="宋体"/>
                <w:color w:val="auto"/>
                <w:sz w:val="21"/>
                <w:szCs w:val="21"/>
                <w:lang w:val="en-US" w:eastAsia="zh-CN"/>
              </w:rPr>
              <w:t>1</w:t>
            </w:r>
          </w:p>
        </w:tc>
      </w:tr>
      <w:tr w14:paraId="75A1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58756565">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color w:val="auto"/>
                <w:sz w:val="21"/>
                <w:szCs w:val="21"/>
                <w:lang w:val="en-US" w:eastAsia="zh-CN"/>
              </w:rPr>
            </w:pPr>
            <w:r>
              <w:rPr>
                <w:rFonts w:hint="eastAsia" w:ascii="宋体" w:hAnsi="宋体"/>
                <w:color w:val="auto"/>
                <w:sz w:val="21"/>
                <w:szCs w:val="21"/>
                <w:lang w:val="en-US" w:eastAsia="zh-CN"/>
              </w:rPr>
              <w:t>8</w:t>
            </w:r>
          </w:p>
        </w:tc>
        <w:tc>
          <w:tcPr>
            <w:tcW w:w="1729" w:type="pct"/>
            <w:noWrap w:val="0"/>
            <w:vAlign w:val="top"/>
          </w:tcPr>
          <w:p w14:paraId="2E950409">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lang w:eastAsia="zh-CN"/>
              </w:rPr>
            </w:pPr>
            <w:r>
              <w:rPr>
                <w:rFonts w:hint="eastAsia" w:ascii="宋体" w:hAnsi="宋体"/>
                <w:color w:val="auto"/>
                <w:sz w:val="21"/>
                <w:szCs w:val="21"/>
                <w:lang w:eastAsia="zh-CN"/>
              </w:rPr>
              <w:t>变压器</w:t>
            </w:r>
          </w:p>
        </w:tc>
        <w:tc>
          <w:tcPr>
            <w:tcW w:w="1639" w:type="pct"/>
            <w:noWrap w:val="0"/>
            <w:vAlign w:val="top"/>
          </w:tcPr>
          <w:p w14:paraId="534BE91F">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rPr>
            </w:pPr>
            <w:r>
              <w:rPr>
                <w:rFonts w:hint="eastAsia" w:ascii="宋体" w:hAnsi="宋体" w:eastAsia="宋体" w:cs="宋体"/>
                <w:color w:val="auto"/>
                <w:sz w:val="21"/>
                <w:szCs w:val="21"/>
                <w:lang w:val="en-US" w:eastAsia="zh-CN"/>
              </w:rPr>
              <w:t>S11-315/10/0.4</w:t>
            </w:r>
          </w:p>
        </w:tc>
        <w:tc>
          <w:tcPr>
            <w:tcW w:w="614" w:type="pct"/>
            <w:noWrap w:val="0"/>
            <w:vAlign w:val="top"/>
          </w:tcPr>
          <w:p w14:paraId="78BD5EF5">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lang w:eastAsia="zh-CN"/>
              </w:rPr>
            </w:pPr>
            <w:r>
              <w:rPr>
                <w:rFonts w:hint="eastAsia" w:ascii="宋体" w:hAnsi="宋体"/>
                <w:color w:val="auto"/>
                <w:sz w:val="21"/>
                <w:szCs w:val="21"/>
                <w:lang w:eastAsia="zh-CN"/>
              </w:rPr>
              <w:t>台</w:t>
            </w:r>
          </w:p>
        </w:tc>
        <w:tc>
          <w:tcPr>
            <w:tcW w:w="533" w:type="pct"/>
            <w:noWrap w:val="0"/>
            <w:vAlign w:val="top"/>
          </w:tcPr>
          <w:p w14:paraId="118E8A4E">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color w:val="auto"/>
                <w:sz w:val="21"/>
                <w:szCs w:val="21"/>
                <w:lang w:val="en-US" w:eastAsia="zh-CN"/>
              </w:rPr>
            </w:pPr>
            <w:r>
              <w:rPr>
                <w:rFonts w:hint="eastAsia" w:ascii="宋体" w:hAnsi="宋体"/>
                <w:color w:val="auto"/>
                <w:sz w:val="21"/>
                <w:szCs w:val="21"/>
                <w:lang w:val="en-US" w:eastAsia="zh-CN"/>
              </w:rPr>
              <w:t>1</w:t>
            </w:r>
          </w:p>
        </w:tc>
      </w:tr>
      <w:tr w14:paraId="1C1B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83" w:type="pct"/>
            <w:noWrap w:val="0"/>
            <w:vAlign w:val="top"/>
          </w:tcPr>
          <w:p w14:paraId="3500349E">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color w:val="auto"/>
                <w:sz w:val="21"/>
                <w:szCs w:val="21"/>
                <w:lang w:val="en-US" w:eastAsia="zh-CN"/>
              </w:rPr>
            </w:pPr>
            <w:r>
              <w:rPr>
                <w:rFonts w:hint="eastAsia" w:ascii="宋体" w:hAnsi="宋体"/>
                <w:color w:val="auto"/>
                <w:sz w:val="21"/>
                <w:szCs w:val="21"/>
                <w:lang w:val="en-US" w:eastAsia="zh-CN"/>
              </w:rPr>
              <w:t>9</w:t>
            </w:r>
          </w:p>
        </w:tc>
        <w:tc>
          <w:tcPr>
            <w:tcW w:w="1729" w:type="pct"/>
            <w:noWrap w:val="0"/>
            <w:vAlign w:val="top"/>
          </w:tcPr>
          <w:p w14:paraId="7D02BE3C">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olor w:val="auto"/>
                <w:sz w:val="21"/>
                <w:szCs w:val="21"/>
                <w:lang w:eastAsia="zh-CN"/>
              </w:rPr>
            </w:pPr>
            <w:r>
              <w:rPr>
                <w:rFonts w:hint="eastAsia" w:ascii="宋体" w:hAnsi="宋体" w:eastAsia="宋体" w:cs="宋体"/>
                <w:color w:val="auto"/>
                <w:kern w:val="0"/>
                <w:sz w:val="21"/>
                <w:szCs w:val="21"/>
                <w:lang w:val="en-US" w:eastAsia="zh-CN" w:bidi="ar"/>
              </w:rPr>
              <w:t>隔离变压器</w:t>
            </w:r>
            <w:r>
              <w:rPr>
                <w:rFonts w:hint="eastAsia" w:ascii="宋体" w:hAnsi="宋体" w:eastAsia="宋体" w:cs="宋体"/>
                <w:color w:val="auto"/>
                <w:spacing w:val="0"/>
                <w:sz w:val="21"/>
                <w:szCs w:val="21"/>
                <w:lang w:val="en-US" w:eastAsia="zh-CN" w:bidi="ar"/>
              </w:rPr>
              <w:t xml:space="preserve"> </w:t>
            </w:r>
          </w:p>
        </w:tc>
        <w:tc>
          <w:tcPr>
            <w:tcW w:w="1639" w:type="pct"/>
            <w:noWrap w:val="0"/>
            <w:vAlign w:val="top"/>
          </w:tcPr>
          <w:p w14:paraId="4A590F69">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color w:val="auto"/>
                <w:sz w:val="21"/>
                <w:szCs w:val="21"/>
                <w:lang w:val="en-US" w:eastAsia="zh-CN"/>
              </w:rPr>
            </w:pPr>
            <w:r>
              <w:rPr>
                <w:rFonts w:hint="eastAsia" w:ascii="宋体" w:hAnsi="宋体" w:eastAsia="宋体" w:cs="宋体"/>
                <w:color w:val="auto"/>
                <w:sz w:val="21"/>
                <w:szCs w:val="21"/>
                <w:lang w:val="en-US" w:eastAsia="zh-CN" w:bidi="ar"/>
              </w:rPr>
              <w:t>SBK</w:t>
            </w:r>
            <w:r>
              <w:rPr>
                <w:rFonts w:hint="eastAsia" w:ascii="宋体" w:hAnsi="宋体" w:eastAsia="宋体" w:cs="宋体"/>
                <w:color w:val="auto"/>
                <w:spacing w:val="0"/>
                <w:sz w:val="21"/>
                <w:szCs w:val="21"/>
                <w:lang w:val="en-US" w:eastAsia="zh-CN" w:bidi="ar"/>
              </w:rPr>
              <w:t>-50</w:t>
            </w:r>
          </w:p>
        </w:tc>
        <w:tc>
          <w:tcPr>
            <w:tcW w:w="614" w:type="pct"/>
            <w:shd w:val="clear" w:color="auto" w:fill="auto"/>
            <w:noWrap w:val="0"/>
            <w:vAlign w:val="top"/>
          </w:tcPr>
          <w:p w14:paraId="7FAE5DEC">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snapToGrid w:val="0"/>
                <w:color w:val="auto"/>
                <w:spacing w:val="8"/>
                <w:kern w:val="0"/>
                <w:sz w:val="21"/>
                <w:szCs w:val="21"/>
                <w:lang w:val="en-US" w:eastAsia="zh-CN"/>
              </w:rPr>
            </w:pPr>
            <w:r>
              <w:rPr>
                <w:rFonts w:hint="eastAsia" w:ascii="宋体" w:hAnsi="宋体"/>
                <w:color w:val="auto"/>
                <w:sz w:val="21"/>
                <w:szCs w:val="21"/>
                <w:lang w:eastAsia="zh-CN"/>
              </w:rPr>
              <w:t>台</w:t>
            </w:r>
          </w:p>
        </w:tc>
        <w:tc>
          <w:tcPr>
            <w:tcW w:w="533" w:type="pct"/>
            <w:shd w:val="clear" w:color="auto" w:fill="auto"/>
            <w:noWrap w:val="0"/>
            <w:vAlign w:val="top"/>
          </w:tcPr>
          <w:p w14:paraId="43E3033B">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snapToGrid w:val="0"/>
                <w:color w:val="auto"/>
                <w:spacing w:val="8"/>
                <w:kern w:val="0"/>
                <w:sz w:val="21"/>
                <w:szCs w:val="21"/>
                <w:lang w:val="en-US" w:eastAsia="zh-CN"/>
              </w:rPr>
            </w:pPr>
            <w:r>
              <w:rPr>
                <w:rFonts w:hint="eastAsia" w:ascii="宋体" w:hAnsi="宋体"/>
                <w:color w:val="auto"/>
                <w:sz w:val="21"/>
                <w:szCs w:val="21"/>
                <w:lang w:val="en-US" w:eastAsia="zh-CN"/>
              </w:rPr>
              <w:t>1</w:t>
            </w:r>
          </w:p>
        </w:tc>
      </w:tr>
      <w:tr w14:paraId="0473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3" w:type="pct"/>
            <w:noWrap w:val="0"/>
            <w:vAlign w:val="top"/>
          </w:tcPr>
          <w:p w14:paraId="6D74F79B">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color w:val="auto"/>
                <w:kern w:val="0"/>
                <w:sz w:val="21"/>
                <w:szCs w:val="21"/>
                <w:lang w:val="en-US" w:eastAsia="zh-CN" w:bidi="ar"/>
              </w:rPr>
            </w:pPr>
            <w:bookmarkStart w:id="415" w:name="_Toc22062"/>
            <w:bookmarkStart w:id="416" w:name="_Toc15605"/>
            <w:bookmarkStart w:id="417" w:name="_Toc18117"/>
            <w:bookmarkStart w:id="418" w:name="_Toc5543"/>
            <w:bookmarkStart w:id="419" w:name="_Toc11059"/>
            <w:bookmarkStart w:id="420" w:name="_Toc12613"/>
            <w:bookmarkStart w:id="421" w:name="_Toc20768"/>
            <w:bookmarkStart w:id="422" w:name="_Toc9696"/>
            <w:r>
              <w:rPr>
                <w:rFonts w:hint="eastAsia" w:ascii="宋体" w:hAnsi="宋体" w:eastAsia="宋体" w:cs="宋体"/>
                <w:color w:val="auto"/>
                <w:kern w:val="0"/>
                <w:sz w:val="21"/>
                <w:szCs w:val="21"/>
                <w:lang w:val="en-US" w:eastAsia="zh-CN" w:bidi="ar"/>
              </w:rPr>
              <w:t>10</w:t>
            </w:r>
          </w:p>
        </w:tc>
        <w:tc>
          <w:tcPr>
            <w:tcW w:w="1729" w:type="pct"/>
            <w:noWrap w:val="0"/>
            <w:vAlign w:val="top"/>
          </w:tcPr>
          <w:p w14:paraId="33DC10D8">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离心式清水泵</w:t>
            </w:r>
          </w:p>
        </w:tc>
        <w:tc>
          <w:tcPr>
            <w:tcW w:w="1639" w:type="pct"/>
            <w:noWrap w:val="0"/>
            <w:vAlign w:val="top"/>
          </w:tcPr>
          <w:p w14:paraId="68853C8E">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IS80-50-250</w:t>
            </w:r>
          </w:p>
        </w:tc>
        <w:tc>
          <w:tcPr>
            <w:tcW w:w="614" w:type="pct"/>
            <w:shd w:val="clear" w:color="auto" w:fill="auto"/>
            <w:noWrap w:val="0"/>
            <w:vAlign w:val="top"/>
          </w:tcPr>
          <w:p w14:paraId="5FF007D1">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台</w:t>
            </w:r>
          </w:p>
        </w:tc>
        <w:tc>
          <w:tcPr>
            <w:tcW w:w="533" w:type="pct"/>
            <w:shd w:val="clear" w:color="auto" w:fill="auto"/>
            <w:noWrap w:val="0"/>
            <w:vAlign w:val="top"/>
          </w:tcPr>
          <w:p w14:paraId="79190041">
            <w:pPr>
              <w:keepNext w:val="0"/>
              <w:keepLines w:val="0"/>
              <w:pageBreakBefore w:val="0"/>
              <w:widowControl w:val="0"/>
              <w:tabs>
                <w:tab w:val="left" w:pos="9360"/>
              </w:tabs>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w:t>
            </w:r>
          </w:p>
        </w:tc>
      </w:tr>
    </w:tbl>
    <w:p w14:paraId="30FD0D21">
      <w:pPr>
        <w:pStyle w:val="3"/>
        <w:numPr>
          <w:ilvl w:val="0"/>
          <w:numId w:val="0"/>
        </w:numPr>
        <w:rPr>
          <w:rFonts w:hint="eastAsia" w:ascii="Arial" w:hAnsi="Arial" w:eastAsia="宋体" w:cs="宋体"/>
          <w:b/>
          <w:snapToGrid w:val="0"/>
          <w:color w:val="auto"/>
          <w:kern w:val="0"/>
          <w:sz w:val="28"/>
          <w:szCs w:val="28"/>
          <w:lang w:val="en-US" w:eastAsia="zh-CN" w:bidi="ar-SA"/>
        </w:rPr>
      </w:pPr>
      <w:bookmarkStart w:id="423" w:name="_Toc3189"/>
      <w:r>
        <w:rPr>
          <w:rFonts w:hint="eastAsia" w:ascii="Arial" w:hAnsi="Arial" w:eastAsia="宋体" w:cs="宋体"/>
          <w:b/>
          <w:snapToGrid w:val="0"/>
          <w:color w:val="auto"/>
          <w:kern w:val="0"/>
          <w:sz w:val="28"/>
          <w:szCs w:val="28"/>
          <w:lang w:val="en-US" w:eastAsia="zh-CN" w:bidi="ar-SA"/>
        </w:rPr>
        <w:t>2.</w:t>
      </w:r>
      <w:r>
        <w:rPr>
          <w:rFonts w:hint="eastAsia" w:cs="宋体"/>
          <w:b/>
          <w:snapToGrid w:val="0"/>
          <w:color w:val="auto"/>
          <w:kern w:val="0"/>
          <w:sz w:val="28"/>
          <w:szCs w:val="28"/>
          <w:lang w:val="en-US" w:eastAsia="zh-CN" w:bidi="ar-SA"/>
        </w:rPr>
        <w:t xml:space="preserve">11 </w:t>
      </w:r>
      <w:r>
        <w:rPr>
          <w:rFonts w:hint="eastAsia" w:ascii="Arial" w:hAnsi="Arial" w:eastAsia="宋体" w:cs="宋体"/>
          <w:b/>
          <w:snapToGrid w:val="0"/>
          <w:color w:val="auto"/>
          <w:kern w:val="0"/>
          <w:sz w:val="28"/>
          <w:szCs w:val="28"/>
          <w:lang w:val="en-US" w:eastAsia="zh-CN" w:bidi="ar-SA"/>
        </w:rPr>
        <w:t>安全管理</w:t>
      </w:r>
      <w:bookmarkEnd w:id="415"/>
      <w:bookmarkEnd w:id="416"/>
      <w:bookmarkEnd w:id="417"/>
      <w:bookmarkEnd w:id="418"/>
      <w:bookmarkEnd w:id="419"/>
      <w:bookmarkEnd w:id="420"/>
      <w:bookmarkEnd w:id="421"/>
      <w:bookmarkEnd w:id="422"/>
      <w:bookmarkEnd w:id="423"/>
    </w:p>
    <w:p w14:paraId="4C69E3A6">
      <w:pPr>
        <w:pStyle w:val="4"/>
        <w:bidi w:val="0"/>
        <w:rPr>
          <w:rFonts w:hint="eastAsia"/>
          <w:color w:val="auto"/>
          <w:lang w:val="en-US" w:eastAsia="zh-CN"/>
        </w:rPr>
      </w:pPr>
      <w:bookmarkStart w:id="424" w:name="_Toc100065117"/>
      <w:bookmarkStart w:id="425" w:name="_Toc522869094"/>
      <w:bookmarkStart w:id="426" w:name="_Toc25431"/>
      <w:bookmarkStart w:id="427" w:name="_Toc20197"/>
      <w:r>
        <w:rPr>
          <w:rFonts w:hint="eastAsia"/>
          <w:color w:val="auto"/>
          <w:lang w:val="en-US" w:eastAsia="zh-CN"/>
        </w:rPr>
        <w:t>2.11.1 安全管理机构</w:t>
      </w:r>
      <w:bookmarkEnd w:id="424"/>
      <w:bookmarkEnd w:id="425"/>
      <w:r>
        <w:rPr>
          <w:rFonts w:hint="eastAsia"/>
          <w:color w:val="auto"/>
          <w:lang w:val="en-US" w:eastAsia="zh-CN"/>
        </w:rPr>
        <w:t>及人员配备</w:t>
      </w:r>
      <w:bookmarkEnd w:id="426"/>
      <w:bookmarkEnd w:id="427"/>
    </w:p>
    <w:p w14:paraId="01251A01">
      <w:pPr>
        <w:bidi w:val="0"/>
        <w:rPr>
          <w:rFonts w:hint="eastAsia" w:ascii="宋体" w:hAnsi="宋体" w:eastAsia="宋体" w:cs="Times New Roman"/>
          <w:color w:val="auto"/>
          <w:lang w:val="en-US" w:eastAsia="zh-CN"/>
        </w:rPr>
      </w:pPr>
      <w:r>
        <w:rPr>
          <w:rFonts w:hint="eastAsia"/>
          <w:color w:val="auto"/>
          <w:lang w:val="en-US" w:eastAsia="zh-CN"/>
        </w:rPr>
        <w:t>茅排金矿成立了以主要负责人为组长、矿长为副组长，其他副矿长和安全科长为成员的矿山安全生产领导小组。矿山配备了“五职”矿长，设置安全科负责日常内部安全生产监督管理，有专职安全管理人员3人，专职安全管理人员取得了安全管理人员资格证书，具体情况见</w:t>
      </w:r>
      <w:r>
        <w:rPr>
          <w:rFonts w:hint="eastAsia" w:ascii="宋体" w:hAnsi="宋体" w:eastAsia="宋体" w:cs="Times New Roman"/>
          <w:color w:val="auto"/>
          <w:lang w:val="en-US" w:eastAsia="zh-CN"/>
        </w:rPr>
        <w:t>表2.1-1。</w:t>
      </w:r>
    </w:p>
    <w:p w14:paraId="259A5618">
      <w:pPr>
        <w:bidi w:val="0"/>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2026年5月，茅排金矿发文《关于成立安全科的通知》（临鲁金发</w:t>
      </w:r>
      <w:r>
        <w:rPr>
          <w:rFonts w:hint="eastAsia"/>
          <w:color w:val="auto"/>
          <w:lang w:val="en-US" w:eastAsia="zh-CN"/>
        </w:rPr>
        <w:t>〔</w:t>
      </w:r>
      <w:r>
        <w:rPr>
          <w:rFonts w:hint="eastAsia" w:ascii="宋体" w:hAnsi="宋体" w:eastAsia="宋体" w:cs="Times New Roman"/>
          <w:color w:val="auto"/>
          <w:lang w:val="en-US" w:eastAsia="zh-CN"/>
        </w:rPr>
        <w:t>2026</w:t>
      </w:r>
      <w:r>
        <w:rPr>
          <w:rFonts w:hint="eastAsia"/>
          <w:color w:val="auto"/>
          <w:lang w:val="en-US" w:eastAsia="zh-CN"/>
        </w:rPr>
        <w:t>〕</w:t>
      </w:r>
      <w:r>
        <w:rPr>
          <w:rFonts w:hint="eastAsia" w:ascii="宋体" w:hAnsi="宋体" w:eastAsia="宋体" w:cs="Times New Roman"/>
          <w:color w:val="auto"/>
          <w:lang w:val="en-US" w:eastAsia="zh-CN"/>
        </w:rPr>
        <w:t>03号），明确郝建国同志为茅排金矿注册安全工程师。郝建国同志于2021年10月取得人力资源和社会保障部、应急管理部颁发的金属非金属矿山安全专业中级注册安全工程师证书，证书号码152826197511060413。</w:t>
      </w:r>
    </w:p>
    <w:p w14:paraId="51F61B59">
      <w:pPr>
        <w:pStyle w:val="4"/>
        <w:bidi w:val="0"/>
        <w:rPr>
          <w:rFonts w:hint="eastAsia"/>
          <w:color w:val="auto"/>
          <w:lang w:val="en-US" w:eastAsia="zh-CN"/>
        </w:rPr>
      </w:pPr>
      <w:bookmarkStart w:id="428" w:name="_Toc28963"/>
      <w:bookmarkStart w:id="429" w:name="_Toc23831"/>
      <w:r>
        <w:rPr>
          <w:rFonts w:hint="eastAsia"/>
          <w:color w:val="auto"/>
          <w:lang w:val="en-US" w:eastAsia="zh-CN"/>
        </w:rPr>
        <w:t>2.11.2 “五职”矿长</w:t>
      </w:r>
      <w:bookmarkEnd w:id="428"/>
      <w:bookmarkEnd w:id="429"/>
    </w:p>
    <w:p w14:paraId="187C3937">
      <w:pPr>
        <w:bidi w:val="0"/>
        <w:rPr>
          <w:rFonts w:hint="eastAsia"/>
          <w:color w:val="auto"/>
          <w:lang w:val="en-US" w:eastAsia="zh-CN"/>
        </w:rPr>
      </w:pPr>
      <w:r>
        <w:rPr>
          <w:rFonts w:hint="eastAsia"/>
          <w:color w:val="auto"/>
          <w:lang w:val="en-US" w:eastAsia="zh-CN"/>
        </w:rPr>
        <w:t>茅排金矿于2026年5月下发了《关于茅排金矿矿长、副矿长任职的通知》（</w:t>
      </w:r>
      <w:r>
        <w:rPr>
          <w:rFonts w:hint="eastAsia"/>
          <w:color w:val="auto"/>
        </w:rPr>
        <w:t>临鲁金发</w:t>
      </w:r>
      <w:r>
        <w:rPr>
          <w:rFonts w:hint="eastAsia"/>
          <w:color w:val="auto"/>
          <w:lang w:val="en-US" w:eastAsia="zh-CN"/>
        </w:rPr>
        <w:t>〔2026〕</w:t>
      </w:r>
      <w:r>
        <w:rPr>
          <w:rFonts w:hint="eastAsia"/>
          <w:color w:val="auto"/>
        </w:rPr>
        <w:t>0</w:t>
      </w:r>
      <w:r>
        <w:rPr>
          <w:rFonts w:hint="eastAsia"/>
          <w:color w:val="auto"/>
          <w:lang w:val="en-US" w:eastAsia="zh-CN"/>
        </w:rPr>
        <w:t>4</w:t>
      </w:r>
      <w:r>
        <w:rPr>
          <w:rFonts w:hint="eastAsia"/>
          <w:color w:val="auto"/>
        </w:rPr>
        <w:t>号</w:t>
      </w:r>
      <w:r>
        <w:rPr>
          <w:rFonts w:hint="eastAsia"/>
          <w:color w:val="auto"/>
          <w:lang w:val="en-US" w:eastAsia="zh-CN"/>
        </w:rPr>
        <w:t>），“五职”矿长如下：</w:t>
      </w:r>
    </w:p>
    <w:p w14:paraId="16919B94">
      <w:pPr>
        <w:bidi w:val="0"/>
        <w:rPr>
          <w:rFonts w:hint="eastAsia"/>
          <w:color w:val="auto"/>
          <w:lang w:val="en-US" w:eastAsia="zh-CN"/>
        </w:rPr>
      </w:pPr>
      <w:r>
        <w:rPr>
          <w:rFonts w:hint="eastAsia"/>
          <w:color w:val="auto"/>
          <w:lang w:val="en-US" w:eastAsia="zh-CN"/>
        </w:rPr>
        <w:t>1）矿长：</w:t>
      </w:r>
      <w:r>
        <w:rPr>
          <w:rFonts w:hint="eastAsia" w:ascii="宋体" w:hAnsi="宋体" w:eastAsia="宋体" w:cs="Times New Roman"/>
          <w:color w:val="auto"/>
          <w:lang w:val="en-US" w:eastAsia="zh-CN"/>
        </w:rPr>
        <w:t>王德雀，</w:t>
      </w:r>
      <w:r>
        <w:rPr>
          <w:rFonts w:hint="eastAsia"/>
          <w:color w:val="auto"/>
          <w:lang w:val="en-US" w:eastAsia="zh-CN"/>
        </w:rPr>
        <w:t>具有采矿工程专业专科学历。</w:t>
      </w:r>
    </w:p>
    <w:p w14:paraId="2F215548">
      <w:pPr>
        <w:bidi w:val="0"/>
        <w:rPr>
          <w:rFonts w:hint="eastAsia"/>
          <w:color w:val="auto"/>
          <w:lang w:val="en-US" w:eastAsia="zh-CN"/>
        </w:rPr>
      </w:pPr>
      <w:r>
        <w:rPr>
          <w:rFonts w:hint="eastAsia"/>
          <w:color w:val="auto"/>
          <w:lang w:val="en-US" w:eastAsia="zh-CN"/>
        </w:rPr>
        <w:t>2）总</w:t>
      </w:r>
      <w:r>
        <w:rPr>
          <w:rFonts w:hint="eastAsia" w:ascii="宋体" w:hAnsi="宋体" w:eastAsia="宋体" w:cs="Times New Roman"/>
          <w:color w:val="auto"/>
          <w:lang w:val="en-US" w:eastAsia="zh-CN"/>
        </w:rPr>
        <w:t>工程师：叶初荣，具</w:t>
      </w:r>
      <w:r>
        <w:rPr>
          <w:rFonts w:hint="eastAsia"/>
          <w:color w:val="auto"/>
          <w:lang w:val="en-US" w:eastAsia="zh-CN"/>
        </w:rPr>
        <w:t>有采矿工程专业本科学历学历。</w:t>
      </w:r>
    </w:p>
    <w:p w14:paraId="0726F316">
      <w:pPr>
        <w:bidi w:val="0"/>
        <w:rPr>
          <w:rFonts w:hint="eastAsia"/>
          <w:color w:val="auto"/>
          <w:lang w:val="en-US" w:eastAsia="zh-CN"/>
        </w:rPr>
      </w:pPr>
      <w:r>
        <w:rPr>
          <w:rFonts w:hint="eastAsia"/>
          <w:color w:val="auto"/>
          <w:lang w:val="en-US" w:eastAsia="zh-CN"/>
        </w:rPr>
        <w:t>3）生产副矿长：杨荣超，具有土木工程检测技术（矿井建设方向）专业专科学历。</w:t>
      </w:r>
    </w:p>
    <w:p w14:paraId="03C998D8">
      <w:pPr>
        <w:bidi w:val="0"/>
        <w:rPr>
          <w:rFonts w:hint="eastAsia"/>
          <w:color w:val="auto"/>
          <w:lang w:val="en-US" w:eastAsia="zh-CN"/>
        </w:rPr>
      </w:pPr>
      <w:r>
        <w:rPr>
          <w:rFonts w:hint="eastAsia"/>
          <w:color w:val="auto"/>
          <w:lang w:val="en-US" w:eastAsia="zh-CN"/>
        </w:rPr>
        <w:t>4）安全副矿长：</w:t>
      </w:r>
      <w:r>
        <w:rPr>
          <w:rFonts w:hint="eastAsia"/>
          <w:color w:val="auto"/>
          <w:sz w:val="28"/>
          <w:szCs w:val="28"/>
          <w:lang w:val="en-US" w:eastAsia="zh-CN"/>
        </w:rPr>
        <w:t>王涛</w:t>
      </w:r>
      <w:r>
        <w:rPr>
          <w:rFonts w:hint="eastAsia"/>
          <w:color w:val="auto"/>
          <w:lang w:val="en-US" w:eastAsia="zh-CN"/>
        </w:rPr>
        <w:t>，</w:t>
      </w:r>
      <w:r>
        <w:rPr>
          <w:rFonts w:hint="eastAsia" w:ascii="宋体" w:hAnsi="宋体" w:eastAsia="宋体" w:cs="Times New Roman"/>
          <w:color w:val="auto"/>
          <w:lang w:val="en-US" w:eastAsia="zh-CN"/>
        </w:rPr>
        <w:t>具</w:t>
      </w:r>
      <w:r>
        <w:rPr>
          <w:rFonts w:hint="eastAsia"/>
          <w:color w:val="auto"/>
          <w:lang w:val="en-US" w:eastAsia="zh-CN"/>
        </w:rPr>
        <w:t>有采矿工程专业本科学历学历。</w:t>
      </w:r>
    </w:p>
    <w:p w14:paraId="20199E5D">
      <w:pPr>
        <w:bidi w:val="0"/>
        <w:rPr>
          <w:rFonts w:hint="eastAsia"/>
          <w:color w:val="auto"/>
          <w:lang w:val="en-US" w:eastAsia="zh-CN"/>
        </w:rPr>
      </w:pPr>
      <w:r>
        <w:rPr>
          <w:rFonts w:hint="eastAsia"/>
          <w:color w:val="auto"/>
          <w:lang w:val="en-US" w:eastAsia="zh-CN"/>
        </w:rPr>
        <w:t>5）机电副矿长：</w:t>
      </w:r>
      <w:r>
        <w:rPr>
          <w:rFonts w:hint="eastAsia" w:ascii="宋体" w:hAnsi="宋体" w:eastAsia="宋体" w:cs="Times New Roman"/>
          <w:color w:val="auto"/>
          <w:sz w:val="28"/>
          <w:szCs w:val="28"/>
          <w:lang w:val="en-US" w:eastAsia="zh-CN"/>
        </w:rPr>
        <w:t>何升海</w:t>
      </w:r>
      <w:r>
        <w:rPr>
          <w:rFonts w:hint="eastAsia"/>
          <w:color w:val="auto"/>
          <w:lang w:val="en-US" w:eastAsia="zh-CN"/>
        </w:rPr>
        <w:t>，具有机电一体化技术专业专科学历。</w:t>
      </w:r>
    </w:p>
    <w:p w14:paraId="76EAA981">
      <w:pPr>
        <w:bidi w:val="0"/>
        <w:rPr>
          <w:rFonts w:hint="eastAsia" w:ascii="宋体" w:hAnsi="宋体" w:eastAsia="宋体" w:cs="Times New Roman"/>
          <w:color w:val="auto"/>
          <w:lang w:val="en-US" w:eastAsia="zh-CN"/>
        </w:rPr>
      </w:pPr>
      <w:bookmarkStart w:id="430" w:name="_Toc23601"/>
      <w:r>
        <w:rPr>
          <w:rFonts w:hint="eastAsia" w:ascii="宋体" w:hAnsi="宋体" w:eastAsia="宋体" w:cs="Times New Roman"/>
          <w:color w:val="auto"/>
          <w:lang w:val="en-US" w:eastAsia="zh-CN"/>
        </w:rPr>
        <w:t>“五职”矿长均已取得安全管理人员资格证书，且在有效期内。</w:t>
      </w:r>
    </w:p>
    <w:p w14:paraId="3D5D9653">
      <w:pPr>
        <w:pStyle w:val="4"/>
        <w:bidi w:val="0"/>
        <w:rPr>
          <w:rFonts w:hint="eastAsia"/>
          <w:color w:val="auto"/>
          <w:lang w:val="en-US" w:eastAsia="zh-CN"/>
        </w:rPr>
      </w:pPr>
      <w:bookmarkStart w:id="431" w:name="_Toc8598"/>
      <w:r>
        <w:rPr>
          <w:rFonts w:hint="eastAsia"/>
          <w:color w:val="auto"/>
          <w:lang w:val="en-US" w:eastAsia="zh-CN"/>
        </w:rPr>
        <w:t>2.11.3 工程技术人员配备</w:t>
      </w:r>
      <w:bookmarkEnd w:id="430"/>
      <w:bookmarkEnd w:id="431"/>
    </w:p>
    <w:p w14:paraId="3FC6D1A1">
      <w:pPr>
        <w:bidi w:val="0"/>
        <w:rPr>
          <w:rFonts w:hint="eastAsia"/>
          <w:color w:val="auto"/>
          <w:lang w:val="en-US" w:eastAsia="zh-CN"/>
        </w:rPr>
      </w:pPr>
      <w:r>
        <w:rPr>
          <w:rFonts w:hint="eastAsia"/>
          <w:color w:val="auto"/>
          <w:lang w:val="en-US" w:eastAsia="zh-CN"/>
        </w:rPr>
        <w:t>茅排金矿于2026年5月下发了《关于茅排金矿聘用工程技术人员的通知》（</w:t>
      </w:r>
      <w:r>
        <w:rPr>
          <w:rFonts w:hint="eastAsia"/>
          <w:color w:val="auto"/>
        </w:rPr>
        <w:t>临鲁金发</w:t>
      </w:r>
      <w:r>
        <w:rPr>
          <w:rFonts w:hint="eastAsia"/>
          <w:color w:val="auto"/>
          <w:lang w:val="en-US" w:eastAsia="zh-CN"/>
        </w:rPr>
        <w:t>〔2026〕5号），配备了采矿兼通风、地质、测量、机电等专业工程技术人员：</w:t>
      </w:r>
    </w:p>
    <w:p w14:paraId="6A801F32">
      <w:pPr>
        <w:bidi w:val="0"/>
        <w:rPr>
          <w:rFonts w:hint="eastAsia"/>
          <w:color w:val="auto"/>
          <w:lang w:val="en-US" w:eastAsia="zh-CN"/>
        </w:rPr>
      </w:pPr>
      <w:r>
        <w:rPr>
          <w:rFonts w:hint="eastAsia"/>
          <w:color w:val="auto"/>
          <w:lang w:val="en-US" w:eastAsia="zh-CN"/>
        </w:rPr>
        <w:t xml:space="preserve">1）陈振华同志（地质矿产勘查专业，专科毕业）为地质工程技术员； </w:t>
      </w:r>
    </w:p>
    <w:p w14:paraId="0957B3B1">
      <w:pPr>
        <w:bidi w:val="0"/>
        <w:rPr>
          <w:rFonts w:hint="eastAsia"/>
          <w:color w:val="auto"/>
          <w:lang w:val="en-US" w:eastAsia="zh-CN"/>
        </w:rPr>
      </w:pPr>
      <w:r>
        <w:rPr>
          <w:rFonts w:hint="eastAsia"/>
          <w:color w:val="auto"/>
          <w:lang w:val="en-US" w:eastAsia="zh-CN"/>
        </w:rPr>
        <w:t>2）蓝焕荣同志（采矿工程专业，本科毕业）为采矿工程技术，兼通风技术员；</w:t>
      </w:r>
    </w:p>
    <w:p w14:paraId="046A831A">
      <w:pPr>
        <w:bidi w:val="0"/>
        <w:rPr>
          <w:rFonts w:hint="eastAsia"/>
          <w:color w:val="auto"/>
          <w:lang w:val="en-US" w:eastAsia="zh-CN"/>
        </w:rPr>
      </w:pPr>
      <w:r>
        <w:rPr>
          <w:rFonts w:hint="eastAsia"/>
          <w:color w:val="auto"/>
          <w:lang w:val="en-US" w:eastAsia="zh-CN"/>
        </w:rPr>
        <w:t xml:space="preserve">3）石剑萍同志（机电技术应用，中专毕业）为机电工程技术员； </w:t>
      </w:r>
    </w:p>
    <w:p w14:paraId="3AFE8EF2">
      <w:pPr>
        <w:bidi w:val="0"/>
        <w:rPr>
          <w:rFonts w:hint="eastAsia"/>
          <w:color w:val="auto"/>
          <w:lang w:val="en-US" w:eastAsia="zh-CN"/>
        </w:rPr>
      </w:pPr>
      <w:r>
        <w:rPr>
          <w:rFonts w:hint="eastAsia"/>
          <w:color w:val="auto"/>
          <w:lang w:val="en-US" w:eastAsia="zh-CN"/>
        </w:rPr>
        <w:t>4）罗祖柏同志（工程测量技术，专科毕业）为测量工程技术员。</w:t>
      </w:r>
    </w:p>
    <w:p w14:paraId="73AC72F2">
      <w:pPr>
        <w:pStyle w:val="4"/>
        <w:bidi w:val="0"/>
        <w:rPr>
          <w:rFonts w:hint="eastAsia"/>
          <w:color w:val="auto"/>
          <w:lang w:val="en-US" w:eastAsia="zh-CN"/>
        </w:rPr>
      </w:pPr>
      <w:bookmarkStart w:id="432" w:name="_Toc25000"/>
      <w:bookmarkStart w:id="433" w:name="_Toc4444"/>
      <w:bookmarkStart w:id="434" w:name="_Toc18740"/>
      <w:bookmarkStart w:id="435" w:name="_Toc7163"/>
      <w:bookmarkStart w:id="436" w:name="_Toc7132"/>
      <w:bookmarkStart w:id="437" w:name="_Toc1241"/>
      <w:bookmarkStart w:id="438" w:name="_Toc13742"/>
      <w:bookmarkStart w:id="439" w:name="_Toc3877"/>
      <w:r>
        <w:rPr>
          <w:rFonts w:hint="eastAsia"/>
          <w:color w:val="auto"/>
          <w:lang w:val="en-US" w:eastAsia="zh-CN"/>
        </w:rPr>
        <w:t>2.11.4 安全生产管理制度</w:t>
      </w:r>
      <w:bookmarkEnd w:id="432"/>
      <w:bookmarkEnd w:id="433"/>
      <w:bookmarkEnd w:id="434"/>
      <w:bookmarkEnd w:id="435"/>
      <w:bookmarkEnd w:id="436"/>
      <w:bookmarkEnd w:id="437"/>
      <w:bookmarkEnd w:id="438"/>
      <w:bookmarkEnd w:id="439"/>
    </w:p>
    <w:p w14:paraId="6D79D539">
      <w:pPr>
        <w:bidi w:val="0"/>
        <w:rPr>
          <w:rFonts w:hint="default"/>
          <w:color w:val="auto"/>
          <w:lang w:val="en-US" w:eastAsia="zh-CN"/>
        </w:rPr>
      </w:pPr>
      <w:r>
        <w:rPr>
          <w:rFonts w:hint="eastAsia"/>
          <w:color w:val="auto"/>
          <w:spacing w:val="-6"/>
          <w:sz w:val="28"/>
          <w:lang w:val="en-US" w:eastAsia="zh-CN"/>
        </w:rPr>
        <w:t>茅排金矿制定了安全目标管理制度、安全例会制度、事故隐患排查与整改制度、安全教育与培训管理规定、安全活动制度、安全技术措施审批制度、劳动保护用品管理与发放办法、</w:t>
      </w:r>
      <w:r>
        <w:rPr>
          <w:rFonts w:hint="eastAsia" w:ascii="宋体" w:hAnsi="宋体" w:eastAsia="宋体" w:cs="Times New Roman"/>
          <w:color w:val="auto"/>
          <w:spacing w:val="-6"/>
          <w:sz w:val="28"/>
          <w:lang w:val="en-US" w:eastAsia="zh-CN"/>
        </w:rPr>
        <w:t>工伤事故分析处理规定、</w:t>
      </w:r>
      <w:r>
        <w:rPr>
          <w:rFonts w:hint="eastAsia"/>
          <w:color w:val="auto"/>
          <w:spacing w:val="-6"/>
          <w:sz w:val="28"/>
          <w:lang w:val="en-US" w:eastAsia="zh-CN"/>
        </w:rPr>
        <w:t>安全确认制度、职业病防治制度、爆破物品管理暂行办法、特种作业工种（岗位）管理规定、顶板安全管理制度、通风防尘管理办法、压力容器管理办法、危险源（点）控制管理办法、施工现场安全生产管理制度、施工现场消防管理制度、文明施工管理制度、防汛工作管理制度、安全资料建档制度、生产安全事故责任追究规定、应急管理制度、设备安全管理制度、施工单位安全管理制度、安全检查制度、动火作业制度、矿区安全通则、排土场安全管理制度、安全生产奖惩制度、矿领导下井带班管理制度等规章制度等。</w:t>
      </w:r>
    </w:p>
    <w:p w14:paraId="6068B327">
      <w:pPr>
        <w:bidi w:val="0"/>
        <w:rPr>
          <w:rFonts w:hint="eastAsia"/>
          <w:color w:val="auto"/>
          <w:lang w:val="en-US" w:eastAsia="zh-CN"/>
        </w:rPr>
      </w:pPr>
      <w:r>
        <w:rPr>
          <w:rFonts w:hint="eastAsia"/>
          <w:color w:val="auto"/>
          <w:lang w:val="en-US" w:eastAsia="zh-CN"/>
        </w:rPr>
        <w:t>茅排金矿已制定的岗位责任制有：矿长安全生产责任制、生产副矿长安全生产责任制、安全副矿长安全生产责任制、机电副矿长安全生产责任制、总工程师安全生产责任制、安全科安全生产责任制、办公室安全生产责任制、生产技术科安全生产责任制、爆破工程师安全生产责任制、安全员安全生产责任制、爆破员安全生产责任制、火工品管理员安全生产责任制、仓库保管员安全生产责任制、电工安全生产责任制、机修工安全生产责任制、支柱工安全生产责任制、安全检查工安全生产责任制、通风机机工安全生产责任制、凿岩工安全生产责任制、出渣工安全生产责任制、运输工安全生产责任制、装载机司机安全生产责任制、焊接与热切割作业岗位安全生产责任制等。</w:t>
      </w:r>
    </w:p>
    <w:p w14:paraId="0C06102E">
      <w:pPr>
        <w:bidi w:val="0"/>
        <w:rPr>
          <w:rFonts w:hint="eastAsia"/>
          <w:color w:val="auto"/>
          <w:lang w:val="en-US" w:eastAsia="zh-CN"/>
        </w:rPr>
      </w:pPr>
      <w:r>
        <w:rPr>
          <w:rFonts w:hint="eastAsia"/>
          <w:color w:val="auto"/>
          <w:lang w:val="en-US" w:eastAsia="zh-CN"/>
        </w:rPr>
        <w:t>茅排金矿已制定的操作规程有：凿岩工安全操作规程、爆破工安全操作规程、撬顶作业安全操作规程、支护工安全操作规程、运输工安全操作规程、装载机工安全操作规程、通风工安全操作规程、喷锚支护工安全操作规程、井下机械修理工安全操作规程、空压机工安全操作规程、钳工安全操作规程、焊工岗位安全职责与安全操作规程、电工岗位安全操作规程、机动车驾驶安全操作规程等。</w:t>
      </w:r>
    </w:p>
    <w:p w14:paraId="68E66CE9">
      <w:pPr>
        <w:pStyle w:val="4"/>
        <w:bidi w:val="0"/>
        <w:rPr>
          <w:rFonts w:hint="eastAsia"/>
          <w:color w:val="auto"/>
          <w:lang w:val="en-US" w:eastAsia="zh-CN"/>
        </w:rPr>
      </w:pPr>
      <w:bookmarkStart w:id="440" w:name="_Toc8892"/>
      <w:bookmarkStart w:id="441" w:name="_Toc13259"/>
      <w:bookmarkStart w:id="442" w:name="_Toc2736"/>
      <w:bookmarkStart w:id="443" w:name="_Toc25717"/>
      <w:bookmarkStart w:id="444" w:name="_Toc18106"/>
      <w:bookmarkStart w:id="445" w:name="_Toc10110"/>
      <w:bookmarkStart w:id="446" w:name="_Toc22751"/>
      <w:bookmarkStart w:id="447" w:name="_Toc24871"/>
      <w:r>
        <w:rPr>
          <w:rFonts w:hint="eastAsia"/>
          <w:color w:val="auto"/>
          <w:lang w:val="en-US" w:eastAsia="zh-CN"/>
        </w:rPr>
        <w:t>2.11.5 应急管理</w:t>
      </w:r>
      <w:bookmarkEnd w:id="440"/>
      <w:bookmarkEnd w:id="441"/>
      <w:bookmarkEnd w:id="442"/>
      <w:bookmarkEnd w:id="443"/>
      <w:bookmarkEnd w:id="444"/>
      <w:bookmarkEnd w:id="445"/>
      <w:bookmarkEnd w:id="446"/>
      <w:bookmarkEnd w:id="447"/>
    </w:p>
    <w:p w14:paraId="473703B1">
      <w:pPr>
        <w:bidi w:val="0"/>
        <w:rPr>
          <w:rFonts w:hint="eastAsia"/>
          <w:color w:val="auto"/>
          <w:lang w:eastAsia="zh-CN"/>
        </w:rPr>
      </w:pPr>
      <w:r>
        <w:rPr>
          <w:rFonts w:hint="eastAsia"/>
          <w:color w:val="auto"/>
        </w:rPr>
        <w:t>江西临川鲁金矿业有限公司制定了《江西临川鲁金矿业有限公司茅排金矿生产安全事故应急预案》</w:t>
      </w:r>
      <w:r>
        <w:rPr>
          <w:rFonts w:hint="eastAsia"/>
          <w:color w:val="auto"/>
          <w:lang w:eastAsia="zh-CN"/>
        </w:rPr>
        <w:t>，</w:t>
      </w:r>
      <w:r>
        <w:rPr>
          <w:rFonts w:hint="eastAsia"/>
          <w:color w:val="auto"/>
        </w:rPr>
        <w:t>20</w:t>
      </w:r>
      <w:r>
        <w:rPr>
          <w:rFonts w:hint="eastAsia"/>
          <w:color w:val="auto"/>
          <w:lang w:val="en-US" w:eastAsia="zh-CN"/>
        </w:rPr>
        <w:t>26</w:t>
      </w:r>
      <w:r>
        <w:rPr>
          <w:rFonts w:hint="eastAsia"/>
          <w:color w:val="auto"/>
        </w:rPr>
        <w:t>年</w:t>
      </w:r>
      <w:r>
        <w:rPr>
          <w:rFonts w:hint="eastAsia"/>
          <w:color w:val="auto"/>
          <w:lang w:val="en-US" w:eastAsia="zh-CN"/>
        </w:rPr>
        <w:t>3</w:t>
      </w:r>
      <w:r>
        <w:rPr>
          <w:rFonts w:hint="eastAsia"/>
          <w:color w:val="auto"/>
        </w:rPr>
        <w:t>月</w:t>
      </w:r>
      <w:r>
        <w:rPr>
          <w:rFonts w:hint="eastAsia"/>
          <w:color w:val="auto"/>
          <w:lang w:val="en-US" w:eastAsia="zh-CN"/>
        </w:rPr>
        <w:t>16</w:t>
      </w:r>
      <w:r>
        <w:rPr>
          <w:rFonts w:hint="eastAsia"/>
          <w:color w:val="auto"/>
        </w:rPr>
        <w:t>日在抚州市</w:t>
      </w:r>
      <w:r>
        <w:rPr>
          <w:rFonts w:hint="eastAsia"/>
          <w:color w:val="auto"/>
          <w:lang w:val="en-US" w:eastAsia="zh-CN"/>
        </w:rPr>
        <w:t>临川区应急</w:t>
      </w:r>
      <w:r>
        <w:rPr>
          <w:rFonts w:hint="eastAsia"/>
          <w:color w:val="auto"/>
        </w:rPr>
        <w:t>管理局进行了备案</w:t>
      </w:r>
      <w:r>
        <w:rPr>
          <w:rFonts w:hint="eastAsia"/>
          <w:color w:val="auto"/>
          <w:lang w:eastAsia="zh-CN"/>
        </w:rPr>
        <w:t>，</w:t>
      </w:r>
      <w:r>
        <w:rPr>
          <w:rFonts w:hint="eastAsia"/>
          <w:color w:val="auto"/>
        </w:rPr>
        <w:t>备案编号：</w:t>
      </w:r>
      <w:r>
        <w:rPr>
          <w:rFonts w:hint="eastAsia"/>
          <w:color w:val="auto"/>
          <w:lang w:val="en-US" w:eastAsia="zh-CN"/>
        </w:rPr>
        <w:t>361002--2026--006</w:t>
      </w:r>
      <w:r>
        <w:rPr>
          <w:rFonts w:hint="eastAsia"/>
          <w:color w:val="auto"/>
        </w:rPr>
        <w:t>。</w:t>
      </w:r>
      <w:r>
        <w:rPr>
          <w:rFonts w:hint="eastAsia"/>
          <w:color w:val="auto"/>
          <w:lang w:eastAsia="zh-CN"/>
        </w:rPr>
        <w:t>矿山储备了必要的应急救援物资和相当的资金用于应急救援，确保应急资源的调配。</w:t>
      </w:r>
    </w:p>
    <w:p w14:paraId="2519B961">
      <w:pPr>
        <w:bidi w:val="0"/>
        <w:rPr>
          <w:rFonts w:hint="eastAsia"/>
          <w:color w:val="auto"/>
          <w:lang w:val="en-US" w:eastAsia="zh-CN"/>
        </w:rPr>
      </w:pPr>
      <w:r>
        <w:rPr>
          <w:rFonts w:hint="eastAsia"/>
          <w:color w:val="auto"/>
        </w:rPr>
        <w:t>江西临川鲁金矿业有限公司与江西煤</w:t>
      </w:r>
      <w:r>
        <w:rPr>
          <w:rFonts w:hint="eastAsia"/>
          <w:color w:val="auto"/>
          <w:lang w:val="en-US" w:eastAsia="zh-CN"/>
        </w:rPr>
        <w:t>业集团有限责任公司矿山</w:t>
      </w:r>
      <w:r>
        <w:rPr>
          <w:rFonts w:hint="eastAsia"/>
          <w:color w:val="auto"/>
        </w:rPr>
        <w:t>救</w:t>
      </w:r>
      <w:r>
        <w:rPr>
          <w:rFonts w:hint="eastAsia"/>
          <w:color w:val="auto"/>
          <w:lang w:val="en-US" w:eastAsia="zh-CN"/>
        </w:rPr>
        <w:t>护总队</w:t>
      </w:r>
      <w:r>
        <w:rPr>
          <w:rFonts w:hint="eastAsia"/>
          <w:color w:val="auto"/>
        </w:rPr>
        <w:t>签订了</w:t>
      </w:r>
      <w:r>
        <w:rPr>
          <w:rFonts w:hint="eastAsia"/>
          <w:color w:val="auto"/>
          <w:lang w:eastAsia="zh-CN"/>
        </w:rPr>
        <w:t>应急救援</w:t>
      </w:r>
      <w:r>
        <w:rPr>
          <w:rFonts w:hint="eastAsia"/>
          <w:color w:val="auto"/>
          <w:lang w:val="en-US" w:eastAsia="zh-CN"/>
        </w:rPr>
        <w:t>安全服务协议</w:t>
      </w:r>
      <w:r>
        <w:rPr>
          <w:rFonts w:hint="eastAsia"/>
          <w:color w:val="auto"/>
          <w:lang w:eastAsia="zh-CN"/>
        </w:rPr>
        <w:t>，</w:t>
      </w:r>
      <w:r>
        <w:rPr>
          <w:rFonts w:hint="eastAsia"/>
          <w:color w:val="auto"/>
          <w:lang w:val="en-US" w:eastAsia="zh-CN"/>
        </w:rPr>
        <w:t>期限为：</w:t>
      </w:r>
      <w:r>
        <w:rPr>
          <w:rFonts w:hint="eastAsia"/>
          <w:color w:val="auto"/>
        </w:rPr>
        <w:t>20</w:t>
      </w:r>
      <w:r>
        <w:rPr>
          <w:rFonts w:hint="eastAsia"/>
          <w:color w:val="auto"/>
          <w:lang w:val="en-US" w:eastAsia="zh-CN"/>
        </w:rPr>
        <w:t>26</w:t>
      </w:r>
      <w:r>
        <w:rPr>
          <w:rFonts w:hint="eastAsia"/>
          <w:color w:val="auto"/>
        </w:rPr>
        <w:t>年</w:t>
      </w:r>
      <w:r>
        <w:rPr>
          <w:rFonts w:hint="eastAsia"/>
          <w:color w:val="auto"/>
          <w:lang w:val="en-US" w:eastAsia="zh-CN"/>
        </w:rPr>
        <w:t>3</w:t>
      </w:r>
      <w:r>
        <w:rPr>
          <w:rFonts w:hint="eastAsia"/>
          <w:color w:val="auto"/>
        </w:rPr>
        <w:t>月</w:t>
      </w:r>
      <w:r>
        <w:rPr>
          <w:rFonts w:hint="eastAsia"/>
          <w:color w:val="auto"/>
          <w:lang w:val="en-US" w:eastAsia="zh-CN"/>
        </w:rPr>
        <w:t>10日至2027年3月9日。</w:t>
      </w:r>
    </w:p>
    <w:p w14:paraId="0B9CEA6D">
      <w:pPr>
        <w:bidi w:val="0"/>
        <w:rPr>
          <w:rFonts w:hint="eastAsia"/>
          <w:color w:val="auto"/>
          <w:lang w:val="en-US" w:eastAsia="zh-CN"/>
        </w:rPr>
      </w:pPr>
      <w:r>
        <w:rPr>
          <w:rFonts w:hint="eastAsia"/>
          <w:color w:val="auto"/>
          <w:lang w:val="en-US" w:eastAsia="zh-CN"/>
        </w:rPr>
        <w:t>2025年8月8日，</w:t>
      </w:r>
      <w:r>
        <w:rPr>
          <w:rFonts w:hint="eastAsia"/>
          <w:color w:val="auto"/>
          <w:lang w:eastAsia="zh-CN"/>
        </w:rPr>
        <w:t>矿山</w:t>
      </w:r>
      <w:r>
        <w:rPr>
          <w:rFonts w:hint="eastAsia"/>
          <w:color w:val="auto"/>
          <w:lang w:val="en-US" w:eastAsia="zh-CN"/>
        </w:rPr>
        <w:t>开展</w:t>
      </w:r>
      <w:r>
        <w:rPr>
          <w:rFonts w:hint="eastAsia"/>
          <w:color w:val="auto"/>
          <w:lang w:eastAsia="zh-CN"/>
        </w:rPr>
        <w:t>了</w:t>
      </w:r>
      <w:r>
        <w:rPr>
          <w:rFonts w:hint="eastAsia"/>
          <w:color w:val="auto"/>
        </w:rPr>
        <w:t>空压机房火灾应急实战演练</w:t>
      </w:r>
      <w:r>
        <w:rPr>
          <w:rFonts w:hint="eastAsia"/>
          <w:color w:val="auto"/>
          <w:lang w:eastAsia="zh-CN"/>
        </w:rPr>
        <w:t>，通过演练进一步巩固了员工应急救援安全知识，积累了现场应急救援的宝贵经验。</w:t>
      </w:r>
    </w:p>
    <w:p w14:paraId="48D18F3D">
      <w:pPr>
        <w:pStyle w:val="4"/>
        <w:bidi w:val="0"/>
        <w:rPr>
          <w:rFonts w:hint="eastAsia"/>
          <w:color w:val="auto"/>
          <w:lang w:val="en-US" w:eastAsia="zh-CN"/>
        </w:rPr>
      </w:pPr>
      <w:bookmarkStart w:id="448" w:name="_Toc11678"/>
      <w:bookmarkStart w:id="449" w:name="_Toc3660"/>
      <w:bookmarkStart w:id="450" w:name="_Toc17016"/>
      <w:bookmarkStart w:id="451" w:name="_Toc31363"/>
      <w:bookmarkStart w:id="452" w:name="_Toc6463"/>
      <w:bookmarkStart w:id="453" w:name="_Toc21810"/>
      <w:bookmarkStart w:id="454" w:name="_Toc24468"/>
      <w:bookmarkStart w:id="455" w:name="_Toc8263"/>
      <w:r>
        <w:rPr>
          <w:rFonts w:hint="eastAsia"/>
          <w:color w:val="auto"/>
          <w:lang w:val="en-US" w:eastAsia="zh-CN"/>
        </w:rPr>
        <w:t>2.11.6 安全教育培训</w:t>
      </w:r>
      <w:bookmarkEnd w:id="448"/>
      <w:bookmarkEnd w:id="449"/>
      <w:bookmarkEnd w:id="450"/>
      <w:bookmarkEnd w:id="451"/>
      <w:bookmarkEnd w:id="452"/>
      <w:bookmarkEnd w:id="453"/>
      <w:bookmarkEnd w:id="454"/>
      <w:bookmarkEnd w:id="455"/>
    </w:p>
    <w:p w14:paraId="1A46A385">
      <w:pPr>
        <w:bidi w:val="0"/>
        <w:rPr>
          <w:rFonts w:hint="eastAsia"/>
          <w:color w:val="auto"/>
          <w:lang w:val="en-US" w:eastAsia="zh-CN"/>
        </w:rPr>
      </w:pPr>
      <w:r>
        <w:rPr>
          <w:rFonts w:hint="eastAsia"/>
          <w:color w:val="auto"/>
          <w:lang w:val="en-US" w:eastAsia="zh-CN"/>
        </w:rPr>
        <w:t>茅排金矿主要负责人和安全生产管理人员已经通过培训考核，取得合格的资格证书上岗。特种作业人员（支柱作业</w:t>
      </w:r>
      <w:r>
        <w:rPr>
          <w:rFonts w:hint="eastAsia"/>
          <w:color w:val="auto"/>
        </w:rPr>
        <w:t>、</w:t>
      </w:r>
      <w:r>
        <w:rPr>
          <w:rFonts w:hint="eastAsia"/>
          <w:color w:val="auto"/>
          <w:lang w:val="en-US" w:eastAsia="zh-CN"/>
        </w:rPr>
        <w:t>通风作业</w:t>
      </w:r>
      <w:r>
        <w:rPr>
          <w:rFonts w:hint="eastAsia"/>
          <w:color w:val="auto"/>
        </w:rPr>
        <w:t>、熔化焊接与热切割作业、安全检查作业</w:t>
      </w:r>
      <w:r>
        <w:rPr>
          <w:rFonts w:hint="eastAsia"/>
          <w:color w:val="auto"/>
          <w:lang w:eastAsia="zh-CN"/>
        </w:rPr>
        <w:t>、</w:t>
      </w:r>
      <w:r>
        <w:rPr>
          <w:rFonts w:hint="eastAsia"/>
          <w:color w:val="auto"/>
          <w:lang w:val="en-US" w:eastAsia="zh-CN"/>
        </w:rPr>
        <w:t>低压电工作业）均按照法规要求经相关主管部门培训考核，取得特种作业人员上岗资格证书。主要负责人、安全管理人员和特种作业人员资格证均在有效期内。</w:t>
      </w:r>
    </w:p>
    <w:p w14:paraId="54296FD3">
      <w:pPr>
        <w:bidi w:val="0"/>
        <w:rPr>
          <w:rFonts w:hint="eastAsia" w:ascii="Times New Roman" w:hAnsi="Times New Roman" w:eastAsia="宋体" w:cs="宋体"/>
          <w:color w:val="auto"/>
          <w:sz w:val="28"/>
          <w:szCs w:val="28"/>
          <w:lang w:val="en-US" w:eastAsia="zh-CN"/>
        </w:rPr>
      </w:pPr>
      <w:r>
        <w:rPr>
          <w:rFonts w:hint="eastAsia"/>
          <w:color w:val="auto"/>
          <w:lang w:val="en-US" w:eastAsia="zh-CN"/>
        </w:rPr>
        <w:t>茅排金矿</w:t>
      </w:r>
      <w:r>
        <w:rPr>
          <w:rFonts w:hint="eastAsia" w:ascii="Times New Roman" w:hAnsi="Times New Roman" w:eastAsia="宋体" w:cs="宋体"/>
          <w:color w:val="auto"/>
          <w:sz w:val="28"/>
          <w:szCs w:val="28"/>
          <w:lang w:val="en-US" w:eastAsia="zh-CN"/>
        </w:rPr>
        <w:t>制定了年度安全教育培训计划，对新进员工进行三级安全教育，对其他员工进行安全生产再教育和复工复产岗前安全教育培训，通过考核合格上岗。</w:t>
      </w:r>
    </w:p>
    <w:p w14:paraId="7A2A8D57">
      <w:pPr>
        <w:pStyle w:val="4"/>
        <w:bidi w:val="0"/>
        <w:rPr>
          <w:rFonts w:hint="eastAsia"/>
          <w:color w:val="auto"/>
          <w:lang w:val="en-US" w:eastAsia="zh-CN"/>
        </w:rPr>
      </w:pPr>
      <w:bookmarkStart w:id="456" w:name="_Toc19681"/>
      <w:bookmarkStart w:id="457" w:name="_Toc5535"/>
      <w:bookmarkStart w:id="458" w:name="_Toc13900"/>
      <w:bookmarkStart w:id="459" w:name="_Toc13052"/>
      <w:bookmarkStart w:id="460" w:name="_Toc12326"/>
      <w:bookmarkStart w:id="461" w:name="_Toc13022"/>
      <w:bookmarkStart w:id="462" w:name="_Toc17616"/>
      <w:bookmarkStart w:id="463" w:name="_Toc26253"/>
      <w:r>
        <w:rPr>
          <w:rFonts w:hint="eastAsia"/>
          <w:color w:val="auto"/>
          <w:lang w:val="en-US" w:eastAsia="zh-CN"/>
        </w:rPr>
        <w:t>2.11.7 安全措施费用</w:t>
      </w:r>
      <w:bookmarkEnd w:id="456"/>
      <w:bookmarkEnd w:id="457"/>
      <w:bookmarkEnd w:id="458"/>
      <w:bookmarkEnd w:id="459"/>
      <w:bookmarkEnd w:id="460"/>
      <w:bookmarkEnd w:id="461"/>
      <w:bookmarkEnd w:id="462"/>
      <w:bookmarkEnd w:id="463"/>
    </w:p>
    <w:p w14:paraId="506CF6C3">
      <w:pPr>
        <w:bidi w:val="0"/>
        <w:rPr>
          <w:rFonts w:hint="eastAsia"/>
          <w:color w:val="auto"/>
          <w:lang w:val="en-US" w:eastAsia="zh-CN"/>
        </w:rPr>
      </w:pPr>
      <w:r>
        <w:rPr>
          <w:rFonts w:hint="eastAsia"/>
          <w:color w:val="auto"/>
          <w:lang w:val="en-US" w:eastAsia="zh-CN"/>
        </w:rPr>
        <w:t>茅排金矿制定了安全生产费用投入与管理制度以保障企业的安全投入，严格按照规定足额提取并投入安全专项经费，专款专用，努力改善矿山安全生产条件。根据</w:t>
      </w:r>
      <w:r>
        <w:rPr>
          <w:rFonts w:hint="eastAsia"/>
          <w:color w:val="auto"/>
        </w:rPr>
        <w:t>财</w:t>
      </w:r>
      <w:r>
        <w:rPr>
          <w:rFonts w:hint="eastAsia"/>
          <w:color w:val="auto"/>
          <w:lang w:val="en-US" w:eastAsia="zh-CN"/>
        </w:rPr>
        <w:t>资</w:t>
      </w:r>
      <w:r>
        <w:rPr>
          <w:rFonts w:hint="eastAsia"/>
          <w:color w:val="auto"/>
        </w:rPr>
        <w:t>〔20</w:t>
      </w:r>
      <w:r>
        <w:rPr>
          <w:rFonts w:hint="eastAsia"/>
          <w:color w:val="auto"/>
          <w:lang w:val="en-US" w:eastAsia="zh-CN"/>
        </w:rPr>
        <w:t>22</w:t>
      </w:r>
      <w:r>
        <w:rPr>
          <w:rFonts w:hint="eastAsia"/>
          <w:color w:val="auto"/>
        </w:rPr>
        <w:t>〕1</w:t>
      </w:r>
      <w:r>
        <w:rPr>
          <w:rFonts w:hint="eastAsia"/>
          <w:color w:val="auto"/>
          <w:lang w:val="en-US" w:eastAsia="zh-CN"/>
        </w:rPr>
        <w:t>3</w:t>
      </w:r>
      <w:r>
        <w:rPr>
          <w:rFonts w:hint="eastAsia"/>
          <w:color w:val="auto"/>
        </w:rPr>
        <w:t>6号</w:t>
      </w:r>
      <w:r>
        <w:rPr>
          <w:rFonts w:hint="eastAsia"/>
          <w:color w:val="auto"/>
          <w:lang w:val="en-US" w:eastAsia="zh-CN"/>
        </w:rPr>
        <w:t>文件要求，金属地下矿山按原矿产量每吨15元提取安全生产费用，</w:t>
      </w:r>
      <w:r>
        <w:rPr>
          <w:rFonts w:hint="eastAsia" w:ascii="Times New Roman" w:hAnsi="Times New Roman" w:eastAsia="宋体" w:cs="宋体"/>
          <w:color w:val="auto"/>
          <w:sz w:val="28"/>
          <w:szCs w:val="28"/>
          <w:lang w:val="en-US" w:eastAsia="zh-CN"/>
        </w:rPr>
        <w:t>生产规模3万吨/年，202</w:t>
      </w:r>
      <w:r>
        <w:rPr>
          <w:rFonts w:hint="eastAsia" w:ascii="Times New Roman" w:hAnsi="Times New Roman" w:cs="宋体"/>
          <w:color w:val="auto"/>
          <w:sz w:val="28"/>
          <w:szCs w:val="28"/>
          <w:lang w:val="en-US" w:eastAsia="zh-CN"/>
        </w:rPr>
        <w:t>6</w:t>
      </w:r>
      <w:r>
        <w:rPr>
          <w:rFonts w:hint="eastAsia" w:ascii="Times New Roman" w:hAnsi="Times New Roman" w:eastAsia="宋体" w:cs="宋体"/>
          <w:color w:val="auto"/>
          <w:sz w:val="28"/>
          <w:szCs w:val="28"/>
          <w:lang w:val="en-US" w:eastAsia="zh-CN"/>
        </w:rPr>
        <w:t>年度计划提取安全生产费用为</w:t>
      </w:r>
      <w:r>
        <w:rPr>
          <w:rFonts w:hint="eastAsia" w:ascii="Times New Roman" w:hAnsi="Times New Roman" w:cs="宋体"/>
          <w:color w:val="auto"/>
          <w:sz w:val="28"/>
          <w:szCs w:val="28"/>
          <w:lang w:val="en-US" w:eastAsia="zh-CN"/>
        </w:rPr>
        <w:t>45</w:t>
      </w:r>
      <w:r>
        <w:rPr>
          <w:rFonts w:hint="eastAsia" w:ascii="Times New Roman" w:hAnsi="Times New Roman" w:eastAsia="宋体" w:cs="宋体"/>
          <w:color w:val="auto"/>
          <w:sz w:val="28"/>
          <w:szCs w:val="28"/>
          <w:lang w:val="en-US" w:eastAsia="zh-CN"/>
        </w:rPr>
        <w:t>万元，截止202</w:t>
      </w:r>
      <w:r>
        <w:rPr>
          <w:rFonts w:hint="eastAsia" w:ascii="Times New Roman" w:hAnsi="Times New Roman" w:cs="宋体"/>
          <w:color w:val="auto"/>
          <w:sz w:val="28"/>
          <w:szCs w:val="28"/>
          <w:lang w:val="en-US" w:eastAsia="zh-CN"/>
        </w:rPr>
        <w:t>6</w:t>
      </w:r>
      <w:r>
        <w:rPr>
          <w:rFonts w:hint="eastAsia" w:ascii="Times New Roman" w:hAnsi="Times New Roman" w:eastAsia="宋体" w:cs="宋体"/>
          <w:color w:val="auto"/>
          <w:sz w:val="28"/>
          <w:szCs w:val="28"/>
          <w:lang w:val="en-US" w:eastAsia="zh-CN"/>
        </w:rPr>
        <w:t>年</w:t>
      </w:r>
      <w:r>
        <w:rPr>
          <w:rFonts w:hint="eastAsia" w:ascii="Times New Roman" w:hAnsi="Times New Roman" w:cs="宋体"/>
          <w:color w:val="auto"/>
          <w:sz w:val="28"/>
          <w:szCs w:val="28"/>
          <w:lang w:val="en-US" w:eastAsia="zh-CN"/>
        </w:rPr>
        <w:t>4</w:t>
      </w:r>
      <w:r>
        <w:rPr>
          <w:rFonts w:hint="eastAsia" w:ascii="Times New Roman" w:hAnsi="Times New Roman" w:eastAsia="宋体" w:cs="宋体"/>
          <w:color w:val="auto"/>
          <w:sz w:val="28"/>
          <w:szCs w:val="28"/>
          <w:lang w:val="en-US" w:eastAsia="zh-CN"/>
        </w:rPr>
        <w:t>月底，实际</w:t>
      </w:r>
      <w:r>
        <w:rPr>
          <w:rFonts w:hint="default" w:ascii="Times New Roman" w:hAnsi="Times New Roman" w:eastAsia="宋体" w:cs="宋体"/>
          <w:color w:val="auto"/>
          <w:sz w:val="28"/>
          <w:szCs w:val="28"/>
          <w:lang w:val="en-US" w:eastAsia="zh-CN"/>
        </w:rPr>
        <w:t>使用安全生产费用</w:t>
      </w:r>
      <w:r>
        <w:rPr>
          <w:rFonts w:hint="eastAsia" w:ascii="Times New Roman" w:hAnsi="Times New Roman" w:cs="宋体"/>
          <w:color w:val="auto"/>
          <w:sz w:val="28"/>
          <w:szCs w:val="28"/>
          <w:lang w:val="en-US" w:eastAsia="zh-CN"/>
        </w:rPr>
        <w:t>8.8</w:t>
      </w:r>
      <w:r>
        <w:rPr>
          <w:rFonts w:hint="default" w:ascii="Times New Roman" w:hAnsi="Times New Roman" w:eastAsia="宋体" w:cs="宋体"/>
          <w:color w:val="auto"/>
          <w:sz w:val="28"/>
          <w:szCs w:val="28"/>
          <w:lang w:val="en-US" w:eastAsia="zh-CN"/>
        </w:rPr>
        <w:t>万元</w:t>
      </w:r>
      <w:r>
        <w:rPr>
          <w:rFonts w:hint="eastAsia" w:ascii="Times New Roman" w:hAnsi="Times New Roman" w:eastAsia="宋体" w:cs="宋体"/>
          <w:color w:val="auto"/>
          <w:sz w:val="28"/>
          <w:szCs w:val="28"/>
          <w:lang w:val="en-US" w:eastAsia="zh-CN"/>
        </w:rPr>
        <w:t>，</w:t>
      </w:r>
      <w:r>
        <w:rPr>
          <w:rFonts w:hint="eastAsia"/>
          <w:color w:val="auto"/>
          <w:lang w:val="en-US" w:eastAsia="zh-CN"/>
        </w:rPr>
        <w:t>主要用于完善、改造和维护安全防护设施设备，矿山安全避险“六大系统”维护，安全风险分级管控和隐患排查整改，应急救援设备设施配置及维护保养，安全生产检查，安全评价，安全防护用品，安全设施检测检验，安全生产教育培训和安全生产责任保险等方面。</w:t>
      </w:r>
    </w:p>
    <w:p w14:paraId="54277C2E">
      <w:pPr>
        <w:pStyle w:val="4"/>
        <w:bidi w:val="0"/>
        <w:rPr>
          <w:rFonts w:hint="eastAsia"/>
          <w:color w:val="auto"/>
          <w:lang w:val="en-US" w:eastAsia="zh-CN"/>
        </w:rPr>
      </w:pPr>
      <w:bookmarkStart w:id="464" w:name="_Toc10710"/>
      <w:bookmarkStart w:id="465" w:name="_Toc21623"/>
      <w:bookmarkStart w:id="466" w:name="_Toc31048"/>
      <w:bookmarkStart w:id="467" w:name="_Toc1856"/>
      <w:bookmarkStart w:id="468" w:name="_Toc10001"/>
      <w:bookmarkStart w:id="469" w:name="_Toc21348"/>
      <w:bookmarkStart w:id="470" w:name="_Toc27596"/>
      <w:bookmarkStart w:id="471" w:name="_Toc3735"/>
      <w:r>
        <w:rPr>
          <w:rFonts w:hint="eastAsia"/>
          <w:color w:val="auto"/>
          <w:lang w:val="en-US" w:eastAsia="zh-CN"/>
        </w:rPr>
        <w:t>2.11.8 工伤保险和安全生产责任保险</w:t>
      </w:r>
      <w:bookmarkEnd w:id="464"/>
      <w:bookmarkEnd w:id="465"/>
      <w:bookmarkEnd w:id="466"/>
      <w:bookmarkEnd w:id="467"/>
      <w:bookmarkEnd w:id="468"/>
      <w:bookmarkEnd w:id="469"/>
      <w:bookmarkEnd w:id="470"/>
      <w:bookmarkEnd w:id="471"/>
    </w:p>
    <w:p w14:paraId="506A0B59">
      <w:pPr>
        <w:bidi w:val="0"/>
        <w:rPr>
          <w:rFonts w:hint="eastAsia"/>
          <w:color w:val="auto"/>
          <w:lang w:eastAsia="zh-CN"/>
        </w:rPr>
      </w:pPr>
      <w:bookmarkStart w:id="472" w:name="_Toc20629"/>
      <w:bookmarkStart w:id="473" w:name="_Toc17839"/>
      <w:bookmarkStart w:id="474" w:name="_Toc19529"/>
      <w:bookmarkStart w:id="475" w:name="_Toc19566"/>
      <w:bookmarkStart w:id="476" w:name="_Toc24950"/>
      <w:bookmarkStart w:id="477" w:name="_Toc27373"/>
      <w:bookmarkStart w:id="478" w:name="_Toc6331"/>
      <w:r>
        <w:rPr>
          <w:rFonts w:hint="eastAsia"/>
          <w:color w:val="auto"/>
          <w:lang w:val="en-US" w:eastAsia="zh-CN"/>
        </w:rPr>
        <w:t>茅排金矿</w:t>
      </w:r>
      <w:r>
        <w:rPr>
          <w:rFonts w:hint="eastAsia"/>
          <w:color w:val="auto"/>
          <w:lang w:eastAsia="zh-CN"/>
        </w:rPr>
        <w:t>现有从业人员</w:t>
      </w:r>
      <w:r>
        <w:rPr>
          <w:rFonts w:hint="eastAsia"/>
          <w:color w:val="auto"/>
          <w:lang w:val="en-US" w:eastAsia="zh-CN"/>
        </w:rPr>
        <w:t>18</w:t>
      </w:r>
      <w:r>
        <w:rPr>
          <w:rFonts w:hint="eastAsia"/>
          <w:color w:val="auto"/>
          <w:lang w:eastAsia="zh-CN"/>
        </w:rPr>
        <w:t>人，</w:t>
      </w:r>
      <w:r>
        <w:rPr>
          <w:rFonts w:hint="eastAsia"/>
          <w:color w:val="auto"/>
          <w:lang w:val="en-US" w:eastAsia="zh-CN"/>
        </w:rPr>
        <w:t>均</w:t>
      </w:r>
      <w:r>
        <w:rPr>
          <w:rFonts w:hint="eastAsia"/>
          <w:color w:val="auto"/>
          <w:lang w:eastAsia="zh-CN"/>
        </w:rPr>
        <w:t>办理了安全生产责任险，见保险单凭证</w:t>
      </w:r>
      <w:r>
        <w:rPr>
          <w:rFonts w:hint="eastAsia"/>
          <w:color w:val="auto"/>
          <w:lang w:val="en-US" w:eastAsia="zh-CN"/>
        </w:rPr>
        <w:t>；</w:t>
      </w:r>
      <w:r>
        <w:rPr>
          <w:rFonts w:hint="eastAsia"/>
          <w:color w:val="auto"/>
          <w:lang w:eastAsia="zh-CN"/>
        </w:rPr>
        <w:t>为</w:t>
      </w:r>
      <w:r>
        <w:rPr>
          <w:rFonts w:hint="eastAsia"/>
          <w:color w:val="auto"/>
          <w:lang w:val="en-US" w:eastAsia="zh-CN"/>
        </w:rPr>
        <w:t>主要负责人、安全管理人员、工程技术人员和特种作业人员等16人</w:t>
      </w:r>
      <w:r>
        <w:rPr>
          <w:rFonts w:hint="eastAsia"/>
          <w:color w:val="auto"/>
          <w:lang w:eastAsia="zh-CN"/>
        </w:rPr>
        <w:t>办理了</w:t>
      </w:r>
      <w:r>
        <w:rPr>
          <w:rFonts w:hint="eastAsia"/>
          <w:color w:val="auto"/>
          <w:lang w:val="en-US" w:eastAsia="zh-CN"/>
        </w:rPr>
        <w:t>社会</w:t>
      </w:r>
      <w:r>
        <w:rPr>
          <w:rFonts w:hint="eastAsia"/>
          <w:color w:val="auto"/>
          <w:lang w:eastAsia="zh-CN"/>
        </w:rPr>
        <w:t>保险，</w:t>
      </w:r>
      <w:r>
        <w:rPr>
          <w:rFonts w:hint="eastAsia"/>
          <w:color w:val="auto"/>
          <w:lang w:val="en-US" w:eastAsia="zh-CN"/>
        </w:rPr>
        <w:t>因总工程师（叶初荣）、地质工程技术员（陈振华）为退休人员，所以退休人员未</w:t>
      </w:r>
      <w:r>
        <w:rPr>
          <w:rFonts w:hint="eastAsia"/>
          <w:color w:val="auto"/>
          <w:lang w:eastAsia="zh-CN"/>
        </w:rPr>
        <w:t>办理</w:t>
      </w:r>
      <w:r>
        <w:rPr>
          <w:rFonts w:hint="eastAsia"/>
          <w:color w:val="auto"/>
          <w:lang w:val="en-US" w:eastAsia="zh-CN"/>
        </w:rPr>
        <w:t>社会</w:t>
      </w:r>
      <w:r>
        <w:rPr>
          <w:rFonts w:hint="eastAsia"/>
          <w:color w:val="auto"/>
          <w:lang w:eastAsia="zh-CN"/>
        </w:rPr>
        <w:t>保险。</w:t>
      </w:r>
    </w:p>
    <w:p w14:paraId="7FE3A148">
      <w:pPr>
        <w:pStyle w:val="4"/>
        <w:bidi w:val="0"/>
        <w:rPr>
          <w:rFonts w:hint="eastAsia" w:eastAsia="宋体"/>
          <w:color w:val="auto"/>
          <w:lang w:val="en-US" w:eastAsia="zh-CN"/>
        </w:rPr>
      </w:pPr>
      <w:bookmarkStart w:id="479" w:name="_Toc26724"/>
      <w:r>
        <w:rPr>
          <w:rFonts w:hint="eastAsia" w:eastAsia="宋体"/>
          <w:color w:val="auto"/>
          <w:lang w:val="en-US" w:eastAsia="zh-CN"/>
        </w:rPr>
        <w:t>2.11.9 安全生产标准化运行</w:t>
      </w:r>
      <w:bookmarkEnd w:id="479"/>
      <w:r>
        <w:rPr>
          <w:rFonts w:hint="eastAsia" w:eastAsia="宋体"/>
          <w:color w:val="auto"/>
          <w:lang w:val="en-US" w:eastAsia="zh-CN"/>
        </w:rPr>
        <w:t xml:space="preserve"> </w:t>
      </w:r>
    </w:p>
    <w:p w14:paraId="540CF630">
      <w:pPr>
        <w:bidi w:val="0"/>
        <w:rPr>
          <w:rFonts w:hint="default"/>
          <w:color w:val="auto"/>
          <w:lang w:val="en-US" w:eastAsia="zh-CN"/>
        </w:rPr>
      </w:pPr>
      <w:r>
        <w:rPr>
          <w:rFonts w:hint="eastAsia"/>
          <w:color w:val="auto"/>
          <w:lang w:val="en-US" w:eastAsia="zh-CN"/>
        </w:rPr>
        <w:t>茅排金矿通过重评于2020年5月11日取得江西省应急管理厅颁发的地下矿山三级安全生产标准化证书，证书编号：赣AQBKⅢ[2020]046，有效期至2023年5月。</w:t>
      </w:r>
    </w:p>
    <w:bookmarkEnd w:id="472"/>
    <w:bookmarkEnd w:id="473"/>
    <w:bookmarkEnd w:id="474"/>
    <w:bookmarkEnd w:id="475"/>
    <w:bookmarkEnd w:id="476"/>
    <w:bookmarkEnd w:id="477"/>
    <w:bookmarkEnd w:id="478"/>
    <w:p w14:paraId="2B01E85D">
      <w:pPr>
        <w:pStyle w:val="4"/>
        <w:bidi w:val="0"/>
        <w:rPr>
          <w:rFonts w:hint="eastAsia"/>
          <w:color w:val="auto"/>
          <w:lang w:val="en-US" w:eastAsia="zh-CN"/>
        </w:rPr>
      </w:pPr>
      <w:bookmarkStart w:id="480" w:name="_Toc18298"/>
      <w:bookmarkStart w:id="481" w:name="_Toc26158"/>
      <w:bookmarkStart w:id="482" w:name="_Toc10018"/>
      <w:bookmarkStart w:id="483" w:name="_Toc29456"/>
      <w:bookmarkStart w:id="484" w:name="_Toc31481"/>
      <w:bookmarkStart w:id="485" w:name="_Toc9116"/>
      <w:bookmarkStart w:id="486" w:name="_Toc16302"/>
      <w:bookmarkStart w:id="487" w:name="_Toc25205"/>
      <w:r>
        <w:rPr>
          <w:rFonts w:hint="eastAsia"/>
          <w:color w:val="auto"/>
          <w:lang w:val="en-US" w:eastAsia="zh-CN"/>
        </w:rPr>
        <w:t>2.11.10 安全风险分级管控和隐患排查治理</w:t>
      </w:r>
      <w:bookmarkEnd w:id="480"/>
      <w:bookmarkEnd w:id="481"/>
      <w:bookmarkEnd w:id="482"/>
      <w:bookmarkEnd w:id="483"/>
      <w:bookmarkEnd w:id="484"/>
      <w:bookmarkEnd w:id="485"/>
      <w:bookmarkEnd w:id="486"/>
      <w:bookmarkEnd w:id="487"/>
    </w:p>
    <w:p w14:paraId="67536042">
      <w:pPr>
        <w:bidi w:val="0"/>
        <w:rPr>
          <w:rFonts w:hint="eastAsia"/>
          <w:color w:val="auto"/>
          <w:lang w:val="en-US" w:eastAsia="zh-CN"/>
        </w:rPr>
      </w:pPr>
      <w:r>
        <w:rPr>
          <w:rFonts w:hint="eastAsia"/>
          <w:color w:val="auto"/>
          <w:lang w:val="en-US" w:eastAsia="zh-CN"/>
        </w:rPr>
        <w:t>1）风险分级管控体系建设</w:t>
      </w:r>
    </w:p>
    <w:p w14:paraId="4D73D786">
      <w:pPr>
        <w:bidi w:val="0"/>
        <w:rPr>
          <w:rFonts w:hint="eastAsia"/>
          <w:color w:val="auto"/>
          <w:lang w:val="en-US" w:eastAsia="zh-CN"/>
        </w:rPr>
      </w:pPr>
      <w:r>
        <w:rPr>
          <w:rFonts w:hint="eastAsia"/>
          <w:color w:val="auto"/>
          <w:lang w:val="en-US" w:eastAsia="zh-CN"/>
        </w:rPr>
        <w:t>按照国家及江西省关于构建双重预防机制的要求，茅排金矿制定了风险分级管控体系，绘制了四色安全风险空间分布图，建立了管控责任清单、管控措施清单和应急处置措施清单，在关键场所设置了风险告知牌。风险分级管控体系较为完善。</w:t>
      </w:r>
    </w:p>
    <w:p w14:paraId="77BD51E2">
      <w:pPr>
        <w:bidi w:val="0"/>
        <w:rPr>
          <w:rFonts w:hint="eastAsia"/>
          <w:color w:val="auto"/>
          <w:lang w:val="en-US" w:eastAsia="zh-CN"/>
        </w:rPr>
      </w:pPr>
      <w:r>
        <w:rPr>
          <w:rFonts w:hint="eastAsia"/>
          <w:color w:val="auto"/>
          <w:lang w:val="en-US" w:eastAsia="zh-CN"/>
        </w:rPr>
        <w:t>2）隐患排查体系建设情况</w:t>
      </w:r>
    </w:p>
    <w:p w14:paraId="3E2BDB9B">
      <w:pPr>
        <w:bidi w:val="0"/>
        <w:rPr>
          <w:rFonts w:hint="eastAsia"/>
          <w:color w:val="auto"/>
        </w:rPr>
      </w:pPr>
      <w:r>
        <w:rPr>
          <w:rFonts w:hint="eastAsia"/>
          <w:color w:val="auto"/>
          <w:lang w:val="en-US" w:eastAsia="zh-CN"/>
        </w:rPr>
        <w:t>茅排金矿</w:t>
      </w:r>
      <w:r>
        <w:rPr>
          <w:rFonts w:hint="eastAsia"/>
          <w:color w:val="auto"/>
        </w:rPr>
        <w:t>已按要求建立了隐患排查治理体系，制定了详细的隐患排查制度</w:t>
      </w:r>
      <w:r>
        <w:rPr>
          <w:rFonts w:hint="eastAsia"/>
          <w:color w:val="auto"/>
          <w:lang w:val="en-US" w:eastAsia="zh-CN"/>
        </w:rPr>
        <w:t>和排查计划</w:t>
      </w:r>
      <w:r>
        <w:rPr>
          <w:rFonts w:hint="eastAsia"/>
          <w:color w:val="auto"/>
        </w:rPr>
        <w:t>，按</w:t>
      </w:r>
      <w:r>
        <w:rPr>
          <w:rFonts w:hint="eastAsia"/>
          <w:color w:val="auto"/>
          <w:lang w:val="en-US" w:eastAsia="zh-CN"/>
        </w:rPr>
        <w:t>计划</w:t>
      </w:r>
      <w:r>
        <w:rPr>
          <w:rFonts w:hint="eastAsia"/>
          <w:color w:val="auto"/>
        </w:rPr>
        <w:t>进行隐患排查，</w:t>
      </w:r>
      <w:r>
        <w:rPr>
          <w:rFonts w:hint="eastAsia"/>
          <w:color w:val="auto"/>
          <w:lang w:val="en-US" w:eastAsia="zh-CN"/>
        </w:rPr>
        <w:t>对查出的隐患</w:t>
      </w:r>
      <w:r>
        <w:rPr>
          <w:rFonts w:hint="eastAsia"/>
          <w:color w:val="auto"/>
        </w:rPr>
        <w:t>制定并实施严格的隐患治理方案，做到责任、措施、资金、时限和预案“五落实”，实现隐患排查治理的闭环管理。</w:t>
      </w:r>
    </w:p>
    <w:p w14:paraId="51925EE2">
      <w:pPr>
        <w:bidi w:val="0"/>
        <w:rPr>
          <w:rFonts w:hint="eastAsia" w:ascii="宋体" w:hAnsi="宋体" w:eastAsia="宋体"/>
          <w:color w:val="auto"/>
          <w:lang w:val="en-US" w:eastAsia="zh-CN"/>
        </w:rPr>
      </w:pPr>
      <w:bookmarkStart w:id="488" w:name="_Toc4500"/>
      <w:bookmarkStart w:id="489" w:name="_Toc19306"/>
      <w:bookmarkStart w:id="490" w:name="_Toc11489"/>
      <w:bookmarkStart w:id="491" w:name="_Toc18339"/>
      <w:bookmarkStart w:id="492" w:name="_Toc10078"/>
      <w:bookmarkStart w:id="493" w:name="_Toc16159"/>
      <w:bookmarkStart w:id="494" w:name="_Toc16225"/>
      <w:r>
        <w:rPr>
          <w:rFonts w:hint="eastAsia" w:ascii="宋体" w:hAnsi="宋体" w:eastAsia="宋体"/>
          <w:color w:val="auto"/>
          <w:lang w:val="en-US" w:eastAsia="zh-CN"/>
        </w:rPr>
        <w:t>今年1-3月累计开展各类检查6次，共查出隐患12条，均已闭环整改到位。</w:t>
      </w:r>
    </w:p>
    <w:p w14:paraId="649170DB">
      <w:pPr>
        <w:pStyle w:val="4"/>
        <w:bidi w:val="0"/>
        <w:rPr>
          <w:rFonts w:hint="eastAsia"/>
          <w:color w:val="auto"/>
          <w:lang w:val="en-US" w:eastAsia="zh-CN"/>
        </w:rPr>
      </w:pPr>
      <w:bookmarkStart w:id="495" w:name="_Toc2141"/>
      <w:r>
        <w:rPr>
          <w:rFonts w:hint="eastAsia"/>
          <w:color w:val="auto"/>
          <w:lang w:val="en-US" w:eastAsia="zh-CN"/>
        </w:rPr>
        <w:t>2.11.11生产安全事故情况</w:t>
      </w:r>
      <w:bookmarkEnd w:id="488"/>
      <w:bookmarkEnd w:id="489"/>
      <w:bookmarkEnd w:id="490"/>
      <w:bookmarkEnd w:id="491"/>
      <w:bookmarkEnd w:id="492"/>
      <w:bookmarkEnd w:id="493"/>
      <w:bookmarkEnd w:id="494"/>
      <w:bookmarkEnd w:id="495"/>
    </w:p>
    <w:p w14:paraId="6F077899">
      <w:pPr>
        <w:bidi w:val="0"/>
        <w:rPr>
          <w:rFonts w:hint="eastAsia" w:ascii="宋体" w:hAnsi="宋体" w:cs="宋体"/>
          <w:color w:val="auto"/>
          <w:spacing w:val="-6"/>
          <w:sz w:val="28"/>
          <w:szCs w:val="28"/>
        </w:rPr>
      </w:pPr>
      <w:bookmarkStart w:id="496" w:name="_Toc30804"/>
      <w:bookmarkStart w:id="497" w:name="_Toc7434"/>
      <w:r>
        <w:rPr>
          <w:rFonts w:hint="eastAsia" w:ascii="宋体" w:hAnsi="宋体" w:eastAsia="宋体"/>
          <w:color w:val="auto"/>
          <w:spacing w:val="-6"/>
          <w:sz w:val="28"/>
          <w:lang w:val="en-US" w:eastAsia="zh-CN"/>
        </w:rPr>
        <w:t>三年来，茅排金矿无重伤、死亡或其他重大生产安全事故和职业病发生。</w:t>
      </w:r>
    </w:p>
    <w:p w14:paraId="743BBAB1">
      <w:pPr>
        <w:pStyle w:val="3"/>
        <w:bidi w:val="0"/>
        <w:rPr>
          <w:rFonts w:hint="eastAsia"/>
          <w:color w:val="auto"/>
          <w:lang w:val="en-US" w:eastAsia="zh-CN"/>
        </w:rPr>
      </w:pPr>
      <w:bookmarkStart w:id="498" w:name="_Toc4504"/>
      <w:r>
        <w:rPr>
          <w:rFonts w:hint="eastAsia"/>
          <w:color w:val="auto"/>
          <w:lang w:val="en-US" w:eastAsia="zh-CN"/>
        </w:rPr>
        <w:t>2.12 隐蔽致灾因素普查治理情况</w:t>
      </w:r>
      <w:bookmarkEnd w:id="496"/>
      <w:bookmarkEnd w:id="497"/>
      <w:bookmarkEnd w:id="498"/>
    </w:p>
    <w:p w14:paraId="3D1EDEA6">
      <w:pPr>
        <w:bidi w:val="0"/>
        <w:rPr>
          <w:rFonts w:hint="eastAsia"/>
          <w:color w:val="auto"/>
        </w:rPr>
      </w:pPr>
      <w:r>
        <w:rPr>
          <w:rFonts w:hint="eastAsia"/>
          <w:color w:val="auto"/>
          <w:lang w:val="en-US" w:eastAsia="zh-CN"/>
        </w:rPr>
        <w:t>2024年3月，</w:t>
      </w:r>
      <w:r>
        <w:rPr>
          <w:rFonts w:hint="eastAsia"/>
          <w:color w:val="auto"/>
        </w:rPr>
        <w:t>江西普瑞智工程技术有限公司</w:t>
      </w:r>
      <w:r>
        <w:rPr>
          <w:rFonts w:hint="eastAsia"/>
          <w:color w:val="auto"/>
          <w:lang w:val="en-US" w:eastAsia="zh-CN"/>
        </w:rPr>
        <w:t>和</w:t>
      </w:r>
      <w:r>
        <w:rPr>
          <w:rFonts w:hint="eastAsia"/>
          <w:color w:val="auto"/>
        </w:rPr>
        <w:t>江西省勘察设计研究院有限公司</w:t>
      </w:r>
      <w:r>
        <w:rPr>
          <w:rFonts w:hint="eastAsia"/>
          <w:color w:val="auto"/>
          <w:lang w:val="en-US" w:eastAsia="zh-CN"/>
        </w:rPr>
        <w:t>编制了《</w:t>
      </w:r>
      <w:r>
        <w:rPr>
          <w:rFonts w:hint="eastAsia"/>
          <w:color w:val="auto"/>
        </w:rPr>
        <w:t>江西临川鲁金矿业有限公司茅排金矿隐蔽致灾因素普查治理报告</w:t>
      </w:r>
      <w:r>
        <w:rPr>
          <w:rFonts w:hint="eastAsia"/>
          <w:color w:val="auto"/>
          <w:lang w:val="en-US" w:eastAsia="zh-CN"/>
        </w:rPr>
        <w:t>》。</w:t>
      </w:r>
      <w:r>
        <w:rPr>
          <w:rFonts w:hint="eastAsia"/>
          <w:color w:val="auto"/>
        </w:rPr>
        <w:t>2024年</w:t>
      </w:r>
      <w:r>
        <w:rPr>
          <w:rFonts w:hint="eastAsia"/>
          <w:color w:val="auto"/>
          <w:lang w:val="en-US" w:eastAsia="zh-CN"/>
        </w:rPr>
        <w:t>3</w:t>
      </w:r>
      <w:r>
        <w:rPr>
          <w:rFonts w:hint="eastAsia"/>
          <w:color w:val="auto"/>
        </w:rPr>
        <w:t>月1</w:t>
      </w:r>
      <w:r>
        <w:rPr>
          <w:rFonts w:hint="eastAsia"/>
          <w:color w:val="auto"/>
          <w:lang w:val="en-US" w:eastAsia="zh-CN"/>
        </w:rPr>
        <w:t>8</w:t>
      </w:r>
      <w:r>
        <w:rPr>
          <w:rFonts w:hint="eastAsia"/>
          <w:color w:val="auto"/>
        </w:rPr>
        <w:t>日，</w:t>
      </w:r>
      <w:r>
        <w:rPr>
          <w:rFonts w:hint="eastAsia"/>
          <w:color w:val="auto"/>
          <w:lang w:val="en-US" w:eastAsia="zh-CN"/>
        </w:rPr>
        <w:t>该报告通过了抚州</w:t>
      </w:r>
      <w:r>
        <w:rPr>
          <w:rFonts w:hint="eastAsia"/>
          <w:color w:val="auto"/>
        </w:rPr>
        <w:t>市应急管理局组织</w:t>
      </w:r>
      <w:r>
        <w:rPr>
          <w:rFonts w:hint="eastAsia"/>
          <w:color w:val="auto"/>
          <w:lang w:val="en-US" w:eastAsia="zh-CN"/>
        </w:rPr>
        <w:t>的专</w:t>
      </w:r>
      <w:r>
        <w:rPr>
          <w:rFonts w:hint="eastAsia"/>
          <w:color w:val="auto"/>
        </w:rPr>
        <w:t>家审查。</w:t>
      </w:r>
    </w:p>
    <w:p w14:paraId="1C1EAD39">
      <w:pPr>
        <w:pStyle w:val="4"/>
        <w:bidi w:val="0"/>
        <w:rPr>
          <w:rFonts w:hint="eastAsia"/>
          <w:color w:val="auto"/>
          <w:lang w:val="en-US" w:eastAsia="zh-CN"/>
        </w:rPr>
      </w:pPr>
      <w:bookmarkStart w:id="499" w:name="_Toc8004"/>
      <w:bookmarkStart w:id="500" w:name="_Toc26003"/>
      <w:r>
        <w:rPr>
          <w:rFonts w:hint="eastAsia"/>
          <w:color w:val="auto"/>
          <w:lang w:val="en-US" w:eastAsia="zh-CN"/>
        </w:rPr>
        <w:t>2.12.1 隐蔽致灾因素普查方法</w:t>
      </w:r>
      <w:bookmarkEnd w:id="499"/>
      <w:bookmarkEnd w:id="500"/>
    </w:p>
    <w:p w14:paraId="54A4EAF1">
      <w:pPr>
        <w:bidi w:val="0"/>
        <w:rPr>
          <w:rFonts w:hint="default"/>
          <w:color w:val="auto"/>
          <w:lang w:eastAsia="zh-CN"/>
        </w:rPr>
      </w:pPr>
      <w:r>
        <w:rPr>
          <w:rFonts w:hint="default"/>
          <w:color w:val="auto"/>
          <w:lang w:eastAsia="zh-CN"/>
        </w:rPr>
        <w:t>隐蔽致灾因素普查采用调查访问、物探和三维激光扫描等方法开展，基本查明采空区分布（包括位置、形态、面积、高度、跨度、体积）、形成时间、积水状况等情况，废弃的矿井（井筒）闭坑时间、开采范围、井巷分布、积水状况，已实施采空区治理工程的方法、位置及工程情况；基本查明地下含水体、地下岩溶、陷落柱、主要导水断层和地表水体、不良钻孔等详细情况；查明主要地质构造、地压活动区域和矿山地压防治工作情况；查明自燃倾向性和外因火灾及防范工作情况。</w:t>
      </w:r>
    </w:p>
    <w:p w14:paraId="2B92EF6B">
      <w:pPr>
        <w:pStyle w:val="4"/>
        <w:bidi w:val="0"/>
        <w:rPr>
          <w:rFonts w:hint="eastAsia"/>
          <w:color w:val="auto"/>
          <w:lang w:val="en-US" w:eastAsia="zh-CN"/>
        </w:rPr>
      </w:pPr>
      <w:bookmarkStart w:id="501" w:name="_Toc20505"/>
      <w:r>
        <w:rPr>
          <w:rFonts w:hint="eastAsia"/>
          <w:color w:val="auto"/>
          <w:lang w:val="en-US" w:eastAsia="zh-CN"/>
        </w:rPr>
        <w:t>2.12.2 采空区普查治理</w:t>
      </w:r>
      <w:bookmarkEnd w:id="501"/>
    </w:p>
    <w:p w14:paraId="5F418E79">
      <w:pPr>
        <w:bidi w:val="0"/>
        <w:rPr>
          <w:rFonts w:hint="default"/>
          <w:color w:val="auto"/>
          <w:lang w:val="en-US" w:eastAsia="zh-CN"/>
        </w:rPr>
      </w:pPr>
      <w:r>
        <w:rPr>
          <w:rFonts w:hint="default"/>
          <w:color w:val="auto"/>
          <w:lang w:val="en-US" w:eastAsia="zh-CN"/>
        </w:rPr>
        <w:t>1）采空区普查成果</w:t>
      </w:r>
    </w:p>
    <w:p w14:paraId="0E50B400">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估算总采空区体积</w:t>
      </w:r>
    </w:p>
    <w:p w14:paraId="7F37774A">
      <w:pPr>
        <w:bidi w:val="0"/>
        <w:rPr>
          <w:rFonts w:hint="default"/>
          <w:color w:val="auto"/>
          <w:lang w:val="en-US" w:eastAsia="zh-CN"/>
        </w:rPr>
      </w:pPr>
      <w:r>
        <w:rPr>
          <w:color w:val="auto"/>
        </w:rPr>
        <w:t>估算总采空区体积</w:t>
      </w:r>
      <w:r>
        <w:rPr>
          <w:rFonts w:hint="eastAsia"/>
          <w:color w:val="auto"/>
          <w:lang w:val="en-US" w:eastAsia="zh-CN"/>
        </w:rPr>
        <w:t>为</w:t>
      </w:r>
      <w:r>
        <w:rPr>
          <w:rFonts w:hint="default"/>
          <w:color w:val="auto"/>
        </w:rPr>
        <w:t>4.83</w:t>
      </w:r>
      <w:r>
        <w:rPr>
          <w:rFonts w:hint="eastAsia"/>
          <w:color w:val="auto"/>
        </w:rPr>
        <w:t>万</w:t>
      </w:r>
      <w:r>
        <w:rPr>
          <w:rFonts w:hint="default"/>
          <w:color w:val="auto"/>
        </w:rPr>
        <w:t>m</w:t>
      </w:r>
      <w:r>
        <w:rPr>
          <w:rFonts w:hint="default"/>
          <w:color w:val="auto"/>
          <w:vertAlign w:val="superscript"/>
        </w:rPr>
        <w:t>3</w:t>
      </w:r>
      <w:r>
        <w:rPr>
          <w:rFonts w:hint="eastAsia"/>
          <w:color w:val="auto"/>
          <w:lang w:eastAsia="zh-CN"/>
        </w:rPr>
        <w:t>，</w:t>
      </w:r>
      <w:r>
        <w:rPr>
          <w:rFonts w:hint="eastAsia"/>
          <w:color w:val="auto"/>
        </w:rPr>
        <w:t>包括实测采空区、</w:t>
      </w:r>
      <w:r>
        <w:rPr>
          <w:rFonts w:hint="default"/>
          <w:color w:val="auto"/>
          <w:lang w:val="en-US" w:eastAsia="zh-CN"/>
        </w:rPr>
        <w:t>开采初期</w:t>
      </w:r>
      <w:r>
        <w:rPr>
          <w:rFonts w:hint="eastAsia"/>
          <w:color w:val="auto"/>
        </w:rPr>
        <w:t>已封闭采空区、早期民采形成采空区。</w:t>
      </w:r>
      <w:r>
        <w:rPr>
          <w:rFonts w:hint="eastAsia"/>
          <w:color w:val="auto"/>
          <w:lang w:val="en-US" w:eastAsia="zh-CN"/>
        </w:rPr>
        <w:t>具体情况如下：</w:t>
      </w:r>
    </w:p>
    <w:p w14:paraId="2B11B0EA">
      <w:pPr>
        <w:bidi w:val="0"/>
        <w:rPr>
          <w:rFonts w:hint="default"/>
          <w:color w:val="auto"/>
          <w:lang w:eastAsia="zh-CN"/>
        </w:rPr>
      </w:pPr>
      <w:r>
        <w:rPr>
          <w:rFonts w:hint="eastAsia"/>
          <w:color w:val="auto"/>
          <w:lang w:eastAsia="zh-CN"/>
        </w:rPr>
        <w:fldChar w:fldCharType="begin"/>
      </w:r>
      <w:r>
        <w:rPr>
          <w:rFonts w:hint="eastAsia"/>
          <w:color w:val="auto"/>
          <w:lang w:eastAsia="zh-CN"/>
        </w:rPr>
        <w:instrText xml:space="preserve"> = 1 \* GB3 \* MERGEFORMAT </w:instrText>
      </w:r>
      <w:r>
        <w:rPr>
          <w:rFonts w:hint="eastAsia"/>
          <w:color w:val="auto"/>
          <w:lang w:eastAsia="zh-CN"/>
        </w:rPr>
        <w:fldChar w:fldCharType="separate"/>
      </w:r>
      <w:r>
        <w:rPr>
          <w:color w:val="auto"/>
        </w:rPr>
        <w:t>①</w:t>
      </w:r>
      <w:r>
        <w:rPr>
          <w:rFonts w:hint="eastAsia"/>
          <w:color w:val="auto"/>
          <w:lang w:eastAsia="zh-CN"/>
        </w:rPr>
        <w:fldChar w:fldCharType="end"/>
      </w:r>
      <w:r>
        <w:rPr>
          <w:rFonts w:hint="default"/>
          <w:color w:val="auto"/>
          <w:lang w:eastAsia="zh-CN"/>
        </w:rPr>
        <w:t>实测采空区</w:t>
      </w:r>
    </w:p>
    <w:p w14:paraId="7C9314BC">
      <w:pPr>
        <w:bidi w:val="0"/>
        <w:rPr>
          <w:rFonts w:hint="default"/>
          <w:color w:val="auto"/>
          <w:lang w:eastAsia="zh-CN"/>
        </w:rPr>
      </w:pPr>
      <w:r>
        <w:rPr>
          <w:rFonts w:hint="default"/>
          <w:color w:val="auto"/>
          <w:lang w:eastAsia="zh-CN"/>
        </w:rPr>
        <w:t>茅排金矿人员能进入实测的采空区总体积为3.39万m</w:t>
      </w:r>
      <w:r>
        <w:rPr>
          <w:rFonts w:hint="default"/>
          <w:color w:val="auto"/>
          <w:vertAlign w:val="superscript"/>
          <w:lang w:eastAsia="zh-CN"/>
        </w:rPr>
        <w:t>3</w:t>
      </w:r>
      <w:r>
        <w:rPr>
          <w:rFonts w:hint="eastAsia"/>
          <w:color w:val="auto"/>
          <w:lang w:val="en-US" w:eastAsia="zh-CN"/>
        </w:rPr>
        <w:t>，分布在</w:t>
      </w:r>
      <w:r>
        <w:rPr>
          <w:rFonts w:hint="default"/>
          <w:color w:val="auto"/>
          <w:lang w:eastAsia="zh-CN"/>
        </w:rPr>
        <w:t>+270m、+320m中段</w:t>
      </w:r>
      <w:r>
        <w:rPr>
          <w:rFonts w:hint="eastAsia"/>
          <w:color w:val="auto"/>
          <w:lang w:eastAsia="zh-CN"/>
        </w:rPr>
        <w:t>，</w:t>
      </w:r>
      <w:r>
        <w:rPr>
          <w:rFonts w:hint="default"/>
          <w:color w:val="auto"/>
          <w:lang w:eastAsia="zh-CN"/>
        </w:rPr>
        <w:t>共有8处采空区，主要分布在茅排金矿矿区1线、11~19线、43线，+270m中段走向长约717.35m、+320m中段走向长约521.16m，方位角约为41°</w:t>
      </w:r>
      <w:r>
        <w:rPr>
          <w:rFonts w:hint="eastAsia"/>
          <w:color w:val="auto"/>
          <w:lang w:eastAsia="zh-CN"/>
        </w:rPr>
        <w:t>，</w:t>
      </w:r>
      <w:r>
        <w:rPr>
          <w:color w:val="auto"/>
        </w:rPr>
        <w:t>茅排金矿采空区实测</w:t>
      </w:r>
      <w:r>
        <w:rPr>
          <w:rFonts w:hint="eastAsia"/>
          <w:color w:val="auto"/>
          <w:lang w:val="en-US" w:eastAsia="zh-CN"/>
        </w:rPr>
        <w:t>情况</w:t>
      </w:r>
      <w:r>
        <w:rPr>
          <w:rFonts w:hint="default"/>
          <w:color w:val="auto"/>
          <w:lang w:val="en-US" w:eastAsia="zh-CN"/>
        </w:rPr>
        <w:t>见</w:t>
      </w:r>
      <w:r>
        <w:rPr>
          <w:color w:val="auto"/>
        </w:rPr>
        <w:t>表</w:t>
      </w:r>
      <w:r>
        <w:rPr>
          <w:rFonts w:hint="default"/>
          <w:color w:val="auto"/>
          <w:lang w:val="en-US" w:eastAsia="zh-CN"/>
        </w:rPr>
        <w:t>2.12</w:t>
      </w:r>
      <w:r>
        <w:rPr>
          <w:color w:val="auto"/>
        </w:rPr>
        <w:t>-</w:t>
      </w:r>
      <w:r>
        <w:rPr>
          <w:rFonts w:hint="default"/>
          <w:color w:val="auto"/>
          <w:lang w:val="en-US" w:eastAsia="zh-CN"/>
        </w:rPr>
        <w:t>1</w:t>
      </w:r>
      <w:r>
        <w:rPr>
          <w:rFonts w:hint="eastAsia"/>
          <w:color w:val="auto"/>
          <w:lang w:val="en-US" w:eastAsia="zh-CN"/>
        </w:rPr>
        <w:t>。</w:t>
      </w:r>
      <w:r>
        <w:rPr>
          <w:color w:val="auto"/>
        </w:rPr>
        <w:t xml:space="preserve"> </w:t>
      </w:r>
    </w:p>
    <w:p w14:paraId="5AE55726">
      <w:pPr>
        <w:widowControl w:val="0"/>
        <w:kinsoku/>
        <w:adjustRightInd/>
        <w:snapToGrid/>
        <w:spacing w:line="560" w:lineRule="exact"/>
        <w:ind w:firstLine="560"/>
        <w:jc w:val="center"/>
        <w:textAlignment w:val="auto"/>
        <w:rPr>
          <w:rFonts w:ascii="Arial" w:hAnsi="Arial" w:eastAsia="Arial" w:cs="Arial"/>
          <w:b w:val="0"/>
          <w:color w:val="auto"/>
          <w:spacing w:val="0"/>
          <w:sz w:val="24"/>
          <w:szCs w:val="24"/>
        </w:rPr>
      </w:pPr>
      <w:r>
        <w:rPr>
          <w:rFonts w:ascii="Arial" w:hAnsi="Arial" w:eastAsia="Arial" w:cs="Arial"/>
          <w:b w:val="0"/>
          <w:color w:val="auto"/>
          <w:spacing w:val="0"/>
          <w:sz w:val="24"/>
          <w:szCs w:val="24"/>
        </w:rPr>
        <w:br w:type="page"/>
      </w:r>
    </w:p>
    <w:tbl>
      <w:tblPr>
        <w:tblStyle w:val="18"/>
        <w:tblW w:w="8400" w:type="dxa"/>
        <w:jc w:val="center"/>
        <w:tblLayout w:type="fixed"/>
        <w:tblCellMar>
          <w:top w:w="0" w:type="dxa"/>
          <w:left w:w="108" w:type="dxa"/>
          <w:bottom w:w="0" w:type="dxa"/>
          <w:right w:w="108" w:type="dxa"/>
        </w:tblCellMar>
      </w:tblPr>
      <w:tblGrid>
        <w:gridCol w:w="3041"/>
        <w:gridCol w:w="1317"/>
        <w:gridCol w:w="1454"/>
        <w:gridCol w:w="1273"/>
        <w:gridCol w:w="1315"/>
      </w:tblGrid>
      <w:tr w14:paraId="677805B7">
        <w:tblPrEx>
          <w:tblCellMar>
            <w:top w:w="0" w:type="dxa"/>
            <w:left w:w="108" w:type="dxa"/>
            <w:bottom w:w="0" w:type="dxa"/>
            <w:right w:w="108" w:type="dxa"/>
          </w:tblCellMar>
        </w:tblPrEx>
        <w:trPr>
          <w:trHeight w:val="504" w:hRule="atLeast"/>
          <w:jc w:val="center"/>
        </w:trPr>
        <w:tc>
          <w:tcPr>
            <w:tcW w:w="8400" w:type="dxa"/>
            <w:gridSpan w:val="5"/>
            <w:tcBorders>
              <w:top w:val="nil"/>
              <w:left w:val="nil"/>
              <w:bottom w:val="single" w:color="auto" w:sz="4" w:space="0"/>
              <w:right w:val="nil"/>
            </w:tcBorders>
            <w:vAlign w:val="center"/>
          </w:tcPr>
          <w:p w14:paraId="04086F39">
            <w:pPr>
              <w:keepNext w:val="0"/>
              <w:keepLines w:val="0"/>
              <w:pageBreakBefore w:val="0"/>
              <w:widowControl w:val="0"/>
              <w:kinsoku/>
              <w:wordWrap/>
              <w:overflowPunct/>
              <w:topLinePunct w:val="0"/>
              <w:autoSpaceDE/>
              <w:autoSpaceDN/>
              <w:bidi w:val="0"/>
              <w:adjustRightInd/>
              <w:snapToGrid/>
              <w:spacing w:line="320" w:lineRule="exact"/>
              <w:ind w:firstLine="560"/>
              <w:jc w:val="center"/>
              <w:textAlignment w:val="auto"/>
              <w:rPr>
                <w:rFonts w:hint="eastAsia" w:ascii="Arial" w:hAnsi="Arial" w:eastAsia="宋体" w:cs="Arial"/>
                <w:b w:val="0"/>
                <w:color w:val="auto"/>
                <w:spacing w:val="0"/>
                <w:sz w:val="21"/>
                <w:szCs w:val="21"/>
                <w:lang w:eastAsia="zh-CN"/>
              </w:rPr>
            </w:pPr>
            <w:r>
              <w:rPr>
                <w:rFonts w:ascii="Arial" w:hAnsi="Arial" w:eastAsia="Arial" w:cs="Arial"/>
                <w:b w:val="0"/>
                <w:color w:val="auto"/>
                <w:spacing w:val="0"/>
                <w:sz w:val="24"/>
                <w:szCs w:val="24"/>
              </w:rPr>
              <w:t>表</w:t>
            </w:r>
            <w:r>
              <w:rPr>
                <w:rFonts w:hint="eastAsia" w:ascii="Arial" w:hAnsi="Arial" w:eastAsia="宋体" w:cs="Arial"/>
                <w:b w:val="0"/>
                <w:color w:val="auto"/>
                <w:spacing w:val="0"/>
                <w:sz w:val="24"/>
                <w:szCs w:val="24"/>
                <w:lang w:val="en-US" w:eastAsia="zh-CN"/>
              </w:rPr>
              <w:t>2.12</w:t>
            </w:r>
            <w:r>
              <w:rPr>
                <w:rFonts w:ascii="Arial" w:hAnsi="Arial" w:eastAsia="Arial" w:cs="Arial"/>
                <w:b w:val="0"/>
                <w:color w:val="auto"/>
                <w:spacing w:val="0"/>
                <w:sz w:val="24"/>
                <w:szCs w:val="24"/>
              </w:rPr>
              <w:t>-</w:t>
            </w:r>
            <w:r>
              <w:rPr>
                <w:rFonts w:hint="eastAsia" w:ascii="Arial" w:hAnsi="Arial" w:eastAsia="宋体" w:cs="Arial"/>
                <w:b w:val="0"/>
                <w:color w:val="auto"/>
                <w:spacing w:val="0"/>
                <w:sz w:val="24"/>
                <w:szCs w:val="24"/>
                <w:lang w:val="en-US" w:eastAsia="zh-CN"/>
              </w:rPr>
              <w:t>1</w:t>
            </w:r>
            <w:r>
              <w:rPr>
                <w:rFonts w:ascii="Arial" w:hAnsi="Arial" w:eastAsia="Arial" w:cs="Arial"/>
                <w:b w:val="0"/>
                <w:color w:val="auto"/>
                <w:spacing w:val="0"/>
                <w:sz w:val="24"/>
                <w:szCs w:val="24"/>
              </w:rPr>
              <w:t xml:space="preserve">   茅排金矿采空区实测</w:t>
            </w:r>
            <w:r>
              <w:rPr>
                <w:rFonts w:hint="eastAsia" w:ascii="Arial" w:hAnsi="Arial" w:eastAsia="宋体" w:cs="Arial"/>
                <w:b w:val="0"/>
                <w:color w:val="auto"/>
                <w:spacing w:val="0"/>
                <w:sz w:val="24"/>
                <w:szCs w:val="24"/>
                <w:lang w:val="en-US" w:eastAsia="zh-CN"/>
              </w:rPr>
              <w:t>情况</w:t>
            </w:r>
          </w:p>
        </w:tc>
      </w:tr>
      <w:tr w14:paraId="3AB529D3">
        <w:tblPrEx>
          <w:tblCellMar>
            <w:top w:w="0" w:type="dxa"/>
            <w:left w:w="108" w:type="dxa"/>
            <w:bottom w:w="0" w:type="dxa"/>
            <w:right w:w="108" w:type="dxa"/>
          </w:tblCellMar>
        </w:tblPrEx>
        <w:trPr>
          <w:trHeight w:val="549" w:hRule="atLeast"/>
          <w:jc w:val="center"/>
        </w:trPr>
        <w:tc>
          <w:tcPr>
            <w:tcW w:w="3041" w:type="dxa"/>
            <w:tcBorders>
              <w:top w:val="nil"/>
              <w:left w:val="single" w:color="auto" w:sz="4" w:space="0"/>
              <w:bottom w:val="single" w:color="auto" w:sz="4" w:space="0"/>
              <w:right w:val="single" w:color="auto" w:sz="4" w:space="0"/>
            </w:tcBorders>
            <w:vAlign w:val="center"/>
          </w:tcPr>
          <w:p w14:paraId="66F56038">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名称</w:t>
            </w:r>
          </w:p>
          <w:p w14:paraId="72A91A88">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（中段-矿体编号-序号）</w:t>
            </w:r>
          </w:p>
        </w:tc>
        <w:tc>
          <w:tcPr>
            <w:tcW w:w="1317" w:type="dxa"/>
            <w:tcBorders>
              <w:top w:val="single" w:color="auto" w:sz="4" w:space="0"/>
              <w:left w:val="nil"/>
              <w:bottom w:val="single" w:color="auto" w:sz="4" w:space="0"/>
              <w:right w:val="single" w:color="auto" w:sz="4" w:space="0"/>
            </w:tcBorders>
            <w:vAlign w:val="center"/>
          </w:tcPr>
          <w:p w14:paraId="04AC0B27">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形成时间</w:t>
            </w:r>
          </w:p>
        </w:tc>
        <w:tc>
          <w:tcPr>
            <w:tcW w:w="1454" w:type="dxa"/>
            <w:tcBorders>
              <w:top w:val="single" w:color="auto" w:sz="4" w:space="0"/>
              <w:left w:val="single" w:color="auto" w:sz="4" w:space="0"/>
              <w:bottom w:val="single" w:color="auto" w:sz="4" w:space="0"/>
              <w:right w:val="single" w:color="auto" w:sz="4" w:space="0"/>
            </w:tcBorders>
            <w:vAlign w:val="center"/>
          </w:tcPr>
          <w:p w14:paraId="5B056070">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体积（m³）</w:t>
            </w:r>
          </w:p>
        </w:tc>
        <w:tc>
          <w:tcPr>
            <w:tcW w:w="1273" w:type="dxa"/>
            <w:tcBorders>
              <w:top w:val="nil"/>
              <w:left w:val="nil"/>
              <w:bottom w:val="single" w:color="auto" w:sz="4" w:space="0"/>
              <w:right w:val="single" w:color="auto" w:sz="4" w:space="0"/>
            </w:tcBorders>
            <w:noWrap/>
            <w:vAlign w:val="center"/>
          </w:tcPr>
          <w:p w14:paraId="0A5301B4">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暴露面积（㎡）</w:t>
            </w:r>
          </w:p>
        </w:tc>
        <w:tc>
          <w:tcPr>
            <w:tcW w:w="1315" w:type="dxa"/>
            <w:tcBorders>
              <w:top w:val="nil"/>
              <w:left w:val="nil"/>
              <w:bottom w:val="single" w:color="auto" w:sz="4" w:space="0"/>
              <w:right w:val="single" w:color="auto" w:sz="4" w:space="0"/>
            </w:tcBorders>
            <w:noWrap/>
            <w:vAlign w:val="center"/>
          </w:tcPr>
          <w:p w14:paraId="6F0447EB">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平均采幅</w:t>
            </w:r>
          </w:p>
        </w:tc>
      </w:tr>
      <w:tr w14:paraId="2999C13E">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vAlign w:val="center"/>
          </w:tcPr>
          <w:p w14:paraId="25806D72">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320-11-1</w:t>
            </w:r>
          </w:p>
        </w:tc>
        <w:tc>
          <w:tcPr>
            <w:tcW w:w="1317" w:type="dxa"/>
            <w:tcBorders>
              <w:top w:val="single" w:color="auto" w:sz="4" w:space="0"/>
              <w:left w:val="nil"/>
              <w:bottom w:val="single" w:color="auto" w:sz="4" w:space="0"/>
              <w:right w:val="single" w:color="auto" w:sz="4" w:space="0"/>
            </w:tcBorders>
            <w:vAlign w:val="center"/>
          </w:tcPr>
          <w:p w14:paraId="04CD02EE">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2022.03</w:t>
            </w:r>
          </w:p>
        </w:tc>
        <w:tc>
          <w:tcPr>
            <w:tcW w:w="1454" w:type="dxa"/>
            <w:tcBorders>
              <w:top w:val="single" w:color="auto" w:sz="4" w:space="0"/>
              <w:left w:val="single" w:color="auto" w:sz="4" w:space="0"/>
              <w:bottom w:val="single" w:color="auto" w:sz="4" w:space="0"/>
              <w:right w:val="single" w:color="auto" w:sz="4" w:space="0"/>
            </w:tcBorders>
            <w:vAlign w:val="center"/>
          </w:tcPr>
          <w:p w14:paraId="1D61F2FC">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13550.62</w:t>
            </w:r>
          </w:p>
        </w:tc>
        <w:tc>
          <w:tcPr>
            <w:tcW w:w="1273" w:type="dxa"/>
            <w:tcBorders>
              <w:top w:val="nil"/>
              <w:left w:val="nil"/>
              <w:bottom w:val="single" w:color="auto" w:sz="4" w:space="0"/>
              <w:right w:val="single" w:color="auto" w:sz="4" w:space="0"/>
            </w:tcBorders>
            <w:noWrap/>
            <w:vAlign w:val="center"/>
          </w:tcPr>
          <w:p w14:paraId="5876C91C">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3214.13</w:t>
            </w:r>
          </w:p>
        </w:tc>
        <w:tc>
          <w:tcPr>
            <w:tcW w:w="1315" w:type="dxa"/>
            <w:vMerge w:val="restart"/>
            <w:tcBorders>
              <w:top w:val="nil"/>
              <w:left w:val="single" w:color="auto" w:sz="4" w:space="0"/>
              <w:bottom w:val="single" w:color="000000" w:sz="4" w:space="0"/>
              <w:right w:val="single" w:color="auto" w:sz="4" w:space="0"/>
            </w:tcBorders>
            <w:noWrap/>
            <w:vAlign w:val="center"/>
          </w:tcPr>
          <w:p w14:paraId="4C608CB5">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2.82</w:t>
            </w:r>
          </w:p>
        </w:tc>
      </w:tr>
      <w:tr w14:paraId="0D10D3F4">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vAlign w:val="center"/>
          </w:tcPr>
          <w:p w14:paraId="738AFFA6">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320-8-1</w:t>
            </w:r>
          </w:p>
        </w:tc>
        <w:tc>
          <w:tcPr>
            <w:tcW w:w="1317" w:type="dxa"/>
            <w:tcBorders>
              <w:top w:val="single" w:color="auto" w:sz="4" w:space="0"/>
              <w:left w:val="nil"/>
              <w:bottom w:val="single" w:color="auto" w:sz="4" w:space="0"/>
              <w:right w:val="single" w:color="auto" w:sz="4" w:space="0"/>
            </w:tcBorders>
            <w:vAlign w:val="center"/>
          </w:tcPr>
          <w:p w14:paraId="0E0BC857">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2021.08</w:t>
            </w:r>
          </w:p>
        </w:tc>
        <w:tc>
          <w:tcPr>
            <w:tcW w:w="1454" w:type="dxa"/>
            <w:tcBorders>
              <w:top w:val="single" w:color="auto" w:sz="4" w:space="0"/>
              <w:left w:val="single" w:color="auto" w:sz="4" w:space="0"/>
              <w:bottom w:val="single" w:color="auto" w:sz="4" w:space="0"/>
              <w:right w:val="single" w:color="auto" w:sz="4" w:space="0"/>
            </w:tcBorders>
            <w:vAlign w:val="center"/>
          </w:tcPr>
          <w:p w14:paraId="41C4404D">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4534.00</w:t>
            </w:r>
          </w:p>
        </w:tc>
        <w:tc>
          <w:tcPr>
            <w:tcW w:w="1273" w:type="dxa"/>
            <w:tcBorders>
              <w:top w:val="nil"/>
              <w:left w:val="nil"/>
              <w:bottom w:val="single" w:color="auto" w:sz="4" w:space="0"/>
              <w:right w:val="single" w:color="auto" w:sz="4" w:space="0"/>
            </w:tcBorders>
            <w:noWrap/>
            <w:vAlign w:val="center"/>
          </w:tcPr>
          <w:p w14:paraId="3FFFA11C">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2679.27</w:t>
            </w:r>
          </w:p>
        </w:tc>
        <w:tc>
          <w:tcPr>
            <w:tcW w:w="1315" w:type="dxa"/>
            <w:vMerge w:val="continue"/>
            <w:tcBorders>
              <w:top w:val="nil"/>
              <w:left w:val="single" w:color="auto" w:sz="4" w:space="0"/>
              <w:bottom w:val="single" w:color="000000" w:sz="4" w:space="0"/>
              <w:right w:val="single" w:color="auto" w:sz="4" w:space="0"/>
            </w:tcBorders>
            <w:vAlign w:val="center"/>
          </w:tcPr>
          <w:p w14:paraId="3B093042">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69C686E3">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vAlign w:val="center"/>
          </w:tcPr>
          <w:p w14:paraId="2BD92F8C">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320-8-2</w:t>
            </w:r>
          </w:p>
        </w:tc>
        <w:tc>
          <w:tcPr>
            <w:tcW w:w="1317" w:type="dxa"/>
            <w:tcBorders>
              <w:top w:val="single" w:color="auto" w:sz="4" w:space="0"/>
              <w:left w:val="nil"/>
              <w:bottom w:val="single" w:color="auto" w:sz="4" w:space="0"/>
              <w:right w:val="single" w:color="auto" w:sz="4" w:space="0"/>
            </w:tcBorders>
            <w:vAlign w:val="center"/>
          </w:tcPr>
          <w:p w14:paraId="442E5A89">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2021.08</w:t>
            </w:r>
          </w:p>
        </w:tc>
        <w:tc>
          <w:tcPr>
            <w:tcW w:w="1454" w:type="dxa"/>
            <w:tcBorders>
              <w:top w:val="single" w:color="auto" w:sz="4" w:space="0"/>
              <w:left w:val="single" w:color="auto" w:sz="4" w:space="0"/>
              <w:bottom w:val="single" w:color="auto" w:sz="4" w:space="0"/>
              <w:right w:val="single" w:color="auto" w:sz="4" w:space="0"/>
            </w:tcBorders>
            <w:vAlign w:val="center"/>
          </w:tcPr>
          <w:p w14:paraId="4CD36427">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1750.35</w:t>
            </w:r>
          </w:p>
        </w:tc>
        <w:tc>
          <w:tcPr>
            <w:tcW w:w="1273" w:type="dxa"/>
            <w:tcBorders>
              <w:top w:val="nil"/>
              <w:left w:val="nil"/>
              <w:bottom w:val="single" w:color="auto" w:sz="4" w:space="0"/>
              <w:right w:val="single" w:color="auto" w:sz="4" w:space="0"/>
            </w:tcBorders>
            <w:noWrap/>
            <w:vAlign w:val="center"/>
          </w:tcPr>
          <w:p w14:paraId="62B02469">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1136.07</w:t>
            </w:r>
          </w:p>
        </w:tc>
        <w:tc>
          <w:tcPr>
            <w:tcW w:w="1315" w:type="dxa"/>
            <w:vMerge w:val="continue"/>
            <w:tcBorders>
              <w:top w:val="nil"/>
              <w:left w:val="single" w:color="auto" w:sz="4" w:space="0"/>
              <w:bottom w:val="single" w:color="000000" w:sz="4" w:space="0"/>
              <w:right w:val="single" w:color="auto" w:sz="4" w:space="0"/>
            </w:tcBorders>
            <w:vAlign w:val="center"/>
          </w:tcPr>
          <w:p w14:paraId="67745153">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3AA658A1">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vAlign w:val="center"/>
          </w:tcPr>
          <w:p w14:paraId="5AB7387B">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合计</w:t>
            </w:r>
          </w:p>
        </w:tc>
        <w:tc>
          <w:tcPr>
            <w:tcW w:w="1317" w:type="dxa"/>
            <w:tcBorders>
              <w:top w:val="single" w:color="auto" w:sz="4" w:space="0"/>
              <w:left w:val="nil"/>
              <w:bottom w:val="single" w:color="auto" w:sz="4" w:space="0"/>
              <w:right w:val="single" w:color="auto" w:sz="4" w:space="0"/>
            </w:tcBorders>
            <w:vAlign w:val="center"/>
          </w:tcPr>
          <w:p w14:paraId="081957B4">
            <w:pPr>
              <w:keepNext w:val="0"/>
              <w:keepLines w:val="0"/>
              <w:pageBreakBefore w:val="0"/>
              <w:wordWrap/>
              <w:overflowPunct/>
              <w:topLinePunct w:val="0"/>
              <w:autoSpaceDE/>
              <w:autoSpaceDN/>
              <w:bidi w:val="0"/>
              <w:spacing w:line="320" w:lineRule="exact"/>
              <w:jc w:val="center"/>
              <w:rPr>
                <w:color w:val="auto"/>
                <w:sz w:val="21"/>
                <w:szCs w:val="21"/>
              </w:rPr>
            </w:pPr>
          </w:p>
        </w:tc>
        <w:tc>
          <w:tcPr>
            <w:tcW w:w="1454" w:type="dxa"/>
            <w:tcBorders>
              <w:top w:val="single" w:color="auto" w:sz="4" w:space="0"/>
              <w:left w:val="single" w:color="auto" w:sz="4" w:space="0"/>
              <w:bottom w:val="single" w:color="auto" w:sz="4" w:space="0"/>
              <w:right w:val="single" w:color="auto" w:sz="4" w:space="0"/>
            </w:tcBorders>
            <w:vAlign w:val="center"/>
          </w:tcPr>
          <w:p w14:paraId="5ED8647E">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19834.97</w:t>
            </w:r>
          </w:p>
        </w:tc>
        <w:tc>
          <w:tcPr>
            <w:tcW w:w="1273" w:type="dxa"/>
            <w:tcBorders>
              <w:top w:val="nil"/>
              <w:left w:val="nil"/>
              <w:bottom w:val="single" w:color="auto" w:sz="4" w:space="0"/>
              <w:right w:val="single" w:color="auto" w:sz="4" w:space="0"/>
            </w:tcBorders>
            <w:noWrap/>
            <w:vAlign w:val="center"/>
          </w:tcPr>
          <w:p w14:paraId="49B6BE9D">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7029.47</w:t>
            </w:r>
          </w:p>
        </w:tc>
        <w:tc>
          <w:tcPr>
            <w:tcW w:w="1315" w:type="dxa"/>
            <w:vMerge w:val="continue"/>
            <w:tcBorders>
              <w:top w:val="nil"/>
              <w:left w:val="single" w:color="auto" w:sz="4" w:space="0"/>
              <w:bottom w:val="single" w:color="000000" w:sz="4" w:space="0"/>
              <w:right w:val="single" w:color="auto" w:sz="4" w:space="0"/>
            </w:tcBorders>
            <w:vAlign w:val="center"/>
          </w:tcPr>
          <w:p w14:paraId="2CA39FDC">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71DE7293">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vAlign w:val="center"/>
          </w:tcPr>
          <w:p w14:paraId="35D8C7DE">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270-7-1</w:t>
            </w:r>
          </w:p>
        </w:tc>
        <w:tc>
          <w:tcPr>
            <w:tcW w:w="1317" w:type="dxa"/>
            <w:tcBorders>
              <w:top w:val="single" w:color="auto" w:sz="4" w:space="0"/>
              <w:left w:val="nil"/>
              <w:bottom w:val="single" w:color="auto" w:sz="4" w:space="0"/>
              <w:right w:val="single" w:color="auto" w:sz="4" w:space="0"/>
            </w:tcBorders>
            <w:vAlign w:val="center"/>
          </w:tcPr>
          <w:p w14:paraId="3F5D88AF">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2021.05</w:t>
            </w:r>
          </w:p>
        </w:tc>
        <w:tc>
          <w:tcPr>
            <w:tcW w:w="1454" w:type="dxa"/>
            <w:tcBorders>
              <w:top w:val="single" w:color="auto" w:sz="4" w:space="0"/>
              <w:left w:val="single" w:color="auto" w:sz="4" w:space="0"/>
              <w:bottom w:val="single" w:color="auto" w:sz="4" w:space="0"/>
              <w:right w:val="single" w:color="auto" w:sz="4" w:space="0"/>
            </w:tcBorders>
            <w:vAlign w:val="center"/>
          </w:tcPr>
          <w:p w14:paraId="0A63AE0C">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1237.80</w:t>
            </w:r>
          </w:p>
        </w:tc>
        <w:tc>
          <w:tcPr>
            <w:tcW w:w="1273" w:type="dxa"/>
            <w:tcBorders>
              <w:top w:val="nil"/>
              <w:left w:val="nil"/>
              <w:bottom w:val="single" w:color="auto" w:sz="4" w:space="0"/>
              <w:right w:val="single" w:color="auto" w:sz="4" w:space="0"/>
            </w:tcBorders>
            <w:noWrap/>
            <w:vAlign w:val="center"/>
          </w:tcPr>
          <w:p w14:paraId="2A2BB22E">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897.24</w:t>
            </w:r>
          </w:p>
        </w:tc>
        <w:tc>
          <w:tcPr>
            <w:tcW w:w="1315" w:type="dxa"/>
            <w:vMerge w:val="restart"/>
            <w:tcBorders>
              <w:top w:val="nil"/>
              <w:left w:val="single" w:color="auto" w:sz="4" w:space="0"/>
              <w:bottom w:val="single" w:color="auto" w:sz="4" w:space="0"/>
              <w:right w:val="single" w:color="auto" w:sz="4" w:space="0"/>
            </w:tcBorders>
            <w:noWrap/>
            <w:vAlign w:val="center"/>
          </w:tcPr>
          <w:p w14:paraId="31D115C6">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1.66</w:t>
            </w:r>
          </w:p>
        </w:tc>
      </w:tr>
      <w:tr w14:paraId="06419C96">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vAlign w:val="center"/>
          </w:tcPr>
          <w:p w14:paraId="5E052737">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270-11-1</w:t>
            </w:r>
          </w:p>
        </w:tc>
        <w:tc>
          <w:tcPr>
            <w:tcW w:w="1317" w:type="dxa"/>
            <w:tcBorders>
              <w:top w:val="single" w:color="auto" w:sz="4" w:space="0"/>
              <w:left w:val="nil"/>
              <w:bottom w:val="single" w:color="auto" w:sz="4" w:space="0"/>
              <w:right w:val="single" w:color="auto" w:sz="4" w:space="0"/>
            </w:tcBorders>
            <w:vAlign w:val="center"/>
          </w:tcPr>
          <w:p w14:paraId="1CDB0970">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2022.03</w:t>
            </w:r>
          </w:p>
        </w:tc>
        <w:tc>
          <w:tcPr>
            <w:tcW w:w="1454" w:type="dxa"/>
            <w:tcBorders>
              <w:top w:val="single" w:color="auto" w:sz="4" w:space="0"/>
              <w:left w:val="single" w:color="auto" w:sz="4" w:space="0"/>
              <w:bottom w:val="single" w:color="auto" w:sz="4" w:space="0"/>
              <w:right w:val="single" w:color="auto" w:sz="4" w:space="0"/>
            </w:tcBorders>
            <w:vAlign w:val="center"/>
          </w:tcPr>
          <w:p w14:paraId="3C90BC8E">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1193.69</w:t>
            </w:r>
          </w:p>
        </w:tc>
        <w:tc>
          <w:tcPr>
            <w:tcW w:w="1273" w:type="dxa"/>
            <w:tcBorders>
              <w:top w:val="nil"/>
              <w:left w:val="nil"/>
              <w:bottom w:val="single" w:color="auto" w:sz="4" w:space="0"/>
              <w:right w:val="single" w:color="auto" w:sz="4" w:space="0"/>
            </w:tcBorders>
            <w:noWrap/>
            <w:vAlign w:val="center"/>
          </w:tcPr>
          <w:p w14:paraId="6596E2E7">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872.31</w:t>
            </w:r>
          </w:p>
        </w:tc>
        <w:tc>
          <w:tcPr>
            <w:tcW w:w="1315" w:type="dxa"/>
            <w:vMerge w:val="continue"/>
            <w:tcBorders>
              <w:top w:val="nil"/>
              <w:left w:val="single" w:color="auto" w:sz="4" w:space="0"/>
              <w:bottom w:val="single" w:color="auto" w:sz="4" w:space="0"/>
              <w:right w:val="single" w:color="auto" w:sz="4" w:space="0"/>
            </w:tcBorders>
            <w:vAlign w:val="center"/>
          </w:tcPr>
          <w:p w14:paraId="518DF2F7">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1F4ACFC7">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vAlign w:val="center"/>
          </w:tcPr>
          <w:p w14:paraId="5DB2033B">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270-8-1</w:t>
            </w:r>
          </w:p>
        </w:tc>
        <w:tc>
          <w:tcPr>
            <w:tcW w:w="1317" w:type="dxa"/>
            <w:tcBorders>
              <w:top w:val="single" w:color="auto" w:sz="4" w:space="0"/>
              <w:left w:val="nil"/>
              <w:bottom w:val="single" w:color="auto" w:sz="4" w:space="0"/>
              <w:right w:val="single" w:color="auto" w:sz="4" w:space="0"/>
            </w:tcBorders>
            <w:vAlign w:val="center"/>
          </w:tcPr>
          <w:p w14:paraId="6C968BA2">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2021.08</w:t>
            </w:r>
          </w:p>
        </w:tc>
        <w:tc>
          <w:tcPr>
            <w:tcW w:w="1454" w:type="dxa"/>
            <w:tcBorders>
              <w:top w:val="single" w:color="auto" w:sz="4" w:space="0"/>
              <w:left w:val="single" w:color="auto" w:sz="4" w:space="0"/>
              <w:bottom w:val="single" w:color="auto" w:sz="4" w:space="0"/>
              <w:right w:val="single" w:color="auto" w:sz="4" w:space="0"/>
            </w:tcBorders>
            <w:vAlign w:val="center"/>
          </w:tcPr>
          <w:p w14:paraId="0A3D721D">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4150.85</w:t>
            </w:r>
          </w:p>
        </w:tc>
        <w:tc>
          <w:tcPr>
            <w:tcW w:w="1273" w:type="dxa"/>
            <w:tcBorders>
              <w:top w:val="nil"/>
              <w:left w:val="nil"/>
              <w:bottom w:val="single" w:color="auto" w:sz="4" w:space="0"/>
              <w:right w:val="single" w:color="auto" w:sz="4" w:space="0"/>
            </w:tcBorders>
            <w:noWrap/>
            <w:vAlign w:val="center"/>
          </w:tcPr>
          <w:p w14:paraId="1322285C">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2563.63</w:t>
            </w:r>
          </w:p>
        </w:tc>
        <w:tc>
          <w:tcPr>
            <w:tcW w:w="1315" w:type="dxa"/>
            <w:vMerge w:val="continue"/>
            <w:tcBorders>
              <w:top w:val="nil"/>
              <w:left w:val="single" w:color="auto" w:sz="4" w:space="0"/>
              <w:bottom w:val="single" w:color="auto" w:sz="4" w:space="0"/>
              <w:right w:val="single" w:color="auto" w:sz="4" w:space="0"/>
            </w:tcBorders>
            <w:vAlign w:val="center"/>
          </w:tcPr>
          <w:p w14:paraId="69140BE6">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36B81EA2">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noWrap/>
            <w:vAlign w:val="center"/>
          </w:tcPr>
          <w:p w14:paraId="4C8CB413">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270-8-2</w:t>
            </w:r>
          </w:p>
        </w:tc>
        <w:tc>
          <w:tcPr>
            <w:tcW w:w="1317" w:type="dxa"/>
            <w:tcBorders>
              <w:top w:val="single" w:color="auto" w:sz="4" w:space="0"/>
              <w:left w:val="nil"/>
              <w:bottom w:val="single" w:color="auto" w:sz="4" w:space="0"/>
              <w:right w:val="single" w:color="auto" w:sz="4" w:space="0"/>
            </w:tcBorders>
            <w:vAlign w:val="center"/>
          </w:tcPr>
          <w:p w14:paraId="662F3EF3">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2021.08</w:t>
            </w:r>
          </w:p>
        </w:tc>
        <w:tc>
          <w:tcPr>
            <w:tcW w:w="1454" w:type="dxa"/>
            <w:tcBorders>
              <w:top w:val="single" w:color="auto" w:sz="4" w:space="0"/>
              <w:left w:val="single" w:color="auto" w:sz="4" w:space="0"/>
              <w:bottom w:val="single" w:color="auto" w:sz="4" w:space="0"/>
              <w:right w:val="single" w:color="auto" w:sz="4" w:space="0"/>
            </w:tcBorders>
            <w:noWrap/>
            <w:vAlign w:val="center"/>
          </w:tcPr>
          <w:p w14:paraId="5DEF7BE3">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4279.37</w:t>
            </w:r>
          </w:p>
        </w:tc>
        <w:tc>
          <w:tcPr>
            <w:tcW w:w="1273" w:type="dxa"/>
            <w:tcBorders>
              <w:top w:val="nil"/>
              <w:left w:val="nil"/>
              <w:bottom w:val="single" w:color="auto" w:sz="4" w:space="0"/>
              <w:right w:val="single" w:color="auto" w:sz="4" w:space="0"/>
            </w:tcBorders>
            <w:noWrap/>
            <w:vAlign w:val="center"/>
          </w:tcPr>
          <w:p w14:paraId="329A7979">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2387.52</w:t>
            </w:r>
          </w:p>
        </w:tc>
        <w:tc>
          <w:tcPr>
            <w:tcW w:w="1315" w:type="dxa"/>
            <w:vMerge w:val="continue"/>
            <w:tcBorders>
              <w:top w:val="nil"/>
              <w:left w:val="single" w:color="auto" w:sz="4" w:space="0"/>
              <w:bottom w:val="single" w:color="auto" w:sz="4" w:space="0"/>
              <w:right w:val="single" w:color="auto" w:sz="4" w:space="0"/>
            </w:tcBorders>
            <w:vAlign w:val="center"/>
          </w:tcPr>
          <w:p w14:paraId="1ACB9708">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43333CB6">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noWrap/>
            <w:vAlign w:val="center"/>
          </w:tcPr>
          <w:p w14:paraId="4A67E097">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270-8-3</w:t>
            </w:r>
          </w:p>
        </w:tc>
        <w:tc>
          <w:tcPr>
            <w:tcW w:w="1317" w:type="dxa"/>
            <w:tcBorders>
              <w:top w:val="single" w:color="auto" w:sz="4" w:space="0"/>
              <w:left w:val="nil"/>
              <w:bottom w:val="single" w:color="auto" w:sz="4" w:space="0"/>
              <w:right w:val="single" w:color="auto" w:sz="4" w:space="0"/>
            </w:tcBorders>
            <w:vAlign w:val="center"/>
          </w:tcPr>
          <w:p w14:paraId="305FDB13">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2021.08</w:t>
            </w:r>
          </w:p>
        </w:tc>
        <w:tc>
          <w:tcPr>
            <w:tcW w:w="1454" w:type="dxa"/>
            <w:tcBorders>
              <w:top w:val="single" w:color="auto" w:sz="4" w:space="0"/>
              <w:left w:val="single" w:color="auto" w:sz="4" w:space="0"/>
              <w:bottom w:val="single" w:color="auto" w:sz="4" w:space="0"/>
              <w:right w:val="single" w:color="auto" w:sz="4" w:space="0"/>
            </w:tcBorders>
            <w:noWrap/>
            <w:vAlign w:val="center"/>
          </w:tcPr>
          <w:p w14:paraId="34D8DA7E">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3221.65</w:t>
            </w:r>
          </w:p>
        </w:tc>
        <w:tc>
          <w:tcPr>
            <w:tcW w:w="1273" w:type="dxa"/>
            <w:tcBorders>
              <w:top w:val="nil"/>
              <w:left w:val="nil"/>
              <w:bottom w:val="single" w:color="auto" w:sz="4" w:space="0"/>
              <w:right w:val="single" w:color="auto" w:sz="4" w:space="0"/>
            </w:tcBorders>
            <w:noWrap/>
            <w:vAlign w:val="center"/>
          </w:tcPr>
          <w:p w14:paraId="69572638">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1745.48</w:t>
            </w:r>
          </w:p>
        </w:tc>
        <w:tc>
          <w:tcPr>
            <w:tcW w:w="1315" w:type="dxa"/>
            <w:vMerge w:val="continue"/>
            <w:tcBorders>
              <w:top w:val="nil"/>
              <w:left w:val="single" w:color="auto" w:sz="4" w:space="0"/>
              <w:bottom w:val="single" w:color="auto" w:sz="4" w:space="0"/>
              <w:right w:val="single" w:color="auto" w:sz="4" w:space="0"/>
            </w:tcBorders>
            <w:vAlign w:val="center"/>
          </w:tcPr>
          <w:p w14:paraId="182D3FC3">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40850568">
        <w:tblPrEx>
          <w:tblCellMar>
            <w:top w:w="0" w:type="dxa"/>
            <w:left w:w="108" w:type="dxa"/>
            <w:bottom w:w="0" w:type="dxa"/>
            <w:right w:w="108" w:type="dxa"/>
          </w:tblCellMar>
        </w:tblPrEx>
        <w:trPr>
          <w:trHeight w:val="513" w:hRule="atLeast"/>
          <w:jc w:val="center"/>
        </w:trPr>
        <w:tc>
          <w:tcPr>
            <w:tcW w:w="3041" w:type="dxa"/>
            <w:tcBorders>
              <w:top w:val="nil"/>
              <w:left w:val="single" w:color="auto" w:sz="4" w:space="0"/>
              <w:bottom w:val="single" w:color="auto" w:sz="4" w:space="0"/>
              <w:right w:val="single" w:color="auto" w:sz="4" w:space="0"/>
            </w:tcBorders>
            <w:noWrap/>
            <w:vAlign w:val="center"/>
          </w:tcPr>
          <w:p w14:paraId="6D562CB9">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合计</w:t>
            </w:r>
          </w:p>
        </w:tc>
        <w:tc>
          <w:tcPr>
            <w:tcW w:w="1317" w:type="dxa"/>
            <w:tcBorders>
              <w:top w:val="single" w:color="auto" w:sz="4" w:space="0"/>
              <w:left w:val="nil"/>
              <w:bottom w:val="single" w:color="auto" w:sz="4" w:space="0"/>
              <w:right w:val="single" w:color="auto" w:sz="4" w:space="0"/>
            </w:tcBorders>
            <w:vAlign w:val="center"/>
          </w:tcPr>
          <w:p w14:paraId="79D2957B">
            <w:pPr>
              <w:keepNext w:val="0"/>
              <w:keepLines w:val="0"/>
              <w:pageBreakBefore w:val="0"/>
              <w:wordWrap/>
              <w:overflowPunct/>
              <w:topLinePunct w:val="0"/>
              <w:autoSpaceDE/>
              <w:autoSpaceDN/>
              <w:bidi w:val="0"/>
              <w:spacing w:line="320" w:lineRule="exact"/>
              <w:jc w:val="center"/>
              <w:rPr>
                <w:color w:val="auto"/>
                <w:sz w:val="21"/>
                <w:szCs w:val="21"/>
              </w:rPr>
            </w:pPr>
          </w:p>
        </w:tc>
        <w:tc>
          <w:tcPr>
            <w:tcW w:w="1454" w:type="dxa"/>
            <w:tcBorders>
              <w:top w:val="single" w:color="auto" w:sz="4" w:space="0"/>
              <w:left w:val="single" w:color="auto" w:sz="4" w:space="0"/>
              <w:bottom w:val="single" w:color="auto" w:sz="4" w:space="0"/>
              <w:right w:val="single" w:color="auto" w:sz="4" w:space="0"/>
            </w:tcBorders>
            <w:noWrap/>
            <w:vAlign w:val="center"/>
          </w:tcPr>
          <w:p w14:paraId="50F44161">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14083.36</w:t>
            </w:r>
          </w:p>
        </w:tc>
        <w:tc>
          <w:tcPr>
            <w:tcW w:w="1273" w:type="dxa"/>
            <w:tcBorders>
              <w:top w:val="nil"/>
              <w:left w:val="nil"/>
              <w:bottom w:val="single" w:color="auto" w:sz="4" w:space="0"/>
              <w:right w:val="single" w:color="auto" w:sz="4" w:space="0"/>
            </w:tcBorders>
            <w:noWrap/>
            <w:vAlign w:val="center"/>
          </w:tcPr>
          <w:p w14:paraId="6FA8C957">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8466.18</w:t>
            </w:r>
          </w:p>
        </w:tc>
        <w:tc>
          <w:tcPr>
            <w:tcW w:w="1315" w:type="dxa"/>
            <w:vMerge w:val="continue"/>
            <w:tcBorders>
              <w:top w:val="nil"/>
              <w:left w:val="single" w:color="auto" w:sz="4" w:space="0"/>
              <w:bottom w:val="single" w:color="auto" w:sz="4" w:space="0"/>
              <w:right w:val="single" w:color="auto" w:sz="4" w:space="0"/>
            </w:tcBorders>
            <w:vAlign w:val="center"/>
          </w:tcPr>
          <w:p w14:paraId="55F9DEBD">
            <w:pPr>
              <w:keepNext w:val="0"/>
              <w:keepLines w:val="0"/>
              <w:pageBreakBefore w:val="0"/>
              <w:widowControl/>
              <w:wordWrap/>
              <w:overflowPunct/>
              <w:topLinePunct w:val="0"/>
              <w:autoSpaceDE/>
              <w:autoSpaceDN/>
              <w:bidi w:val="0"/>
              <w:spacing w:line="320" w:lineRule="exact"/>
              <w:jc w:val="center"/>
              <w:rPr>
                <w:color w:val="auto"/>
                <w:sz w:val="21"/>
                <w:szCs w:val="21"/>
              </w:rPr>
            </w:pPr>
          </w:p>
        </w:tc>
      </w:tr>
      <w:tr w14:paraId="187C83DF">
        <w:tblPrEx>
          <w:tblCellMar>
            <w:top w:w="0" w:type="dxa"/>
            <w:left w:w="108" w:type="dxa"/>
            <w:bottom w:w="0" w:type="dxa"/>
            <w:right w:w="108" w:type="dxa"/>
          </w:tblCellMar>
        </w:tblPrEx>
        <w:trPr>
          <w:trHeight w:val="522" w:hRule="atLeast"/>
          <w:jc w:val="center"/>
        </w:trPr>
        <w:tc>
          <w:tcPr>
            <w:tcW w:w="3041" w:type="dxa"/>
            <w:tcBorders>
              <w:top w:val="nil"/>
              <w:left w:val="single" w:color="auto" w:sz="4" w:space="0"/>
              <w:bottom w:val="single" w:color="auto" w:sz="4" w:space="0"/>
              <w:right w:val="single" w:color="auto" w:sz="4" w:space="0"/>
            </w:tcBorders>
            <w:noWrap/>
            <w:vAlign w:val="center"/>
          </w:tcPr>
          <w:p w14:paraId="577B6259">
            <w:pPr>
              <w:keepNext w:val="0"/>
              <w:keepLines w:val="0"/>
              <w:pageBreakBefore w:val="0"/>
              <w:wordWrap/>
              <w:overflowPunct/>
              <w:topLinePunct w:val="0"/>
              <w:autoSpaceDE/>
              <w:autoSpaceDN/>
              <w:bidi w:val="0"/>
              <w:spacing w:line="320" w:lineRule="exact"/>
              <w:jc w:val="center"/>
              <w:rPr>
                <w:color w:val="auto"/>
                <w:sz w:val="21"/>
                <w:szCs w:val="21"/>
              </w:rPr>
            </w:pPr>
            <w:r>
              <w:rPr>
                <w:color w:val="auto"/>
                <w:sz w:val="21"/>
                <w:szCs w:val="21"/>
              </w:rPr>
              <w:t>总计</w:t>
            </w:r>
          </w:p>
        </w:tc>
        <w:tc>
          <w:tcPr>
            <w:tcW w:w="1317" w:type="dxa"/>
            <w:tcBorders>
              <w:top w:val="single" w:color="auto" w:sz="4" w:space="0"/>
              <w:left w:val="nil"/>
              <w:bottom w:val="single" w:color="auto" w:sz="4" w:space="0"/>
              <w:right w:val="single" w:color="auto" w:sz="4" w:space="0"/>
            </w:tcBorders>
            <w:vAlign w:val="center"/>
          </w:tcPr>
          <w:p w14:paraId="62D93315">
            <w:pPr>
              <w:keepNext w:val="0"/>
              <w:keepLines w:val="0"/>
              <w:pageBreakBefore w:val="0"/>
              <w:wordWrap/>
              <w:overflowPunct/>
              <w:topLinePunct w:val="0"/>
              <w:autoSpaceDE/>
              <w:autoSpaceDN/>
              <w:bidi w:val="0"/>
              <w:spacing w:line="320" w:lineRule="exact"/>
              <w:jc w:val="center"/>
              <w:rPr>
                <w:color w:val="auto"/>
                <w:sz w:val="21"/>
                <w:szCs w:val="21"/>
              </w:rPr>
            </w:pPr>
          </w:p>
        </w:tc>
        <w:tc>
          <w:tcPr>
            <w:tcW w:w="1454" w:type="dxa"/>
            <w:tcBorders>
              <w:top w:val="single" w:color="auto" w:sz="4" w:space="0"/>
              <w:left w:val="single" w:color="auto" w:sz="4" w:space="0"/>
              <w:bottom w:val="single" w:color="auto" w:sz="4" w:space="0"/>
              <w:right w:val="single" w:color="auto" w:sz="4" w:space="0"/>
            </w:tcBorders>
            <w:noWrap/>
            <w:vAlign w:val="center"/>
          </w:tcPr>
          <w:p w14:paraId="145C525F">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33918.33</w:t>
            </w:r>
          </w:p>
        </w:tc>
        <w:tc>
          <w:tcPr>
            <w:tcW w:w="1273" w:type="dxa"/>
            <w:tcBorders>
              <w:top w:val="nil"/>
              <w:left w:val="nil"/>
              <w:bottom w:val="single" w:color="auto" w:sz="4" w:space="0"/>
              <w:right w:val="single" w:color="auto" w:sz="4" w:space="0"/>
            </w:tcBorders>
            <w:noWrap/>
            <w:vAlign w:val="center"/>
          </w:tcPr>
          <w:p w14:paraId="26EE9B5E">
            <w:pPr>
              <w:keepNext w:val="0"/>
              <w:keepLines w:val="0"/>
              <w:pageBreakBefore w:val="0"/>
              <w:wordWrap/>
              <w:overflowPunct/>
              <w:topLinePunct w:val="0"/>
              <w:autoSpaceDE/>
              <w:autoSpaceDN/>
              <w:bidi w:val="0"/>
              <w:spacing w:line="320" w:lineRule="exact"/>
              <w:ind w:firstLine="0" w:firstLineChars="0"/>
              <w:jc w:val="center"/>
              <w:rPr>
                <w:color w:val="auto"/>
                <w:sz w:val="21"/>
                <w:szCs w:val="21"/>
              </w:rPr>
            </w:pPr>
            <w:r>
              <w:rPr>
                <w:color w:val="auto"/>
                <w:sz w:val="21"/>
                <w:szCs w:val="21"/>
              </w:rPr>
              <w:t>15495.65</w:t>
            </w:r>
          </w:p>
        </w:tc>
        <w:tc>
          <w:tcPr>
            <w:tcW w:w="1315" w:type="dxa"/>
            <w:tcBorders>
              <w:top w:val="nil"/>
              <w:left w:val="nil"/>
              <w:bottom w:val="single" w:color="auto" w:sz="4" w:space="0"/>
              <w:right w:val="single" w:color="auto" w:sz="4" w:space="0"/>
            </w:tcBorders>
            <w:noWrap/>
            <w:vAlign w:val="center"/>
          </w:tcPr>
          <w:p w14:paraId="6A16E823">
            <w:pPr>
              <w:keepNext w:val="0"/>
              <w:keepLines w:val="0"/>
              <w:pageBreakBefore w:val="0"/>
              <w:wordWrap/>
              <w:overflowPunct/>
              <w:topLinePunct w:val="0"/>
              <w:autoSpaceDE/>
              <w:autoSpaceDN/>
              <w:bidi w:val="0"/>
              <w:spacing w:line="320" w:lineRule="exact"/>
              <w:jc w:val="center"/>
              <w:rPr>
                <w:color w:val="auto"/>
                <w:sz w:val="21"/>
                <w:szCs w:val="21"/>
              </w:rPr>
            </w:pPr>
          </w:p>
        </w:tc>
      </w:tr>
    </w:tbl>
    <w:p w14:paraId="672BA809">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560" w:firstLineChars="200"/>
        <w:textAlignment w:val="baseline"/>
        <w:rPr>
          <w:rFonts w:hint="eastAsia" w:ascii="宋体" w:hAnsi="宋体" w:eastAsia="宋体" w:cs="宋体"/>
          <w:color w:val="auto"/>
          <w:sz w:val="28"/>
          <w:szCs w:val="28"/>
          <w:lang w:val="en-US" w:eastAsia="zh-CN"/>
        </w:rPr>
      </w:pPr>
      <w:r>
        <w:rPr>
          <w:rFonts w:hint="eastAsia" w:cs="宋体"/>
          <w:color w:val="auto"/>
          <w:sz w:val="28"/>
          <w:szCs w:val="28"/>
          <w:lang w:val="en-US" w:eastAsia="zh-CN"/>
        </w:rPr>
        <w:t>上述</w:t>
      </w:r>
      <w:r>
        <w:rPr>
          <w:rFonts w:hint="eastAsia" w:ascii="宋体" w:hAnsi="宋体" w:eastAsia="宋体" w:cs="宋体"/>
          <w:color w:val="auto"/>
          <w:sz w:val="28"/>
          <w:szCs w:val="28"/>
          <w:lang w:val="en-US" w:eastAsia="zh-CN"/>
        </w:rPr>
        <w:t>采空区均进行了封堵密闭。</w:t>
      </w:r>
    </w:p>
    <w:p w14:paraId="7E4EC040">
      <w:pPr>
        <w:bidi w:val="0"/>
        <w:rPr>
          <w:rFonts w:hint="eastAsia"/>
          <w:color w:val="auto"/>
          <w:lang w:val="en-US" w:eastAsia="zh-CN"/>
        </w:rPr>
      </w:pPr>
      <w:r>
        <w:rPr>
          <w:rFonts w:hint="eastAsia"/>
          <w:color w:val="auto"/>
        </w:rPr>
        <w:fldChar w:fldCharType="begin"/>
      </w:r>
      <w:r>
        <w:rPr>
          <w:rFonts w:hint="eastAsia"/>
          <w:color w:val="auto"/>
        </w:rPr>
        <w:instrText xml:space="preserve"> = 2 \* GB3 \* MERGEFORMAT </w:instrText>
      </w:r>
      <w:r>
        <w:rPr>
          <w:rFonts w:hint="eastAsia"/>
          <w:color w:val="auto"/>
        </w:rPr>
        <w:fldChar w:fldCharType="separate"/>
      </w:r>
      <w:r>
        <w:rPr>
          <w:color w:val="auto"/>
        </w:rPr>
        <w:t>②</w:t>
      </w:r>
      <w:r>
        <w:rPr>
          <w:rFonts w:hint="eastAsia"/>
          <w:color w:val="auto"/>
        </w:rPr>
        <w:fldChar w:fldCharType="end"/>
      </w:r>
      <w:r>
        <w:rPr>
          <w:rFonts w:hint="default"/>
          <w:color w:val="auto"/>
          <w:lang w:val="en-US" w:eastAsia="zh-CN"/>
        </w:rPr>
        <w:t>开采初期</w:t>
      </w:r>
      <w:r>
        <w:rPr>
          <w:rFonts w:hint="eastAsia"/>
          <w:color w:val="auto"/>
        </w:rPr>
        <w:t>已封闭采空区</w:t>
      </w:r>
    </w:p>
    <w:p w14:paraId="50C309F8">
      <w:pPr>
        <w:bidi w:val="0"/>
        <w:rPr>
          <w:rFonts w:hint="default" w:ascii="Arial" w:hAnsi="Arial" w:eastAsia="Arial" w:cs="Arial"/>
          <w:b w:val="0"/>
          <w:color w:val="auto"/>
          <w:spacing w:val="0"/>
          <w:szCs w:val="21"/>
          <w:lang w:val="en-US" w:eastAsia="zh-CN"/>
        </w:rPr>
      </w:pPr>
      <w:r>
        <w:rPr>
          <w:rFonts w:hint="default"/>
          <w:color w:val="auto"/>
          <w:lang w:val="en-US" w:eastAsia="zh-CN"/>
        </w:rPr>
        <w:t>茅排金矿采矿方法为浅孔留矿采矿法，已开采形成2个中段为+270m、+320m，根据《江西省临川县茅排金矿床勘探地质报告》（核工业华东地质勘探局二六五大队一分队，1994年11月）、江西省核工业地质局二六三大队于2009年8月编制的《江西省抚州市临川区茅排金矿资源储量核实报告》和茅排金矿实地调查，矿山开采初期采出矿石量约5489t（已封闭多年，无法入内实测），采空区体积约2577m³。</w:t>
      </w:r>
    </w:p>
    <w:p w14:paraId="2B03E887">
      <w:pPr>
        <w:bidi w:val="0"/>
        <w:rPr>
          <w:rFonts w:hint="default"/>
          <w:color w:val="auto"/>
          <w:lang w:val="en-US" w:eastAsia="zh-CN"/>
        </w:rPr>
      </w:pPr>
      <w:r>
        <w:rPr>
          <w:rFonts w:hint="default"/>
          <w:color w:val="auto"/>
          <w:lang w:val="en-US" w:eastAsia="zh-CN"/>
        </w:rPr>
        <w:fldChar w:fldCharType="begin"/>
      </w:r>
      <w:r>
        <w:rPr>
          <w:rFonts w:hint="default"/>
          <w:color w:val="auto"/>
          <w:lang w:val="en-US" w:eastAsia="zh-CN"/>
        </w:rPr>
        <w:instrText xml:space="preserve"> = 3 \* GB3 \* MERGEFORMAT </w:instrText>
      </w:r>
      <w:r>
        <w:rPr>
          <w:rFonts w:hint="default"/>
          <w:color w:val="auto"/>
          <w:lang w:val="en-US" w:eastAsia="zh-CN"/>
        </w:rPr>
        <w:fldChar w:fldCharType="separate"/>
      </w:r>
      <w:r>
        <w:rPr>
          <w:color w:val="auto"/>
        </w:rPr>
        <w:t>③</w:t>
      </w:r>
      <w:r>
        <w:rPr>
          <w:rFonts w:hint="default"/>
          <w:color w:val="auto"/>
          <w:lang w:val="en-US" w:eastAsia="zh-CN"/>
        </w:rPr>
        <w:fldChar w:fldCharType="end"/>
      </w:r>
      <w:r>
        <w:rPr>
          <w:rFonts w:hint="default"/>
          <w:color w:val="auto"/>
        </w:rPr>
        <w:t>早期民采形成采空区</w:t>
      </w:r>
    </w:p>
    <w:p w14:paraId="480C9DB5">
      <w:pPr>
        <w:bidi w:val="0"/>
        <w:rPr>
          <w:rFonts w:hint="default"/>
          <w:color w:val="auto"/>
          <w:lang w:val="en-US" w:eastAsia="zh-CN"/>
        </w:rPr>
      </w:pPr>
      <w:r>
        <w:rPr>
          <w:rFonts w:hint="default"/>
          <w:color w:val="auto"/>
          <w:lang w:val="en-US" w:eastAsia="zh-CN"/>
        </w:rPr>
        <w:t>由于历史因素无法探明所有民采坑道，估算采空区体积约11807.81m³。</w:t>
      </w:r>
    </w:p>
    <w:p w14:paraId="64B5AC56">
      <w:pPr>
        <w:bidi w:val="0"/>
        <w:rPr>
          <w:color w:val="auto"/>
        </w:rPr>
      </w:pPr>
      <w:r>
        <w:rPr>
          <w:rFonts w:hint="eastAsia"/>
          <w:color w:val="auto"/>
          <w:lang w:val="en-US" w:eastAsia="zh-CN"/>
        </w:rPr>
        <w:t>（2）</w:t>
      </w:r>
      <w:r>
        <w:rPr>
          <w:color w:val="auto"/>
        </w:rPr>
        <w:t>物探推测总采空区</w:t>
      </w:r>
    </w:p>
    <w:p w14:paraId="0A28C18F">
      <w:pPr>
        <w:bidi w:val="0"/>
        <w:rPr>
          <w:rFonts w:hint="default"/>
          <w:color w:val="auto"/>
          <w:lang w:val="en-US" w:eastAsia="zh-CN"/>
        </w:rPr>
      </w:pPr>
      <w:r>
        <w:rPr>
          <w:color w:val="auto"/>
        </w:rPr>
        <w:t>物探推测总采空区体积</w:t>
      </w:r>
      <w:r>
        <w:rPr>
          <w:rFonts w:hint="default"/>
          <w:color w:val="auto"/>
          <w:lang w:val="en-US" w:eastAsia="zh-CN"/>
        </w:rPr>
        <w:t>为</w:t>
      </w:r>
      <w:r>
        <w:rPr>
          <w:color w:val="auto"/>
        </w:rPr>
        <w:t>4.77万m</w:t>
      </w:r>
      <w:r>
        <w:rPr>
          <w:color w:val="auto"/>
          <w:vertAlign w:val="superscript"/>
        </w:rPr>
        <w:t>3</w:t>
      </w:r>
      <w:r>
        <w:rPr>
          <w:color w:val="auto"/>
        </w:rPr>
        <w:t>，普查成果统计</w:t>
      </w:r>
      <w:r>
        <w:rPr>
          <w:rFonts w:hint="default"/>
          <w:color w:val="auto"/>
          <w:lang w:val="en-US" w:eastAsia="zh-CN"/>
        </w:rPr>
        <w:t>见</w:t>
      </w:r>
      <w:r>
        <w:rPr>
          <w:color w:val="auto"/>
        </w:rPr>
        <w:t>表</w:t>
      </w:r>
      <w:r>
        <w:rPr>
          <w:rFonts w:hint="default"/>
          <w:color w:val="auto"/>
          <w:lang w:val="en-US" w:eastAsia="zh-CN"/>
        </w:rPr>
        <w:t>2.12</w:t>
      </w:r>
      <w:r>
        <w:rPr>
          <w:color w:val="auto"/>
        </w:rPr>
        <w:t>-</w:t>
      </w:r>
      <w:r>
        <w:rPr>
          <w:rFonts w:hint="default"/>
          <w:color w:val="auto"/>
          <w:lang w:val="en-US" w:eastAsia="zh-CN"/>
        </w:rPr>
        <w:t>2</w:t>
      </w:r>
      <w:r>
        <w:rPr>
          <w:color w:val="auto"/>
        </w:rPr>
        <w:t xml:space="preserve"> </w:t>
      </w:r>
      <w:r>
        <w:rPr>
          <w:rFonts w:hint="default"/>
          <w:color w:val="auto"/>
          <w:lang w:eastAsia="zh-CN"/>
        </w:rPr>
        <w:t>。</w:t>
      </w:r>
    </w:p>
    <w:p w14:paraId="30E274B1">
      <w:pPr>
        <w:widowControl w:val="0"/>
        <w:kinsoku/>
        <w:adjustRightInd/>
        <w:snapToGrid/>
        <w:spacing w:line="560" w:lineRule="exact"/>
        <w:ind w:firstLine="560"/>
        <w:jc w:val="center"/>
        <w:textAlignment w:val="auto"/>
        <w:rPr>
          <w:rFonts w:ascii="Arial" w:hAnsi="Arial" w:eastAsia="Arial" w:cs="Arial"/>
          <w:b w:val="0"/>
          <w:color w:val="auto"/>
          <w:spacing w:val="0"/>
          <w:sz w:val="28"/>
          <w:szCs w:val="21"/>
        </w:rPr>
      </w:pPr>
      <w:r>
        <w:rPr>
          <w:rFonts w:ascii="Arial" w:hAnsi="Arial" w:eastAsia="Arial" w:cs="Arial"/>
          <w:b w:val="0"/>
          <w:color w:val="auto"/>
          <w:spacing w:val="0"/>
          <w:sz w:val="28"/>
          <w:szCs w:val="21"/>
        </w:rPr>
        <w:t>表</w:t>
      </w:r>
      <w:r>
        <w:rPr>
          <w:rFonts w:hint="default" w:ascii="Times New Roman" w:hAnsi="Times New Roman" w:eastAsia="Arial" w:cs="Times New Roman"/>
          <w:b w:val="0"/>
          <w:color w:val="auto"/>
          <w:spacing w:val="0"/>
          <w:sz w:val="28"/>
          <w:szCs w:val="21"/>
          <w:lang w:val="en-US" w:eastAsia="zh-CN"/>
        </w:rPr>
        <w:t>2.12</w:t>
      </w:r>
      <w:r>
        <w:rPr>
          <w:rFonts w:ascii="Times New Roman" w:hAnsi="Times New Roman" w:eastAsia="Arial" w:cs="Times New Roman"/>
          <w:b w:val="0"/>
          <w:color w:val="auto"/>
          <w:spacing w:val="0"/>
          <w:sz w:val="28"/>
          <w:szCs w:val="21"/>
        </w:rPr>
        <w:t>-</w:t>
      </w:r>
      <w:r>
        <w:rPr>
          <w:rFonts w:hint="default" w:ascii="Times New Roman" w:hAnsi="Times New Roman" w:eastAsia="Arial" w:cs="Times New Roman"/>
          <w:b w:val="0"/>
          <w:color w:val="auto"/>
          <w:spacing w:val="0"/>
          <w:sz w:val="28"/>
          <w:szCs w:val="21"/>
          <w:lang w:val="en-US" w:eastAsia="zh-CN"/>
        </w:rPr>
        <w:t>2</w:t>
      </w:r>
      <w:r>
        <w:rPr>
          <w:rFonts w:ascii="Arial" w:hAnsi="Arial" w:eastAsia="Arial" w:cs="Arial"/>
          <w:b w:val="0"/>
          <w:color w:val="auto"/>
          <w:spacing w:val="0"/>
          <w:sz w:val="28"/>
          <w:szCs w:val="21"/>
        </w:rPr>
        <w:t xml:space="preserve"> 普查成果统计表</w:t>
      </w:r>
    </w:p>
    <w:tbl>
      <w:tblPr>
        <w:tblStyle w:val="18"/>
        <w:tblW w:w="47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2227"/>
        <w:gridCol w:w="1969"/>
        <w:gridCol w:w="1575"/>
        <w:gridCol w:w="2145"/>
      </w:tblGrid>
      <w:tr w14:paraId="138C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506A8966">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编号</w:t>
            </w:r>
          </w:p>
        </w:tc>
        <w:tc>
          <w:tcPr>
            <w:tcW w:w="1260" w:type="pct"/>
            <w:tcBorders>
              <w:top w:val="single" w:color="auto" w:sz="4" w:space="0"/>
              <w:left w:val="single" w:color="auto" w:sz="4" w:space="0"/>
              <w:bottom w:val="single" w:color="auto" w:sz="4" w:space="0"/>
              <w:right w:val="single" w:color="auto" w:sz="4" w:space="0"/>
            </w:tcBorders>
            <w:noWrap/>
            <w:vAlign w:val="center"/>
          </w:tcPr>
          <w:p w14:paraId="2E761933">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顶底面标高（m）</w:t>
            </w:r>
          </w:p>
        </w:tc>
        <w:tc>
          <w:tcPr>
            <w:tcW w:w="1114" w:type="pct"/>
            <w:tcBorders>
              <w:top w:val="single" w:color="auto" w:sz="4" w:space="0"/>
              <w:left w:val="single" w:color="auto" w:sz="4" w:space="0"/>
              <w:bottom w:val="single" w:color="auto" w:sz="4" w:space="0"/>
              <w:right w:val="single" w:color="auto" w:sz="4" w:space="0"/>
            </w:tcBorders>
            <w:noWrap/>
            <w:vAlign w:val="center"/>
          </w:tcPr>
          <w:p w14:paraId="7F6D893B">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顶底面高</w:t>
            </w:r>
            <w:r>
              <w:rPr>
                <w:rFonts w:hint="eastAsia"/>
                <w:color w:val="auto"/>
                <w:kern w:val="0"/>
                <w:sz w:val="21"/>
                <w:szCs w:val="21"/>
                <w:lang w:val="en-US" w:eastAsia="zh-CN"/>
              </w:rPr>
              <w:t>差</w:t>
            </w:r>
            <w:r>
              <w:rPr>
                <w:color w:val="auto"/>
                <w:kern w:val="0"/>
                <w:sz w:val="21"/>
                <w:szCs w:val="21"/>
              </w:rPr>
              <w:t>（m）</w:t>
            </w:r>
          </w:p>
        </w:tc>
        <w:tc>
          <w:tcPr>
            <w:tcW w:w="891" w:type="pct"/>
            <w:tcBorders>
              <w:top w:val="single" w:color="auto" w:sz="4" w:space="0"/>
              <w:left w:val="single" w:color="auto" w:sz="4" w:space="0"/>
              <w:bottom w:val="single" w:color="auto" w:sz="4" w:space="0"/>
              <w:right w:val="single" w:color="auto" w:sz="4" w:space="0"/>
            </w:tcBorders>
            <w:noWrap/>
            <w:vAlign w:val="center"/>
          </w:tcPr>
          <w:p w14:paraId="540FE73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面积（㎡）</w:t>
            </w:r>
          </w:p>
        </w:tc>
        <w:tc>
          <w:tcPr>
            <w:tcW w:w="1213" w:type="pct"/>
            <w:tcBorders>
              <w:top w:val="single" w:color="auto" w:sz="4" w:space="0"/>
              <w:left w:val="single" w:color="auto" w:sz="4" w:space="0"/>
              <w:bottom w:val="single" w:color="auto" w:sz="4" w:space="0"/>
              <w:right w:val="single" w:color="auto" w:sz="4" w:space="0"/>
            </w:tcBorders>
            <w:noWrap/>
            <w:vAlign w:val="center"/>
          </w:tcPr>
          <w:p w14:paraId="75209E2E">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备注</w:t>
            </w:r>
          </w:p>
        </w:tc>
      </w:tr>
      <w:tr w14:paraId="711E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3DA7962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①</w:t>
            </w:r>
          </w:p>
        </w:tc>
        <w:tc>
          <w:tcPr>
            <w:tcW w:w="1260" w:type="pct"/>
            <w:tcBorders>
              <w:top w:val="single" w:color="auto" w:sz="4" w:space="0"/>
              <w:left w:val="single" w:color="auto" w:sz="4" w:space="0"/>
              <w:bottom w:val="single" w:color="auto" w:sz="4" w:space="0"/>
              <w:right w:val="single" w:color="auto" w:sz="4" w:space="0"/>
            </w:tcBorders>
            <w:noWrap/>
            <w:vAlign w:val="center"/>
          </w:tcPr>
          <w:p w14:paraId="2596E4A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274.5～281.1</w:t>
            </w:r>
          </w:p>
        </w:tc>
        <w:tc>
          <w:tcPr>
            <w:tcW w:w="1114" w:type="pct"/>
            <w:tcBorders>
              <w:top w:val="single" w:color="auto" w:sz="4" w:space="0"/>
              <w:left w:val="single" w:color="auto" w:sz="4" w:space="0"/>
              <w:bottom w:val="single" w:color="auto" w:sz="4" w:space="0"/>
              <w:right w:val="single" w:color="auto" w:sz="4" w:space="0"/>
            </w:tcBorders>
            <w:noWrap/>
            <w:vAlign w:val="center"/>
          </w:tcPr>
          <w:p w14:paraId="580AC36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6.6</w:t>
            </w:r>
          </w:p>
        </w:tc>
        <w:tc>
          <w:tcPr>
            <w:tcW w:w="891" w:type="pct"/>
            <w:tcBorders>
              <w:top w:val="single" w:color="auto" w:sz="4" w:space="0"/>
              <w:left w:val="single" w:color="auto" w:sz="4" w:space="0"/>
              <w:bottom w:val="single" w:color="auto" w:sz="4" w:space="0"/>
              <w:right w:val="single" w:color="auto" w:sz="4" w:space="0"/>
            </w:tcBorders>
            <w:noWrap/>
            <w:vAlign w:val="center"/>
          </w:tcPr>
          <w:p w14:paraId="4FBD72CD">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173.8</w:t>
            </w:r>
          </w:p>
        </w:tc>
        <w:tc>
          <w:tcPr>
            <w:tcW w:w="1213" w:type="pct"/>
            <w:tcBorders>
              <w:top w:val="single" w:color="auto" w:sz="4" w:space="0"/>
              <w:left w:val="single" w:color="auto" w:sz="4" w:space="0"/>
              <w:bottom w:val="single" w:color="auto" w:sz="4" w:space="0"/>
              <w:right w:val="single" w:color="auto" w:sz="4" w:space="0"/>
            </w:tcBorders>
            <w:noWrap/>
            <w:vAlign w:val="center"/>
          </w:tcPr>
          <w:p w14:paraId="24D7566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33C2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27773EB7">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②</w:t>
            </w:r>
          </w:p>
        </w:tc>
        <w:tc>
          <w:tcPr>
            <w:tcW w:w="1260" w:type="pct"/>
            <w:tcBorders>
              <w:top w:val="single" w:color="auto" w:sz="4" w:space="0"/>
              <w:left w:val="single" w:color="auto" w:sz="4" w:space="0"/>
              <w:bottom w:val="single" w:color="auto" w:sz="4" w:space="0"/>
              <w:right w:val="single" w:color="auto" w:sz="4" w:space="0"/>
            </w:tcBorders>
            <w:noWrap/>
            <w:vAlign w:val="center"/>
          </w:tcPr>
          <w:p w14:paraId="4C0D571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263.0～275.6</w:t>
            </w:r>
          </w:p>
        </w:tc>
        <w:tc>
          <w:tcPr>
            <w:tcW w:w="1114" w:type="pct"/>
            <w:tcBorders>
              <w:top w:val="single" w:color="auto" w:sz="4" w:space="0"/>
              <w:left w:val="single" w:color="auto" w:sz="4" w:space="0"/>
              <w:bottom w:val="single" w:color="auto" w:sz="4" w:space="0"/>
              <w:right w:val="single" w:color="auto" w:sz="4" w:space="0"/>
            </w:tcBorders>
            <w:noWrap/>
            <w:vAlign w:val="center"/>
          </w:tcPr>
          <w:p w14:paraId="2CDC0B8D">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12.6</w:t>
            </w:r>
          </w:p>
        </w:tc>
        <w:tc>
          <w:tcPr>
            <w:tcW w:w="891" w:type="pct"/>
            <w:tcBorders>
              <w:top w:val="single" w:color="auto" w:sz="4" w:space="0"/>
              <w:left w:val="single" w:color="auto" w:sz="4" w:space="0"/>
              <w:bottom w:val="single" w:color="auto" w:sz="4" w:space="0"/>
              <w:right w:val="single" w:color="auto" w:sz="4" w:space="0"/>
            </w:tcBorders>
            <w:noWrap/>
            <w:vAlign w:val="center"/>
          </w:tcPr>
          <w:p w14:paraId="6BFA02B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342.8</w:t>
            </w:r>
          </w:p>
        </w:tc>
        <w:tc>
          <w:tcPr>
            <w:tcW w:w="1213" w:type="pct"/>
            <w:tcBorders>
              <w:top w:val="single" w:color="auto" w:sz="4" w:space="0"/>
              <w:left w:val="single" w:color="auto" w:sz="4" w:space="0"/>
              <w:bottom w:val="single" w:color="auto" w:sz="4" w:space="0"/>
              <w:right w:val="single" w:color="auto" w:sz="4" w:space="0"/>
            </w:tcBorders>
            <w:noWrap/>
            <w:vAlign w:val="center"/>
          </w:tcPr>
          <w:p w14:paraId="5A2810A6">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2553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4726C6D6">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③</w:t>
            </w:r>
          </w:p>
        </w:tc>
        <w:tc>
          <w:tcPr>
            <w:tcW w:w="1260" w:type="pct"/>
            <w:tcBorders>
              <w:top w:val="single" w:color="auto" w:sz="4" w:space="0"/>
              <w:left w:val="single" w:color="auto" w:sz="4" w:space="0"/>
              <w:bottom w:val="single" w:color="auto" w:sz="4" w:space="0"/>
              <w:right w:val="single" w:color="auto" w:sz="4" w:space="0"/>
            </w:tcBorders>
            <w:noWrap/>
            <w:vAlign w:val="center"/>
          </w:tcPr>
          <w:p w14:paraId="1D60B791">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272.8～285.3</w:t>
            </w:r>
          </w:p>
        </w:tc>
        <w:tc>
          <w:tcPr>
            <w:tcW w:w="1114" w:type="pct"/>
            <w:tcBorders>
              <w:top w:val="single" w:color="auto" w:sz="4" w:space="0"/>
              <w:left w:val="single" w:color="auto" w:sz="4" w:space="0"/>
              <w:bottom w:val="single" w:color="auto" w:sz="4" w:space="0"/>
              <w:right w:val="single" w:color="auto" w:sz="4" w:space="0"/>
            </w:tcBorders>
            <w:noWrap/>
            <w:vAlign w:val="center"/>
          </w:tcPr>
          <w:p w14:paraId="19E158B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12.5</w:t>
            </w:r>
          </w:p>
        </w:tc>
        <w:tc>
          <w:tcPr>
            <w:tcW w:w="891" w:type="pct"/>
            <w:tcBorders>
              <w:top w:val="single" w:color="auto" w:sz="4" w:space="0"/>
              <w:left w:val="single" w:color="auto" w:sz="4" w:space="0"/>
              <w:bottom w:val="single" w:color="auto" w:sz="4" w:space="0"/>
              <w:right w:val="single" w:color="auto" w:sz="4" w:space="0"/>
            </w:tcBorders>
            <w:noWrap/>
            <w:vAlign w:val="center"/>
          </w:tcPr>
          <w:p w14:paraId="38F0D45B">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164.2</w:t>
            </w:r>
          </w:p>
        </w:tc>
        <w:tc>
          <w:tcPr>
            <w:tcW w:w="1213" w:type="pct"/>
            <w:tcBorders>
              <w:top w:val="single" w:color="auto" w:sz="4" w:space="0"/>
              <w:left w:val="single" w:color="auto" w:sz="4" w:space="0"/>
              <w:bottom w:val="single" w:color="auto" w:sz="4" w:space="0"/>
              <w:right w:val="single" w:color="auto" w:sz="4" w:space="0"/>
            </w:tcBorders>
            <w:noWrap/>
            <w:vAlign w:val="center"/>
          </w:tcPr>
          <w:p w14:paraId="1206150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2D70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4F05B48A">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④</w:t>
            </w:r>
          </w:p>
        </w:tc>
        <w:tc>
          <w:tcPr>
            <w:tcW w:w="1260" w:type="pct"/>
            <w:tcBorders>
              <w:top w:val="single" w:color="auto" w:sz="4" w:space="0"/>
              <w:left w:val="single" w:color="auto" w:sz="4" w:space="0"/>
              <w:bottom w:val="single" w:color="auto" w:sz="4" w:space="0"/>
              <w:right w:val="single" w:color="auto" w:sz="4" w:space="0"/>
            </w:tcBorders>
            <w:noWrap/>
            <w:vAlign w:val="center"/>
          </w:tcPr>
          <w:p w14:paraId="3BF01B5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271.7～282.6</w:t>
            </w:r>
          </w:p>
        </w:tc>
        <w:tc>
          <w:tcPr>
            <w:tcW w:w="1114" w:type="pct"/>
            <w:tcBorders>
              <w:top w:val="single" w:color="auto" w:sz="4" w:space="0"/>
              <w:left w:val="single" w:color="auto" w:sz="4" w:space="0"/>
              <w:bottom w:val="single" w:color="auto" w:sz="4" w:space="0"/>
              <w:right w:val="single" w:color="auto" w:sz="4" w:space="0"/>
            </w:tcBorders>
            <w:noWrap/>
            <w:vAlign w:val="center"/>
          </w:tcPr>
          <w:p w14:paraId="19952EE3">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10.9</w:t>
            </w:r>
          </w:p>
        </w:tc>
        <w:tc>
          <w:tcPr>
            <w:tcW w:w="891" w:type="pct"/>
            <w:tcBorders>
              <w:top w:val="single" w:color="auto" w:sz="4" w:space="0"/>
              <w:left w:val="single" w:color="auto" w:sz="4" w:space="0"/>
              <w:bottom w:val="single" w:color="auto" w:sz="4" w:space="0"/>
              <w:right w:val="single" w:color="auto" w:sz="4" w:space="0"/>
            </w:tcBorders>
            <w:noWrap/>
            <w:vAlign w:val="center"/>
          </w:tcPr>
          <w:p w14:paraId="75AF5D68">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176.0</w:t>
            </w:r>
          </w:p>
        </w:tc>
        <w:tc>
          <w:tcPr>
            <w:tcW w:w="1213" w:type="pct"/>
            <w:tcBorders>
              <w:top w:val="single" w:color="auto" w:sz="4" w:space="0"/>
              <w:left w:val="single" w:color="auto" w:sz="4" w:space="0"/>
              <w:bottom w:val="single" w:color="auto" w:sz="4" w:space="0"/>
              <w:right w:val="single" w:color="auto" w:sz="4" w:space="0"/>
            </w:tcBorders>
            <w:noWrap/>
            <w:vAlign w:val="center"/>
          </w:tcPr>
          <w:p w14:paraId="6F0EC37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4FEB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0F977D36">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⑤</w:t>
            </w:r>
          </w:p>
        </w:tc>
        <w:tc>
          <w:tcPr>
            <w:tcW w:w="1260" w:type="pct"/>
            <w:tcBorders>
              <w:top w:val="single" w:color="auto" w:sz="4" w:space="0"/>
              <w:left w:val="single" w:color="auto" w:sz="4" w:space="0"/>
              <w:bottom w:val="single" w:color="auto" w:sz="4" w:space="0"/>
              <w:right w:val="single" w:color="auto" w:sz="4" w:space="0"/>
            </w:tcBorders>
            <w:noWrap/>
            <w:vAlign w:val="center"/>
          </w:tcPr>
          <w:p w14:paraId="3CA8CA31">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270.7～277.9</w:t>
            </w:r>
          </w:p>
        </w:tc>
        <w:tc>
          <w:tcPr>
            <w:tcW w:w="1114" w:type="pct"/>
            <w:tcBorders>
              <w:top w:val="single" w:color="auto" w:sz="4" w:space="0"/>
              <w:left w:val="single" w:color="auto" w:sz="4" w:space="0"/>
              <w:bottom w:val="single" w:color="auto" w:sz="4" w:space="0"/>
              <w:right w:val="single" w:color="auto" w:sz="4" w:space="0"/>
            </w:tcBorders>
            <w:noWrap/>
            <w:vAlign w:val="center"/>
          </w:tcPr>
          <w:p w14:paraId="150478E1">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7.2</w:t>
            </w:r>
          </w:p>
        </w:tc>
        <w:tc>
          <w:tcPr>
            <w:tcW w:w="891" w:type="pct"/>
            <w:tcBorders>
              <w:top w:val="single" w:color="auto" w:sz="4" w:space="0"/>
              <w:left w:val="single" w:color="auto" w:sz="4" w:space="0"/>
              <w:bottom w:val="single" w:color="auto" w:sz="4" w:space="0"/>
              <w:right w:val="single" w:color="auto" w:sz="4" w:space="0"/>
            </w:tcBorders>
            <w:noWrap/>
            <w:vAlign w:val="center"/>
          </w:tcPr>
          <w:p w14:paraId="0E4B8105">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124.5</w:t>
            </w:r>
          </w:p>
        </w:tc>
        <w:tc>
          <w:tcPr>
            <w:tcW w:w="1213" w:type="pct"/>
            <w:tcBorders>
              <w:top w:val="single" w:color="auto" w:sz="4" w:space="0"/>
              <w:left w:val="single" w:color="auto" w:sz="4" w:space="0"/>
              <w:bottom w:val="single" w:color="auto" w:sz="4" w:space="0"/>
              <w:right w:val="single" w:color="auto" w:sz="4" w:space="0"/>
            </w:tcBorders>
            <w:noWrap/>
            <w:vAlign w:val="center"/>
          </w:tcPr>
          <w:p w14:paraId="769A0E24">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6A19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276AA59C">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⑥</w:t>
            </w:r>
          </w:p>
        </w:tc>
        <w:tc>
          <w:tcPr>
            <w:tcW w:w="1260" w:type="pct"/>
            <w:tcBorders>
              <w:top w:val="single" w:color="auto" w:sz="4" w:space="0"/>
              <w:left w:val="single" w:color="auto" w:sz="4" w:space="0"/>
              <w:bottom w:val="single" w:color="auto" w:sz="4" w:space="0"/>
              <w:right w:val="single" w:color="auto" w:sz="4" w:space="0"/>
            </w:tcBorders>
            <w:noWrap/>
            <w:vAlign w:val="center"/>
          </w:tcPr>
          <w:p w14:paraId="389E199C">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320.4～327.0</w:t>
            </w:r>
          </w:p>
        </w:tc>
        <w:tc>
          <w:tcPr>
            <w:tcW w:w="1114" w:type="pct"/>
            <w:tcBorders>
              <w:top w:val="single" w:color="auto" w:sz="4" w:space="0"/>
              <w:left w:val="single" w:color="auto" w:sz="4" w:space="0"/>
              <w:bottom w:val="single" w:color="auto" w:sz="4" w:space="0"/>
              <w:right w:val="single" w:color="auto" w:sz="4" w:space="0"/>
            </w:tcBorders>
            <w:noWrap/>
            <w:vAlign w:val="center"/>
          </w:tcPr>
          <w:p w14:paraId="33ED7E4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6.6</w:t>
            </w:r>
          </w:p>
        </w:tc>
        <w:tc>
          <w:tcPr>
            <w:tcW w:w="891" w:type="pct"/>
            <w:tcBorders>
              <w:top w:val="single" w:color="auto" w:sz="4" w:space="0"/>
              <w:left w:val="single" w:color="auto" w:sz="4" w:space="0"/>
              <w:bottom w:val="single" w:color="auto" w:sz="4" w:space="0"/>
              <w:right w:val="single" w:color="auto" w:sz="4" w:space="0"/>
            </w:tcBorders>
            <w:noWrap/>
            <w:vAlign w:val="center"/>
          </w:tcPr>
          <w:p w14:paraId="139F6CF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799.0</w:t>
            </w:r>
          </w:p>
        </w:tc>
        <w:tc>
          <w:tcPr>
            <w:tcW w:w="1213" w:type="pct"/>
            <w:tcBorders>
              <w:top w:val="single" w:color="auto" w:sz="4" w:space="0"/>
              <w:left w:val="single" w:color="auto" w:sz="4" w:space="0"/>
              <w:bottom w:val="single" w:color="auto" w:sz="4" w:space="0"/>
              <w:right w:val="single" w:color="auto" w:sz="4" w:space="0"/>
            </w:tcBorders>
            <w:noWrap/>
            <w:vAlign w:val="center"/>
          </w:tcPr>
          <w:p w14:paraId="1A35B948">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lang w:bidi="ar"/>
              </w:rPr>
            </w:pPr>
            <w:r>
              <w:rPr>
                <w:color w:val="auto"/>
                <w:kern w:val="0"/>
                <w:sz w:val="21"/>
                <w:szCs w:val="21"/>
              </w:rPr>
              <w:t>推测采空区</w:t>
            </w:r>
          </w:p>
        </w:tc>
      </w:tr>
      <w:tr w14:paraId="0463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3011228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⑦</w:t>
            </w:r>
          </w:p>
        </w:tc>
        <w:tc>
          <w:tcPr>
            <w:tcW w:w="1260" w:type="pct"/>
            <w:tcBorders>
              <w:top w:val="single" w:color="auto" w:sz="4" w:space="0"/>
              <w:left w:val="single" w:color="auto" w:sz="4" w:space="0"/>
              <w:bottom w:val="single" w:color="auto" w:sz="4" w:space="0"/>
              <w:right w:val="single" w:color="auto" w:sz="4" w:space="0"/>
            </w:tcBorders>
            <w:noWrap/>
            <w:vAlign w:val="center"/>
          </w:tcPr>
          <w:p w14:paraId="5D29AF6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332.1～343.6</w:t>
            </w:r>
          </w:p>
        </w:tc>
        <w:tc>
          <w:tcPr>
            <w:tcW w:w="1114" w:type="pct"/>
            <w:tcBorders>
              <w:top w:val="single" w:color="auto" w:sz="4" w:space="0"/>
              <w:left w:val="single" w:color="auto" w:sz="4" w:space="0"/>
              <w:bottom w:val="single" w:color="auto" w:sz="4" w:space="0"/>
              <w:right w:val="single" w:color="auto" w:sz="4" w:space="0"/>
            </w:tcBorders>
            <w:noWrap/>
            <w:vAlign w:val="center"/>
          </w:tcPr>
          <w:p w14:paraId="23716A0E">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11.5</w:t>
            </w:r>
          </w:p>
        </w:tc>
        <w:tc>
          <w:tcPr>
            <w:tcW w:w="891" w:type="pct"/>
            <w:tcBorders>
              <w:top w:val="single" w:color="auto" w:sz="4" w:space="0"/>
              <w:left w:val="single" w:color="auto" w:sz="4" w:space="0"/>
              <w:bottom w:val="single" w:color="auto" w:sz="4" w:space="0"/>
              <w:right w:val="single" w:color="auto" w:sz="4" w:space="0"/>
            </w:tcBorders>
            <w:noWrap/>
            <w:vAlign w:val="center"/>
          </w:tcPr>
          <w:p w14:paraId="14325A0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135.6</w:t>
            </w:r>
          </w:p>
        </w:tc>
        <w:tc>
          <w:tcPr>
            <w:tcW w:w="1213" w:type="pct"/>
            <w:tcBorders>
              <w:top w:val="single" w:color="auto" w:sz="4" w:space="0"/>
              <w:left w:val="single" w:color="auto" w:sz="4" w:space="0"/>
              <w:bottom w:val="single" w:color="auto" w:sz="4" w:space="0"/>
              <w:right w:val="single" w:color="auto" w:sz="4" w:space="0"/>
            </w:tcBorders>
            <w:noWrap/>
            <w:vAlign w:val="center"/>
          </w:tcPr>
          <w:p w14:paraId="58F9A205">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7D30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2C08A5D3">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⑧</w:t>
            </w:r>
          </w:p>
        </w:tc>
        <w:tc>
          <w:tcPr>
            <w:tcW w:w="1260" w:type="pct"/>
            <w:tcBorders>
              <w:top w:val="single" w:color="auto" w:sz="4" w:space="0"/>
              <w:left w:val="single" w:color="auto" w:sz="4" w:space="0"/>
              <w:bottom w:val="single" w:color="auto" w:sz="4" w:space="0"/>
              <w:right w:val="single" w:color="auto" w:sz="4" w:space="0"/>
            </w:tcBorders>
            <w:noWrap/>
            <w:vAlign w:val="center"/>
          </w:tcPr>
          <w:p w14:paraId="66432DC4">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321.6～335.9</w:t>
            </w:r>
          </w:p>
        </w:tc>
        <w:tc>
          <w:tcPr>
            <w:tcW w:w="1114" w:type="pct"/>
            <w:tcBorders>
              <w:top w:val="single" w:color="auto" w:sz="4" w:space="0"/>
              <w:left w:val="single" w:color="auto" w:sz="4" w:space="0"/>
              <w:bottom w:val="single" w:color="auto" w:sz="4" w:space="0"/>
              <w:right w:val="single" w:color="auto" w:sz="4" w:space="0"/>
            </w:tcBorders>
            <w:noWrap/>
            <w:vAlign w:val="center"/>
          </w:tcPr>
          <w:p w14:paraId="60C5892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14.3</w:t>
            </w:r>
          </w:p>
        </w:tc>
        <w:tc>
          <w:tcPr>
            <w:tcW w:w="891" w:type="pct"/>
            <w:tcBorders>
              <w:top w:val="single" w:color="auto" w:sz="4" w:space="0"/>
              <w:left w:val="single" w:color="auto" w:sz="4" w:space="0"/>
              <w:bottom w:val="single" w:color="auto" w:sz="4" w:space="0"/>
              <w:right w:val="single" w:color="auto" w:sz="4" w:space="0"/>
            </w:tcBorders>
            <w:noWrap/>
            <w:vAlign w:val="center"/>
          </w:tcPr>
          <w:p w14:paraId="5E574207">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325.4</w:t>
            </w:r>
          </w:p>
        </w:tc>
        <w:tc>
          <w:tcPr>
            <w:tcW w:w="1213" w:type="pct"/>
            <w:tcBorders>
              <w:top w:val="single" w:color="auto" w:sz="4" w:space="0"/>
              <w:left w:val="single" w:color="auto" w:sz="4" w:space="0"/>
              <w:bottom w:val="single" w:color="auto" w:sz="4" w:space="0"/>
              <w:right w:val="single" w:color="auto" w:sz="4" w:space="0"/>
            </w:tcBorders>
            <w:noWrap/>
            <w:vAlign w:val="center"/>
          </w:tcPr>
          <w:p w14:paraId="62BD4D28">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5A48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55F5D80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⑨</w:t>
            </w:r>
          </w:p>
        </w:tc>
        <w:tc>
          <w:tcPr>
            <w:tcW w:w="1260" w:type="pct"/>
            <w:tcBorders>
              <w:top w:val="single" w:color="auto" w:sz="4" w:space="0"/>
              <w:left w:val="single" w:color="auto" w:sz="4" w:space="0"/>
              <w:bottom w:val="single" w:color="auto" w:sz="4" w:space="0"/>
              <w:right w:val="single" w:color="auto" w:sz="4" w:space="0"/>
            </w:tcBorders>
            <w:noWrap/>
            <w:vAlign w:val="center"/>
          </w:tcPr>
          <w:p w14:paraId="5C5E47A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267.8～274.1</w:t>
            </w:r>
          </w:p>
        </w:tc>
        <w:tc>
          <w:tcPr>
            <w:tcW w:w="1114" w:type="pct"/>
            <w:tcBorders>
              <w:top w:val="single" w:color="auto" w:sz="4" w:space="0"/>
              <w:left w:val="single" w:color="auto" w:sz="4" w:space="0"/>
              <w:bottom w:val="single" w:color="auto" w:sz="4" w:space="0"/>
              <w:right w:val="single" w:color="auto" w:sz="4" w:space="0"/>
            </w:tcBorders>
            <w:noWrap/>
            <w:vAlign w:val="center"/>
          </w:tcPr>
          <w:p w14:paraId="4F85F03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6.3</w:t>
            </w:r>
          </w:p>
        </w:tc>
        <w:tc>
          <w:tcPr>
            <w:tcW w:w="891" w:type="pct"/>
            <w:tcBorders>
              <w:top w:val="single" w:color="auto" w:sz="4" w:space="0"/>
              <w:left w:val="single" w:color="auto" w:sz="4" w:space="0"/>
              <w:bottom w:val="single" w:color="auto" w:sz="4" w:space="0"/>
              <w:right w:val="single" w:color="auto" w:sz="4" w:space="0"/>
            </w:tcBorders>
            <w:noWrap/>
            <w:vAlign w:val="center"/>
          </w:tcPr>
          <w:p w14:paraId="67E63A6B">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534.7</w:t>
            </w:r>
          </w:p>
        </w:tc>
        <w:tc>
          <w:tcPr>
            <w:tcW w:w="1213" w:type="pct"/>
            <w:tcBorders>
              <w:top w:val="single" w:color="auto" w:sz="4" w:space="0"/>
              <w:left w:val="single" w:color="auto" w:sz="4" w:space="0"/>
              <w:bottom w:val="single" w:color="auto" w:sz="4" w:space="0"/>
              <w:right w:val="single" w:color="auto" w:sz="4" w:space="0"/>
            </w:tcBorders>
            <w:noWrap/>
            <w:vAlign w:val="center"/>
          </w:tcPr>
          <w:p w14:paraId="5E87F0E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625A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4FCE0D5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hint="eastAsia" w:ascii="宋体" w:hAnsi="宋体" w:cs="宋体"/>
                <w:color w:val="auto"/>
                <w:kern w:val="0"/>
                <w:sz w:val="21"/>
                <w:szCs w:val="21"/>
              </w:rPr>
              <w:t>⑩</w:t>
            </w:r>
          </w:p>
        </w:tc>
        <w:tc>
          <w:tcPr>
            <w:tcW w:w="1260" w:type="pct"/>
            <w:tcBorders>
              <w:top w:val="single" w:color="auto" w:sz="4" w:space="0"/>
              <w:left w:val="single" w:color="auto" w:sz="4" w:space="0"/>
              <w:bottom w:val="single" w:color="auto" w:sz="4" w:space="0"/>
              <w:right w:val="single" w:color="auto" w:sz="4" w:space="0"/>
            </w:tcBorders>
            <w:noWrap/>
            <w:vAlign w:val="center"/>
          </w:tcPr>
          <w:p w14:paraId="09513081">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341.2～352.3</w:t>
            </w:r>
          </w:p>
        </w:tc>
        <w:tc>
          <w:tcPr>
            <w:tcW w:w="1114" w:type="pct"/>
            <w:tcBorders>
              <w:top w:val="single" w:color="auto" w:sz="4" w:space="0"/>
              <w:left w:val="single" w:color="auto" w:sz="4" w:space="0"/>
              <w:bottom w:val="single" w:color="auto" w:sz="4" w:space="0"/>
              <w:right w:val="single" w:color="auto" w:sz="4" w:space="0"/>
            </w:tcBorders>
            <w:noWrap/>
            <w:vAlign w:val="center"/>
          </w:tcPr>
          <w:p w14:paraId="623F063D">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11.1</w:t>
            </w:r>
          </w:p>
        </w:tc>
        <w:tc>
          <w:tcPr>
            <w:tcW w:w="891" w:type="pct"/>
            <w:tcBorders>
              <w:top w:val="single" w:color="auto" w:sz="4" w:space="0"/>
              <w:left w:val="single" w:color="auto" w:sz="4" w:space="0"/>
              <w:bottom w:val="single" w:color="auto" w:sz="4" w:space="0"/>
              <w:right w:val="single" w:color="auto" w:sz="4" w:space="0"/>
            </w:tcBorders>
            <w:noWrap/>
            <w:vAlign w:val="center"/>
          </w:tcPr>
          <w:p w14:paraId="6537F016">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149.9</w:t>
            </w:r>
          </w:p>
        </w:tc>
        <w:tc>
          <w:tcPr>
            <w:tcW w:w="1213" w:type="pct"/>
            <w:tcBorders>
              <w:top w:val="single" w:color="auto" w:sz="4" w:space="0"/>
              <w:left w:val="single" w:color="auto" w:sz="4" w:space="0"/>
              <w:bottom w:val="single" w:color="auto" w:sz="4" w:space="0"/>
              <w:right w:val="single" w:color="auto" w:sz="4" w:space="0"/>
            </w:tcBorders>
            <w:noWrap/>
            <w:vAlign w:val="center"/>
          </w:tcPr>
          <w:p w14:paraId="671150CC">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38DB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1EBD2F6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ascii="Cambria Math" w:hAnsi="Cambria Math" w:cs="Cambria Math"/>
                <w:color w:val="auto"/>
                <w:kern w:val="0"/>
                <w:sz w:val="21"/>
                <w:szCs w:val="21"/>
              </w:rPr>
              <w:t>⑪</w:t>
            </w:r>
          </w:p>
        </w:tc>
        <w:tc>
          <w:tcPr>
            <w:tcW w:w="1260" w:type="pct"/>
            <w:tcBorders>
              <w:top w:val="single" w:color="auto" w:sz="4" w:space="0"/>
              <w:left w:val="single" w:color="auto" w:sz="4" w:space="0"/>
              <w:bottom w:val="single" w:color="auto" w:sz="4" w:space="0"/>
              <w:right w:val="single" w:color="auto" w:sz="4" w:space="0"/>
            </w:tcBorders>
            <w:noWrap/>
            <w:vAlign w:val="center"/>
          </w:tcPr>
          <w:p w14:paraId="095AFB98">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318.7～329.8</w:t>
            </w:r>
          </w:p>
        </w:tc>
        <w:tc>
          <w:tcPr>
            <w:tcW w:w="1114" w:type="pct"/>
            <w:tcBorders>
              <w:top w:val="single" w:color="auto" w:sz="4" w:space="0"/>
              <w:left w:val="single" w:color="auto" w:sz="4" w:space="0"/>
              <w:bottom w:val="single" w:color="auto" w:sz="4" w:space="0"/>
              <w:right w:val="single" w:color="auto" w:sz="4" w:space="0"/>
            </w:tcBorders>
            <w:noWrap/>
            <w:vAlign w:val="center"/>
          </w:tcPr>
          <w:p w14:paraId="126856D5">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11.1</w:t>
            </w:r>
          </w:p>
        </w:tc>
        <w:tc>
          <w:tcPr>
            <w:tcW w:w="891" w:type="pct"/>
            <w:tcBorders>
              <w:top w:val="single" w:color="auto" w:sz="4" w:space="0"/>
              <w:left w:val="single" w:color="auto" w:sz="4" w:space="0"/>
              <w:bottom w:val="single" w:color="auto" w:sz="4" w:space="0"/>
              <w:right w:val="single" w:color="auto" w:sz="4" w:space="0"/>
            </w:tcBorders>
            <w:noWrap/>
            <w:vAlign w:val="center"/>
          </w:tcPr>
          <w:p w14:paraId="660394EB">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189.1</w:t>
            </w:r>
          </w:p>
        </w:tc>
        <w:tc>
          <w:tcPr>
            <w:tcW w:w="1213" w:type="pct"/>
            <w:tcBorders>
              <w:top w:val="single" w:color="auto" w:sz="4" w:space="0"/>
              <w:left w:val="single" w:color="auto" w:sz="4" w:space="0"/>
              <w:bottom w:val="single" w:color="auto" w:sz="4" w:space="0"/>
              <w:right w:val="single" w:color="auto" w:sz="4" w:space="0"/>
            </w:tcBorders>
            <w:noWrap/>
            <w:vAlign w:val="center"/>
          </w:tcPr>
          <w:p w14:paraId="69DDC14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41FD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7670DF85">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ascii="Cambria Math" w:hAnsi="Cambria Math" w:cs="Cambria Math"/>
                <w:color w:val="auto"/>
                <w:kern w:val="0"/>
                <w:sz w:val="21"/>
                <w:szCs w:val="21"/>
              </w:rPr>
              <w:t>⑫</w:t>
            </w:r>
          </w:p>
        </w:tc>
        <w:tc>
          <w:tcPr>
            <w:tcW w:w="1260" w:type="pct"/>
            <w:tcBorders>
              <w:top w:val="single" w:color="auto" w:sz="4" w:space="0"/>
              <w:left w:val="single" w:color="auto" w:sz="4" w:space="0"/>
              <w:bottom w:val="single" w:color="auto" w:sz="4" w:space="0"/>
              <w:right w:val="single" w:color="auto" w:sz="4" w:space="0"/>
            </w:tcBorders>
            <w:noWrap/>
            <w:vAlign w:val="center"/>
          </w:tcPr>
          <w:p w14:paraId="47B872F3">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360.2～372.4</w:t>
            </w:r>
          </w:p>
        </w:tc>
        <w:tc>
          <w:tcPr>
            <w:tcW w:w="1114" w:type="pct"/>
            <w:tcBorders>
              <w:top w:val="single" w:color="auto" w:sz="4" w:space="0"/>
              <w:left w:val="single" w:color="auto" w:sz="4" w:space="0"/>
              <w:bottom w:val="single" w:color="auto" w:sz="4" w:space="0"/>
              <w:right w:val="single" w:color="auto" w:sz="4" w:space="0"/>
            </w:tcBorders>
            <w:noWrap/>
            <w:vAlign w:val="center"/>
          </w:tcPr>
          <w:p w14:paraId="17C77AD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12.2</w:t>
            </w:r>
          </w:p>
        </w:tc>
        <w:tc>
          <w:tcPr>
            <w:tcW w:w="891" w:type="pct"/>
            <w:tcBorders>
              <w:top w:val="single" w:color="auto" w:sz="4" w:space="0"/>
              <w:left w:val="single" w:color="auto" w:sz="4" w:space="0"/>
              <w:bottom w:val="single" w:color="auto" w:sz="4" w:space="0"/>
              <w:right w:val="single" w:color="auto" w:sz="4" w:space="0"/>
            </w:tcBorders>
            <w:noWrap/>
            <w:vAlign w:val="center"/>
          </w:tcPr>
          <w:p w14:paraId="0EC39086">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183.0</w:t>
            </w:r>
          </w:p>
        </w:tc>
        <w:tc>
          <w:tcPr>
            <w:tcW w:w="1213" w:type="pct"/>
            <w:tcBorders>
              <w:top w:val="single" w:color="auto" w:sz="4" w:space="0"/>
              <w:left w:val="single" w:color="auto" w:sz="4" w:space="0"/>
              <w:bottom w:val="single" w:color="auto" w:sz="4" w:space="0"/>
              <w:right w:val="single" w:color="auto" w:sz="4" w:space="0"/>
            </w:tcBorders>
            <w:noWrap/>
            <w:vAlign w:val="center"/>
          </w:tcPr>
          <w:p w14:paraId="468F3AA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7331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4FD7C67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ascii="Cambria Math" w:hAnsi="Cambria Math" w:cs="Cambria Math"/>
                <w:color w:val="auto"/>
                <w:kern w:val="0"/>
                <w:sz w:val="21"/>
                <w:szCs w:val="21"/>
              </w:rPr>
              <w:t>⑬</w:t>
            </w:r>
          </w:p>
        </w:tc>
        <w:tc>
          <w:tcPr>
            <w:tcW w:w="1260" w:type="pct"/>
            <w:tcBorders>
              <w:top w:val="single" w:color="auto" w:sz="4" w:space="0"/>
              <w:left w:val="single" w:color="auto" w:sz="4" w:space="0"/>
              <w:bottom w:val="single" w:color="auto" w:sz="4" w:space="0"/>
              <w:right w:val="single" w:color="auto" w:sz="4" w:space="0"/>
            </w:tcBorders>
            <w:noWrap/>
            <w:vAlign w:val="center"/>
          </w:tcPr>
          <w:p w14:paraId="29DB187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336.5～347.7</w:t>
            </w:r>
          </w:p>
        </w:tc>
        <w:tc>
          <w:tcPr>
            <w:tcW w:w="1114" w:type="pct"/>
            <w:tcBorders>
              <w:top w:val="single" w:color="auto" w:sz="4" w:space="0"/>
              <w:left w:val="single" w:color="auto" w:sz="4" w:space="0"/>
              <w:bottom w:val="single" w:color="auto" w:sz="4" w:space="0"/>
              <w:right w:val="single" w:color="auto" w:sz="4" w:space="0"/>
            </w:tcBorders>
            <w:noWrap/>
            <w:vAlign w:val="center"/>
          </w:tcPr>
          <w:p w14:paraId="7E1BD47B">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11.2</w:t>
            </w:r>
          </w:p>
        </w:tc>
        <w:tc>
          <w:tcPr>
            <w:tcW w:w="891" w:type="pct"/>
            <w:tcBorders>
              <w:top w:val="single" w:color="auto" w:sz="4" w:space="0"/>
              <w:left w:val="single" w:color="auto" w:sz="4" w:space="0"/>
              <w:bottom w:val="single" w:color="auto" w:sz="4" w:space="0"/>
              <w:right w:val="single" w:color="auto" w:sz="4" w:space="0"/>
            </w:tcBorders>
            <w:noWrap/>
            <w:vAlign w:val="center"/>
          </w:tcPr>
          <w:p w14:paraId="70AEE5C8">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120.8</w:t>
            </w:r>
          </w:p>
        </w:tc>
        <w:tc>
          <w:tcPr>
            <w:tcW w:w="1213" w:type="pct"/>
            <w:tcBorders>
              <w:top w:val="single" w:color="auto" w:sz="4" w:space="0"/>
              <w:left w:val="single" w:color="auto" w:sz="4" w:space="0"/>
              <w:bottom w:val="single" w:color="auto" w:sz="4" w:space="0"/>
              <w:right w:val="single" w:color="auto" w:sz="4" w:space="0"/>
            </w:tcBorders>
            <w:noWrap/>
            <w:vAlign w:val="center"/>
          </w:tcPr>
          <w:p w14:paraId="564799AC">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7501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670605E4">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ascii="Cambria Math" w:hAnsi="Cambria Math" w:cs="Cambria Math"/>
                <w:color w:val="auto"/>
                <w:kern w:val="0"/>
                <w:sz w:val="21"/>
                <w:szCs w:val="21"/>
              </w:rPr>
              <w:t>⑭</w:t>
            </w:r>
          </w:p>
        </w:tc>
        <w:tc>
          <w:tcPr>
            <w:tcW w:w="1260" w:type="pct"/>
            <w:tcBorders>
              <w:top w:val="single" w:color="auto" w:sz="4" w:space="0"/>
              <w:left w:val="single" w:color="auto" w:sz="4" w:space="0"/>
              <w:bottom w:val="single" w:color="auto" w:sz="4" w:space="0"/>
              <w:right w:val="single" w:color="auto" w:sz="4" w:space="0"/>
            </w:tcBorders>
            <w:noWrap/>
            <w:vAlign w:val="center"/>
          </w:tcPr>
          <w:p w14:paraId="13B023F2">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336.5～351.6</w:t>
            </w:r>
          </w:p>
        </w:tc>
        <w:tc>
          <w:tcPr>
            <w:tcW w:w="1114" w:type="pct"/>
            <w:tcBorders>
              <w:top w:val="single" w:color="auto" w:sz="4" w:space="0"/>
              <w:left w:val="single" w:color="auto" w:sz="4" w:space="0"/>
              <w:bottom w:val="single" w:color="auto" w:sz="4" w:space="0"/>
              <w:right w:val="single" w:color="auto" w:sz="4" w:space="0"/>
            </w:tcBorders>
            <w:noWrap/>
            <w:vAlign w:val="center"/>
          </w:tcPr>
          <w:p w14:paraId="28086C3D">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15.1</w:t>
            </w:r>
          </w:p>
        </w:tc>
        <w:tc>
          <w:tcPr>
            <w:tcW w:w="891" w:type="pct"/>
            <w:tcBorders>
              <w:top w:val="single" w:color="auto" w:sz="4" w:space="0"/>
              <w:left w:val="single" w:color="auto" w:sz="4" w:space="0"/>
              <w:bottom w:val="single" w:color="auto" w:sz="4" w:space="0"/>
              <w:right w:val="single" w:color="auto" w:sz="4" w:space="0"/>
            </w:tcBorders>
            <w:noWrap/>
            <w:vAlign w:val="center"/>
          </w:tcPr>
          <w:p w14:paraId="598D7149">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180.8</w:t>
            </w:r>
          </w:p>
        </w:tc>
        <w:tc>
          <w:tcPr>
            <w:tcW w:w="1213" w:type="pct"/>
            <w:tcBorders>
              <w:top w:val="single" w:color="auto" w:sz="4" w:space="0"/>
              <w:left w:val="single" w:color="auto" w:sz="4" w:space="0"/>
              <w:bottom w:val="single" w:color="auto" w:sz="4" w:space="0"/>
              <w:right w:val="single" w:color="auto" w:sz="4" w:space="0"/>
            </w:tcBorders>
            <w:noWrap/>
            <w:vAlign w:val="center"/>
          </w:tcPr>
          <w:p w14:paraId="4A753BB7">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2151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2E15A39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ascii="Cambria Math" w:hAnsi="Cambria Math" w:cs="Cambria Math"/>
                <w:color w:val="auto"/>
                <w:kern w:val="0"/>
                <w:sz w:val="21"/>
                <w:szCs w:val="21"/>
              </w:rPr>
              <w:t>⑮</w:t>
            </w:r>
          </w:p>
        </w:tc>
        <w:tc>
          <w:tcPr>
            <w:tcW w:w="1260" w:type="pct"/>
            <w:tcBorders>
              <w:top w:val="single" w:color="auto" w:sz="4" w:space="0"/>
              <w:left w:val="single" w:color="auto" w:sz="4" w:space="0"/>
              <w:bottom w:val="single" w:color="auto" w:sz="4" w:space="0"/>
              <w:right w:val="single" w:color="auto" w:sz="4" w:space="0"/>
            </w:tcBorders>
            <w:noWrap/>
            <w:vAlign w:val="center"/>
          </w:tcPr>
          <w:p w14:paraId="79547D67">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325.6～334.4</w:t>
            </w:r>
          </w:p>
        </w:tc>
        <w:tc>
          <w:tcPr>
            <w:tcW w:w="1114" w:type="pct"/>
            <w:tcBorders>
              <w:top w:val="single" w:color="auto" w:sz="4" w:space="0"/>
              <w:left w:val="single" w:color="auto" w:sz="4" w:space="0"/>
              <w:bottom w:val="single" w:color="auto" w:sz="4" w:space="0"/>
              <w:right w:val="single" w:color="auto" w:sz="4" w:space="0"/>
            </w:tcBorders>
            <w:noWrap/>
            <w:vAlign w:val="center"/>
          </w:tcPr>
          <w:p w14:paraId="77C10E2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8.8</w:t>
            </w:r>
          </w:p>
        </w:tc>
        <w:tc>
          <w:tcPr>
            <w:tcW w:w="891" w:type="pct"/>
            <w:tcBorders>
              <w:top w:val="single" w:color="auto" w:sz="4" w:space="0"/>
              <w:left w:val="single" w:color="auto" w:sz="4" w:space="0"/>
              <w:bottom w:val="single" w:color="auto" w:sz="4" w:space="0"/>
              <w:right w:val="single" w:color="auto" w:sz="4" w:space="0"/>
            </w:tcBorders>
            <w:noWrap/>
            <w:vAlign w:val="center"/>
          </w:tcPr>
          <w:p w14:paraId="29252FD7">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118.2</w:t>
            </w:r>
          </w:p>
        </w:tc>
        <w:tc>
          <w:tcPr>
            <w:tcW w:w="1213" w:type="pct"/>
            <w:tcBorders>
              <w:top w:val="single" w:color="auto" w:sz="4" w:space="0"/>
              <w:left w:val="single" w:color="auto" w:sz="4" w:space="0"/>
              <w:bottom w:val="single" w:color="auto" w:sz="4" w:space="0"/>
              <w:right w:val="single" w:color="auto" w:sz="4" w:space="0"/>
            </w:tcBorders>
            <w:noWrap/>
            <w:vAlign w:val="center"/>
          </w:tcPr>
          <w:p w14:paraId="4280F9EE">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6521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73AE6304">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ascii="Cambria Math" w:hAnsi="Cambria Math" w:cs="Cambria Math"/>
                <w:color w:val="auto"/>
                <w:kern w:val="0"/>
                <w:sz w:val="21"/>
                <w:szCs w:val="21"/>
              </w:rPr>
              <w:t>⑯</w:t>
            </w:r>
          </w:p>
        </w:tc>
        <w:tc>
          <w:tcPr>
            <w:tcW w:w="1260" w:type="pct"/>
            <w:tcBorders>
              <w:top w:val="single" w:color="auto" w:sz="4" w:space="0"/>
              <w:left w:val="single" w:color="auto" w:sz="4" w:space="0"/>
              <w:bottom w:val="single" w:color="auto" w:sz="4" w:space="0"/>
              <w:right w:val="single" w:color="auto" w:sz="4" w:space="0"/>
            </w:tcBorders>
            <w:noWrap/>
            <w:vAlign w:val="center"/>
          </w:tcPr>
          <w:p w14:paraId="5C9BBC0E">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382.3～391.7</w:t>
            </w:r>
          </w:p>
        </w:tc>
        <w:tc>
          <w:tcPr>
            <w:tcW w:w="1114" w:type="pct"/>
            <w:tcBorders>
              <w:top w:val="single" w:color="auto" w:sz="4" w:space="0"/>
              <w:left w:val="single" w:color="auto" w:sz="4" w:space="0"/>
              <w:bottom w:val="single" w:color="auto" w:sz="4" w:space="0"/>
              <w:right w:val="single" w:color="auto" w:sz="4" w:space="0"/>
            </w:tcBorders>
            <w:noWrap/>
            <w:vAlign w:val="center"/>
          </w:tcPr>
          <w:p w14:paraId="0ABF60A4">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9.4</w:t>
            </w:r>
          </w:p>
        </w:tc>
        <w:tc>
          <w:tcPr>
            <w:tcW w:w="891" w:type="pct"/>
            <w:tcBorders>
              <w:top w:val="single" w:color="auto" w:sz="4" w:space="0"/>
              <w:left w:val="single" w:color="auto" w:sz="4" w:space="0"/>
              <w:bottom w:val="single" w:color="auto" w:sz="4" w:space="0"/>
              <w:right w:val="single" w:color="auto" w:sz="4" w:space="0"/>
            </w:tcBorders>
            <w:noWrap/>
            <w:vAlign w:val="center"/>
          </w:tcPr>
          <w:p w14:paraId="00FAEB58">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326.6</w:t>
            </w:r>
          </w:p>
        </w:tc>
        <w:tc>
          <w:tcPr>
            <w:tcW w:w="1213" w:type="pct"/>
            <w:tcBorders>
              <w:top w:val="single" w:color="auto" w:sz="4" w:space="0"/>
              <w:left w:val="single" w:color="auto" w:sz="4" w:space="0"/>
              <w:bottom w:val="single" w:color="auto" w:sz="4" w:space="0"/>
              <w:right w:val="single" w:color="auto" w:sz="4" w:space="0"/>
            </w:tcBorders>
            <w:noWrap/>
            <w:vAlign w:val="center"/>
          </w:tcPr>
          <w:p w14:paraId="526FC06F">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40A6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0BB304EB">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rFonts w:ascii="Cambria Math" w:hAnsi="Cambria Math" w:cs="Cambria Math"/>
                <w:color w:val="auto"/>
                <w:kern w:val="0"/>
                <w:sz w:val="21"/>
                <w:szCs w:val="21"/>
              </w:rPr>
              <w:t>⑰</w:t>
            </w:r>
          </w:p>
        </w:tc>
        <w:tc>
          <w:tcPr>
            <w:tcW w:w="1260" w:type="pct"/>
            <w:tcBorders>
              <w:top w:val="single" w:color="auto" w:sz="4" w:space="0"/>
              <w:left w:val="single" w:color="auto" w:sz="4" w:space="0"/>
              <w:bottom w:val="single" w:color="auto" w:sz="4" w:space="0"/>
              <w:right w:val="single" w:color="auto" w:sz="4" w:space="0"/>
            </w:tcBorders>
            <w:noWrap/>
            <w:vAlign w:val="center"/>
          </w:tcPr>
          <w:p w14:paraId="64471FB7">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314.3～333.1</w:t>
            </w:r>
          </w:p>
        </w:tc>
        <w:tc>
          <w:tcPr>
            <w:tcW w:w="1114" w:type="pct"/>
            <w:tcBorders>
              <w:top w:val="single" w:color="auto" w:sz="4" w:space="0"/>
              <w:left w:val="single" w:color="auto" w:sz="4" w:space="0"/>
              <w:bottom w:val="single" w:color="auto" w:sz="4" w:space="0"/>
              <w:right w:val="single" w:color="auto" w:sz="4" w:space="0"/>
            </w:tcBorders>
            <w:noWrap/>
            <w:vAlign w:val="center"/>
          </w:tcPr>
          <w:p w14:paraId="6B87DB0D">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18.8</w:t>
            </w:r>
          </w:p>
        </w:tc>
        <w:tc>
          <w:tcPr>
            <w:tcW w:w="891" w:type="pct"/>
            <w:tcBorders>
              <w:top w:val="single" w:color="auto" w:sz="4" w:space="0"/>
              <w:left w:val="single" w:color="auto" w:sz="4" w:space="0"/>
              <w:bottom w:val="single" w:color="auto" w:sz="4" w:space="0"/>
              <w:right w:val="single" w:color="auto" w:sz="4" w:space="0"/>
            </w:tcBorders>
            <w:noWrap/>
            <w:vAlign w:val="center"/>
          </w:tcPr>
          <w:p w14:paraId="5F35C045">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443.2</w:t>
            </w:r>
          </w:p>
        </w:tc>
        <w:tc>
          <w:tcPr>
            <w:tcW w:w="1213" w:type="pct"/>
            <w:tcBorders>
              <w:top w:val="single" w:color="auto" w:sz="4" w:space="0"/>
              <w:left w:val="single" w:color="auto" w:sz="4" w:space="0"/>
              <w:bottom w:val="single" w:color="auto" w:sz="4" w:space="0"/>
              <w:right w:val="single" w:color="auto" w:sz="4" w:space="0"/>
            </w:tcBorders>
            <w:noWrap/>
            <w:vAlign w:val="center"/>
          </w:tcPr>
          <w:p w14:paraId="43142041">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推测采空区</w:t>
            </w:r>
          </w:p>
        </w:tc>
      </w:tr>
      <w:tr w14:paraId="68C7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exact"/>
        </w:trPr>
        <w:tc>
          <w:tcPr>
            <w:tcW w:w="521" w:type="pct"/>
            <w:tcBorders>
              <w:top w:val="single" w:color="auto" w:sz="4" w:space="0"/>
              <w:left w:val="single" w:color="auto" w:sz="4" w:space="0"/>
              <w:bottom w:val="single" w:color="auto" w:sz="4" w:space="0"/>
              <w:right w:val="single" w:color="auto" w:sz="4" w:space="0"/>
            </w:tcBorders>
            <w:noWrap/>
            <w:vAlign w:val="center"/>
          </w:tcPr>
          <w:p w14:paraId="55C27805">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w:t>
            </w:r>
          </w:p>
        </w:tc>
        <w:tc>
          <w:tcPr>
            <w:tcW w:w="1260" w:type="pct"/>
            <w:tcBorders>
              <w:top w:val="single" w:color="auto" w:sz="4" w:space="0"/>
              <w:left w:val="single" w:color="auto" w:sz="4" w:space="0"/>
              <w:bottom w:val="single" w:color="auto" w:sz="4" w:space="0"/>
              <w:right w:val="single" w:color="auto" w:sz="4" w:space="0"/>
            </w:tcBorders>
            <w:noWrap/>
            <w:vAlign w:val="center"/>
          </w:tcPr>
          <w:p w14:paraId="2C358DC3">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342.2～361.4</w:t>
            </w:r>
          </w:p>
        </w:tc>
        <w:tc>
          <w:tcPr>
            <w:tcW w:w="1114" w:type="pct"/>
            <w:tcBorders>
              <w:top w:val="single" w:color="auto" w:sz="4" w:space="0"/>
              <w:left w:val="single" w:color="auto" w:sz="4" w:space="0"/>
              <w:bottom w:val="single" w:color="auto" w:sz="4" w:space="0"/>
              <w:right w:val="single" w:color="auto" w:sz="4" w:space="0"/>
            </w:tcBorders>
            <w:noWrap/>
            <w:vAlign w:val="center"/>
          </w:tcPr>
          <w:p w14:paraId="2EAE3F2A">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19.2</w:t>
            </w:r>
          </w:p>
        </w:tc>
        <w:tc>
          <w:tcPr>
            <w:tcW w:w="891" w:type="pct"/>
            <w:tcBorders>
              <w:top w:val="single" w:color="auto" w:sz="4" w:space="0"/>
              <w:left w:val="single" w:color="auto" w:sz="4" w:space="0"/>
              <w:bottom w:val="single" w:color="auto" w:sz="4" w:space="0"/>
              <w:right w:val="single" w:color="auto" w:sz="4" w:space="0"/>
            </w:tcBorders>
            <w:noWrap/>
            <w:vAlign w:val="center"/>
          </w:tcPr>
          <w:p w14:paraId="3CF223AD">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275.6</w:t>
            </w:r>
          </w:p>
        </w:tc>
        <w:tc>
          <w:tcPr>
            <w:tcW w:w="1213" w:type="pct"/>
            <w:tcBorders>
              <w:top w:val="single" w:color="auto" w:sz="4" w:space="0"/>
              <w:left w:val="single" w:color="auto" w:sz="4" w:space="0"/>
              <w:bottom w:val="single" w:color="auto" w:sz="4" w:space="0"/>
              <w:right w:val="single" w:color="auto" w:sz="4" w:space="0"/>
            </w:tcBorders>
            <w:noWrap/>
            <w:vAlign w:val="center"/>
          </w:tcPr>
          <w:p w14:paraId="3A52F210">
            <w:pPr>
              <w:keepNext w:val="0"/>
              <w:keepLines w:val="0"/>
              <w:pageBreakBefore w:val="0"/>
              <w:widowControl/>
              <w:kinsoku w:val="0"/>
              <w:wordWrap/>
              <w:overflowPunct/>
              <w:topLinePunct w:val="0"/>
              <w:autoSpaceDE/>
              <w:autoSpaceDN/>
              <w:bidi w:val="0"/>
              <w:adjustRightInd w:val="0"/>
              <w:snapToGrid w:val="0"/>
              <w:spacing w:line="280" w:lineRule="exact"/>
              <w:ind w:firstLine="0" w:firstLineChars="0"/>
              <w:jc w:val="center"/>
              <w:textAlignment w:val="baseline"/>
              <w:rPr>
                <w:color w:val="auto"/>
                <w:kern w:val="0"/>
                <w:sz w:val="21"/>
                <w:szCs w:val="21"/>
              </w:rPr>
            </w:pPr>
            <w:r>
              <w:rPr>
                <w:color w:val="auto"/>
                <w:kern w:val="0"/>
                <w:sz w:val="21"/>
                <w:szCs w:val="21"/>
              </w:rPr>
              <w:t>推测节理裂隙发育区</w:t>
            </w:r>
          </w:p>
        </w:tc>
      </w:tr>
    </w:tbl>
    <w:p w14:paraId="5DCDDAA5">
      <w:pPr>
        <w:bidi w:val="0"/>
        <w:rPr>
          <w:rFonts w:hint="default"/>
          <w:color w:val="auto"/>
        </w:rPr>
      </w:pPr>
      <w:r>
        <w:rPr>
          <w:rFonts w:hint="default"/>
          <w:color w:val="auto"/>
        </w:rPr>
        <w:t>（</w:t>
      </w:r>
      <w:r>
        <w:rPr>
          <w:rFonts w:hint="default"/>
          <w:color w:val="auto"/>
          <w:lang w:val="en-US" w:eastAsia="zh-CN"/>
        </w:rPr>
        <w:t>3</w:t>
      </w:r>
      <w:r>
        <w:rPr>
          <w:rFonts w:hint="default"/>
          <w:color w:val="auto"/>
        </w:rPr>
        <w:t>）普查结论</w:t>
      </w:r>
    </w:p>
    <w:p w14:paraId="5B7DF9BD">
      <w:pPr>
        <w:bidi w:val="0"/>
        <w:rPr>
          <w:rFonts w:hint="default"/>
          <w:color w:val="auto"/>
        </w:rPr>
      </w:pPr>
      <w:r>
        <w:rPr>
          <w:rFonts w:hint="eastAsia"/>
          <w:color w:val="auto"/>
          <w:lang w:val="en-US" w:eastAsia="zh-CN"/>
        </w:rPr>
        <w:t>估</w:t>
      </w:r>
      <w:r>
        <w:rPr>
          <w:rFonts w:hint="default"/>
          <w:color w:val="auto"/>
        </w:rPr>
        <w:t>算总采空区体积为4.83万m</w:t>
      </w:r>
      <w:r>
        <w:rPr>
          <w:rFonts w:hint="default"/>
          <w:color w:val="auto"/>
          <w:vertAlign w:val="superscript"/>
        </w:rPr>
        <w:t>3</w:t>
      </w:r>
      <w:r>
        <w:rPr>
          <w:rFonts w:hint="default"/>
          <w:color w:val="auto"/>
          <w:lang w:eastAsia="zh-CN"/>
        </w:rPr>
        <w:t>，</w:t>
      </w:r>
      <w:r>
        <w:rPr>
          <w:rFonts w:hint="default"/>
          <w:color w:val="auto"/>
        </w:rPr>
        <w:t>与物探工作推测总采空区体积4.77万m</w:t>
      </w:r>
      <w:r>
        <w:rPr>
          <w:rFonts w:hint="default"/>
          <w:color w:val="auto"/>
          <w:vertAlign w:val="superscript"/>
        </w:rPr>
        <w:t>3</w:t>
      </w:r>
      <w:r>
        <w:rPr>
          <w:rFonts w:hint="default"/>
          <w:color w:val="auto"/>
        </w:rPr>
        <w:t>相比，误差为1.26%，为保证普查工作的严格性，选用较大值作为估算总采空区体积，即4.83万m</w:t>
      </w:r>
      <w:r>
        <w:rPr>
          <w:rFonts w:hint="default"/>
          <w:color w:val="auto"/>
          <w:vertAlign w:val="superscript"/>
        </w:rPr>
        <w:t>3</w:t>
      </w:r>
      <w:r>
        <w:rPr>
          <w:rFonts w:hint="default"/>
          <w:color w:val="auto"/>
        </w:rPr>
        <w:t>。</w:t>
      </w:r>
    </w:p>
    <w:p w14:paraId="44A72EB1">
      <w:pPr>
        <w:bidi w:val="0"/>
        <w:rPr>
          <w:rFonts w:hint="default"/>
          <w:color w:val="auto"/>
          <w:lang w:val="en-US" w:eastAsia="zh-CN"/>
        </w:rPr>
      </w:pPr>
      <w:r>
        <w:rPr>
          <w:rFonts w:hint="default"/>
          <w:color w:val="auto"/>
          <w:lang w:val="en-US" w:eastAsia="zh-CN"/>
        </w:rPr>
        <w:t>2）</w:t>
      </w:r>
      <w:r>
        <w:rPr>
          <w:rFonts w:hint="default"/>
          <w:color w:val="auto"/>
        </w:rPr>
        <w:t>废弃矿井（井筒）</w:t>
      </w:r>
      <w:r>
        <w:rPr>
          <w:rFonts w:hint="default"/>
          <w:color w:val="auto"/>
          <w:lang w:val="en-US" w:eastAsia="zh-CN"/>
        </w:rPr>
        <w:t>普查成果</w:t>
      </w:r>
    </w:p>
    <w:p w14:paraId="120A9AFC">
      <w:pPr>
        <w:bidi w:val="0"/>
        <w:rPr>
          <w:rFonts w:hint="default"/>
          <w:color w:val="auto"/>
        </w:rPr>
      </w:pPr>
      <w:r>
        <w:rPr>
          <w:rFonts w:hint="default"/>
          <w:color w:val="auto"/>
          <w:lang w:eastAsia="zh-CN"/>
        </w:rPr>
        <w:t>（</w:t>
      </w:r>
      <w:r>
        <w:rPr>
          <w:color w:val="auto"/>
        </w:rPr>
        <w:t>1</w:t>
      </w:r>
      <w:r>
        <w:rPr>
          <w:rFonts w:hint="default"/>
          <w:color w:val="auto"/>
          <w:lang w:eastAsia="zh-CN"/>
        </w:rPr>
        <w:t>）</w:t>
      </w:r>
      <w:r>
        <w:rPr>
          <w:color w:val="auto"/>
        </w:rPr>
        <w:t>民采时期的废弃矿井（井筒）</w:t>
      </w:r>
    </w:p>
    <w:p w14:paraId="34201A74">
      <w:pPr>
        <w:bidi w:val="0"/>
        <w:rPr>
          <w:rFonts w:hint="default"/>
          <w:color w:val="auto"/>
        </w:rPr>
      </w:pPr>
      <w:r>
        <w:rPr>
          <w:rFonts w:hint="default"/>
          <w:color w:val="auto"/>
        </w:rPr>
        <w:t>茅排金矿区从九十年代初期就开始民采金，至1997年民采活动才结束。民采高峰时期，矿区采金人员达3000～4000人，民采坑道数以百计，近地表矿体及少量深部矿体已采完。</w:t>
      </w:r>
    </w:p>
    <w:p w14:paraId="6A746FA6">
      <w:pPr>
        <w:bidi w:val="0"/>
        <w:rPr>
          <w:rFonts w:hint="default"/>
          <w:color w:val="auto"/>
        </w:rPr>
      </w:pPr>
      <w:r>
        <w:rPr>
          <w:rFonts w:hint="default"/>
          <w:color w:val="auto"/>
        </w:rPr>
        <w:t>根据江西省核工业地质局二六三大队于2009年7月编制的《江西省抚州市临川区茅排金矿床资源储量核实报告》，矿区内存在106处民采坑口和3处露采坑；其中，已查明民采坑道口27处、露天采坑3个，其它坑口因历史原因已不可考。民采坑口分布于矿区各处，露天采坑集中位于15~23号勘探线之间。已查明的民采区废弃矿井统计台账见表</w:t>
      </w:r>
      <w:r>
        <w:rPr>
          <w:rFonts w:hint="default"/>
          <w:color w:val="auto"/>
          <w:lang w:val="en-US" w:eastAsia="zh-CN"/>
        </w:rPr>
        <w:t>2.12</w:t>
      </w:r>
      <w:r>
        <w:rPr>
          <w:rFonts w:hint="default"/>
          <w:color w:val="auto"/>
        </w:rPr>
        <w:t>-</w:t>
      </w:r>
      <w:r>
        <w:rPr>
          <w:rFonts w:hint="default"/>
          <w:color w:val="auto"/>
          <w:lang w:val="en-US" w:eastAsia="zh-CN"/>
        </w:rPr>
        <w:t>3</w:t>
      </w:r>
      <w:r>
        <w:rPr>
          <w:rFonts w:hint="default"/>
          <w:color w:val="auto"/>
        </w:rPr>
        <w:t>。</w:t>
      </w:r>
    </w:p>
    <w:p w14:paraId="7E6DE802">
      <w:pPr>
        <w:widowControl w:val="0"/>
        <w:kinsoku/>
        <w:adjustRightInd/>
        <w:snapToGrid/>
        <w:spacing w:line="560" w:lineRule="exact"/>
        <w:ind w:firstLine="560"/>
        <w:jc w:val="center"/>
        <w:textAlignment w:val="auto"/>
        <w:rPr>
          <w:rFonts w:ascii="Arial" w:hAnsi="Arial" w:eastAsia="Arial" w:cs="Arial"/>
          <w:b w:val="0"/>
          <w:color w:val="auto"/>
          <w:spacing w:val="0"/>
          <w:sz w:val="28"/>
          <w:szCs w:val="21"/>
        </w:rPr>
      </w:pPr>
      <w:r>
        <w:rPr>
          <w:rFonts w:ascii="Arial" w:hAnsi="Arial" w:eastAsia="Arial" w:cs="Arial"/>
          <w:b w:val="0"/>
          <w:color w:val="auto"/>
          <w:spacing w:val="0"/>
          <w:sz w:val="28"/>
          <w:szCs w:val="21"/>
        </w:rPr>
        <w:t>表</w:t>
      </w:r>
      <w:r>
        <w:rPr>
          <w:rFonts w:hint="default" w:ascii="Times New Roman" w:hAnsi="Times New Roman" w:eastAsia="Arial" w:cs="Times New Roman"/>
          <w:b w:val="0"/>
          <w:color w:val="auto"/>
          <w:spacing w:val="0"/>
          <w:sz w:val="28"/>
          <w:szCs w:val="21"/>
          <w:lang w:val="en-US" w:eastAsia="zh-CN"/>
        </w:rPr>
        <w:t>2.12</w:t>
      </w:r>
      <w:r>
        <w:rPr>
          <w:rFonts w:ascii="Times New Roman" w:hAnsi="Times New Roman" w:eastAsia="Arial" w:cs="Times New Roman"/>
          <w:b w:val="0"/>
          <w:color w:val="auto"/>
          <w:spacing w:val="0"/>
          <w:sz w:val="28"/>
          <w:szCs w:val="21"/>
        </w:rPr>
        <w:t>-</w:t>
      </w:r>
      <w:r>
        <w:rPr>
          <w:rFonts w:hint="default" w:ascii="Times New Roman" w:hAnsi="Times New Roman" w:eastAsia="Arial" w:cs="Times New Roman"/>
          <w:b w:val="0"/>
          <w:color w:val="auto"/>
          <w:spacing w:val="0"/>
          <w:sz w:val="28"/>
          <w:szCs w:val="21"/>
          <w:lang w:val="en-US" w:eastAsia="zh-CN"/>
        </w:rPr>
        <w:t>3</w:t>
      </w:r>
      <w:r>
        <w:rPr>
          <w:rFonts w:ascii="Times New Roman" w:hAnsi="Times New Roman" w:eastAsia="Arial" w:cs="Times New Roman"/>
          <w:b w:val="0"/>
          <w:color w:val="auto"/>
          <w:spacing w:val="0"/>
          <w:sz w:val="28"/>
          <w:szCs w:val="21"/>
        </w:rPr>
        <w:t xml:space="preserve"> </w:t>
      </w:r>
      <w:r>
        <w:rPr>
          <w:rFonts w:ascii="Arial" w:hAnsi="Arial" w:eastAsia="Arial" w:cs="Arial"/>
          <w:b w:val="0"/>
          <w:color w:val="auto"/>
          <w:spacing w:val="0"/>
          <w:sz w:val="28"/>
          <w:szCs w:val="21"/>
        </w:rPr>
        <w:t xml:space="preserve"> 民采区废弃矿井统计表</w:t>
      </w:r>
    </w:p>
    <w:tbl>
      <w:tblPr>
        <w:tblStyle w:val="18"/>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124"/>
        <w:gridCol w:w="1190"/>
        <w:gridCol w:w="809"/>
        <w:gridCol w:w="808"/>
        <w:gridCol w:w="1201"/>
        <w:gridCol w:w="917"/>
        <w:gridCol w:w="1147"/>
        <w:gridCol w:w="1314"/>
      </w:tblGrid>
      <w:tr w14:paraId="6015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87" w:type="dxa"/>
            <w:vMerge w:val="restart"/>
            <w:tcBorders>
              <w:top w:val="single" w:color="auto" w:sz="4" w:space="0"/>
              <w:left w:val="single" w:color="auto" w:sz="4" w:space="0"/>
              <w:bottom w:val="single" w:color="auto" w:sz="4" w:space="0"/>
              <w:right w:val="single" w:color="auto" w:sz="4" w:space="0"/>
            </w:tcBorders>
            <w:vAlign w:val="center"/>
          </w:tcPr>
          <w:p w14:paraId="697B5E32">
            <w:pPr>
              <w:spacing w:line="300" w:lineRule="atLeast"/>
              <w:ind w:firstLine="0" w:firstLineChars="0"/>
              <w:jc w:val="center"/>
              <w:rPr>
                <w:color w:val="auto"/>
                <w:sz w:val="21"/>
                <w:szCs w:val="21"/>
              </w:rPr>
            </w:pPr>
            <w:r>
              <w:rPr>
                <w:color w:val="auto"/>
                <w:sz w:val="21"/>
                <w:szCs w:val="21"/>
              </w:rPr>
              <w:t>坑口</w:t>
            </w:r>
          </w:p>
          <w:p w14:paraId="18DC2A04">
            <w:pPr>
              <w:spacing w:line="300" w:lineRule="atLeast"/>
              <w:ind w:firstLine="0" w:firstLineChars="0"/>
              <w:jc w:val="center"/>
              <w:rPr>
                <w:color w:val="auto"/>
                <w:sz w:val="21"/>
                <w:szCs w:val="21"/>
              </w:rPr>
            </w:pPr>
            <w:r>
              <w:rPr>
                <w:color w:val="auto"/>
                <w:sz w:val="21"/>
                <w:szCs w:val="21"/>
              </w:rPr>
              <w:t>编号</w:t>
            </w:r>
          </w:p>
        </w:tc>
        <w:tc>
          <w:tcPr>
            <w:tcW w:w="2314" w:type="dxa"/>
            <w:gridSpan w:val="2"/>
            <w:tcBorders>
              <w:top w:val="single" w:color="auto" w:sz="4" w:space="0"/>
              <w:left w:val="single" w:color="auto" w:sz="4" w:space="0"/>
              <w:bottom w:val="single" w:color="auto" w:sz="4" w:space="0"/>
              <w:right w:val="single" w:color="auto" w:sz="4" w:space="0"/>
            </w:tcBorders>
            <w:vAlign w:val="center"/>
          </w:tcPr>
          <w:p w14:paraId="3EE8CE9D">
            <w:pPr>
              <w:spacing w:line="300" w:lineRule="atLeast"/>
              <w:jc w:val="center"/>
              <w:rPr>
                <w:color w:val="auto"/>
                <w:sz w:val="21"/>
                <w:szCs w:val="21"/>
              </w:rPr>
            </w:pPr>
            <w:r>
              <w:rPr>
                <w:color w:val="auto"/>
                <w:sz w:val="21"/>
                <w:szCs w:val="21"/>
              </w:rPr>
              <w:t>坑口坐标</w:t>
            </w:r>
          </w:p>
          <w:p w14:paraId="64C44D74">
            <w:pPr>
              <w:spacing w:line="300" w:lineRule="atLeast"/>
              <w:jc w:val="center"/>
              <w:rPr>
                <w:color w:val="auto"/>
                <w:sz w:val="21"/>
                <w:szCs w:val="21"/>
              </w:rPr>
            </w:pPr>
            <w:r>
              <w:rPr>
                <w:color w:val="auto"/>
                <w:sz w:val="21"/>
                <w:szCs w:val="21"/>
              </w:rPr>
              <w:t>（2000坐标系）</w:t>
            </w:r>
          </w:p>
        </w:tc>
        <w:tc>
          <w:tcPr>
            <w:tcW w:w="809" w:type="dxa"/>
            <w:vMerge w:val="restart"/>
            <w:tcBorders>
              <w:top w:val="single" w:color="auto" w:sz="4" w:space="0"/>
              <w:left w:val="single" w:color="auto" w:sz="4" w:space="0"/>
              <w:bottom w:val="single" w:color="auto" w:sz="4" w:space="0"/>
              <w:right w:val="single" w:color="auto" w:sz="4" w:space="0"/>
            </w:tcBorders>
            <w:vAlign w:val="center"/>
          </w:tcPr>
          <w:p w14:paraId="3EBFE9DF">
            <w:pPr>
              <w:spacing w:line="300" w:lineRule="atLeast"/>
              <w:ind w:firstLine="0" w:firstLineChars="0"/>
              <w:jc w:val="center"/>
              <w:rPr>
                <w:color w:val="auto"/>
                <w:sz w:val="21"/>
                <w:szCs w:val="21"/>
              </w:rPr>
            </w:pPr>
            <w:r>
              <w:rPr>
                <w:color w:val="auto"/>
                <w:sz w:val="21"/>
                <w:szCs w:val="21"/>
              </w:rPr>
              <w:t>高程</w:t>
            </w:r>
          </w:p>
          <w:p w14:paraId="544E4179">
            <w:pPr>
              <w:spacing w:line="300" w:lineRule="atLeast"/>
              <w:ind w:firstLine="0" w:firstLineChars="0"/>
              <w:jc w:val="center"/>
              <w:rPr>
                <w:color w:val="auto"/>
                <w:sz w:val="21"/>
                <w:szCs w:val="21"/>
              </w:rPr>
            </w:pPr>
            <w:r>
              <w:rPr>
                <w:color w:val="auto"/>
                <w:sz w:val="21"/>
                <w:szCs w:val="21"/>
              </w:rPr>
              <w:t>（m）</w:t>
            </w:r>
          </w:p>
        </w:tc>
        <w:tc>
          <w:tcPr>
            <w:tcW w:w="808" w:type="dxa"/>
            <w:vMerge w:val="restart"/>
            <w:tcBorders>
              <w:top w:val="single" w:color="auto" w:sz="4" w:space="0"/>
              <w:left w:val="single" w:color="auto" w:sz="4" w:space="0"/>
              <w:bottom w:val="single" w:color="auto" w:sz="4" w:space="0"/>
              <w:right w:val="single" w:color="auto" w:sz="4" w:space="0"/>
            </w:tcBorders>
            <w:vAlign w:val="center"/>
          </w:tcPr>
          <w:p w14:paraId="7994261C">
            <w:pPr>
              <w:spacing w:line="300" w:lineRule="atLeast"/>
              <w:ind w:firstLine="0" w:firstLineChars="0"/>
              <w:jc w:val="center"/>
              <w:rPr>
                <w:color w:val="auto"/>
                <w:sz w:val="21"/>
                <w:szCs w:val="21"/>
              </w:rPr>
            </w:pPr>
            <w:r>
              <w:rPr>
                <w:color w:val="auto"/>
                <w:sz w:val="21"/>
                <w:szCs w:val="21"/>
              </w:rPr>
              <w:t>封闭情况</w:t>
            </w:r>
          </w:p>
        </w:tc>
        <w:tc>
          <w:tcPr>
            <w:tcW w:w="1201" w:type="dxa"/>
            <w:vMerge w:val="restart"/>
            <w:tcBorders>
              <w:top w:val="single" w:color="auto" w:sz="4" w:space="0"/>
              <w:left w:val="single" w:color="auto" w:sz="4" w:space="0"/>
              <w:right w:val="single" w:color="auto" w:sz="4" w:space="0"/>
            </w:tcBorders>
            <w:vAlign w:val="center"/>
          </w:tcPr>
          <w:p w14:paraId="250F3477">
            <w:pPr>
              <w:spacing w:line="300" w:lineRule="atLeast"/>
              <w:ind w:firstLine="0" w:firstLineChars="0"/>
              <w:jc w:val="center"/>
              <w:rPr>
                <w:color w:val="auto"/>
                <w:sz w:val="21"/>
                <w:szCs w:val="21"/>
              </w:rPr>
            </w:pPr>
            <w:r>
              <w:rPr>
                <w:color w:val="auto"/>
                <w:sz w:val="21"/>
                <w:szCs w:val="21"/>
              </w:rPr>
              <w:t>积水情况</w:t>
            </w:r>
          </w:p>
        </w:tc>
        <w:tc>
          <w:tcPr>
            <w:tcW w:w="917" w:type="dxa"/>
            <w:vMerge w:val="restart"/>
            <w:tcBorders>
              <w:top w:val="single" w:color="auto" w:sz="4" w:space="0"/>
              <w:left w:val="single" w:color="auto" w:sz="4" w:space="0"/>
              <w:bottom w:val="single" w:color="auto" w:sz="4" w:space="0"/>
              <w:right w:val="single" w:color="auto" w:sz="4" w:space="0"/>
            </w:tcBorders>
            <w:vAlign w:val="center"/>
          </w:tcPr>
          <w:p w14:paraId="2ED75B43">
            <w:pPr>
              <w:spacing w:line="300" w:lineRule="atLeast"/>
              <w:ind w:firstLine="0" w:firstLineChars="0"/>
              <w:jc w:val="center"/>
              <w:rPr>
                <w:color w:val="auto"/>
                <w:sz w:val="21"/>
                <w:szCs w:val="21"/>
              </w:rPr>
            </w:pPr>
            <w:r>
              <w:rPr>
                <w:color w:val="auto"/>
                <w:sz w:val="21"/>
                <w:szCs w:val="21"/>
              </w:rPr>
              <w:t>封闭时间</w:t>
            </w:r>
          </w:p>
        </w:tc>
        <w:tc>
          <w:tcPr>
            <w:tcW w:w="1147" w:type="dxa"/>
            <w:vMerge w:val="restart"/>
            <w:tcBorders>
              <w:top w:val="single" w:color="auto" w:sz="4" w:space="0"/>
              <w:left w:val="single" w:color="auto" w:sz="4" w:space="0"/>
              <w:right w:val="single" w:color="auto" w:sz="4" w:space="0"/>
            </w:tcBorders>
            <w:vAlign w:val="center"/>
          </w:tcPr>
          <w:p w14:paraId="7581D609">
            <w:pPr>
              <w:spacing w:line="300" w:lineRule="atLeast"/>
              <w:ind w:firstLine="0" w:firstLineChars="0"/>
              <w:jc w:val="center"/>
              <w:rPr>
                <w:color w:val="auto"/>
                <w:sz w:val="21"/>
                <w:szCs w:val="21"/>
              </w:rPr>
            </w:pPr>
            <w:r>
              <w:rPr>
                <w:color w:val="auto"/>
                <w:sz w:val="21"/>
                <w:szCs w:val="21"/>
              </w:rPr>
              <w:t>与开采范围的连通情况</w:t>
            </w:r>
          </w:p>
        </w:tc>
        <w:tc>
          <w:tcPr>
            <w:tcW w:w="1314" w:type="dxa"/>
            <w:vMerge w:val="restart"/>
            <w:tcBorders>
              <w:top w:val="single" w:color="auto" w:sz="4" w:space="0"/>
              <w:left w:val="single" w:color="auto" w:sz="4" w:space="0"/>
              <w:bottom w:val="single" w:color="auto" w:sz="4" w:space="0"/>
              <w:right w:val="single" w:color="auto" w:sz="4" w:space="0"/>
            </w:tcBorders>
            <w:vAlign w:val="center"/>
          </w:tcPr>
          <w:p w14:paraId="75D32F0D">
            <w:pPr>
              <w:spacing w:line="300" w:lineRule="atLeast"/>
              <w:ind w:firstLine="0" w:firstLineChars="0"/>
              <w:jc w:val="center"/>
              <w:rPr>
                <w:color w:val="auto"/>
                <w:sz w:val="21"/>
                <w:szCs w:val="21"/>
              </w:rPr>
            </w:pPr>
            <w:r>
              <w:rPr>
                <w:color w:val="auto"/>
                <w:sz w:val="21"/>
                <w:szCs w:val="21"/>
              </w:rPr>
              <w:t>备注</w:t>
            </w:r>
          </w:p>
        </w:tc>
      </w:tr>
      <w:tr w14:paraId="5EB1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vMerge w:val="continue"/>
            <w:tcBorders>
              <w:top w:val="single" w:color="auto" w:sz="4" w:space="0"/>
              <w:left w:val="single" w:color="auto" w:sz="4" w:space="0"/>
              <w:bottom w:val="single" w:color="auto" w:sz="4" w:space="0"/>
              <w:right w:val="single" w:color="auto" w:sz="4" w:space="0"/>
            </w:tcBorders>
            <w:vAlign w:val="center"/>
          </w:tcPr>
          <w:p w14:paraId="2AF5E45F">
            <w:pPr>
              <w:widowControl/>
              <w:spacing w:line="300" w:lineRule="atLeast"/>
              <w:jc w:val="center"/>
              <w:rPr>
                <w:color w:val="auto"/>
                <w:sz w:val="21"/>
                <w:szCs w:val="21"/>
              </w:rPr>
            </w:pPr>
          </w:p>
        </w:tc>
        <w:tc>
          <w:tcPr>
            <w:tcW w:w="1124" w:type="dxa"/>
            <w:tcBorders>
              <w:top w:val="single" w:color="auto" w:sz="4" w:space="0"/>
              <w:left w:val="single" w:color="auto" w:sz="4" w:space="0"/>
              <w:bottom w:val="single" w:color="auto" w:sz="4" w:space="0"/>
              <w:right w:val="single" w:color="auto" w:sz="4" w:space="0"/>
            </w:tcBorders>
            <w:vAlign w:val="center"/>
          </w:tcPr>
          <w:p w14:paraId="51598A65">
            <w:pPr>
              <w:spacing w:line="300" w:lineRule="atLeast"/>
              <w:ind w:firstLine="0" w:firstLineChars="0"/>
              <w:jc w:val="center"/>
              <w:rPr>
                <w:color w:val="auto"/>
                <w:sz w:val="21"/>
                <w:szCs w:val="21"/>
              </w:rPr>
            </w:pPr>
            <w:r>
              <w:rPr>
                <w:color w:val="auto"/>
                <w:sz w:val="21"/>
                <w:szCs w:val="21"/>
              </w:rPr>
              <w:t>X</w:t>
            </w:r>
          </w:p>
        </w:tc>
        <w:tc>
          <w:tcPr>
            <w:tcW w:w="1190" w:type="dxa"/>
            <w:tcBorders>
              <w:top w:val="single" w:color="auto" w:sz="4" w:space="0"/>
              <w:left w:val="single" w:color="auto" w:sz="4" w:space="0"/>
              <w:bottom w:val="single" w:color="auto" w:sz="4" w:space="0"/>
              <w:right w:val="single" w:color="auto" w:sz="4" w:space="0"/>
            </w:tcBorders>
            <w:vAlign w:val="center"/>
          </w:tcPr>
          <w:p w14:paraId="566B66D6">
            <w:pPr>
              <w:spacing w:line="300" w:lineRule="atLeast"/>
              <w:ind w:firstLine="0" w:firstLineChars="0"/>
              <w:jc w:val="center"/>
              <w:rPr>
                <w:color w:val="auto"/>
                <w:sz w:val="21"/>
                <w:szCs w:val="21"/>
              </w:rPr>
            </w:pPr>
            <w:r>
              <w:rPr>
                <w:color w:val="auto"/>
                <w:sz w:val="21"/>
                <w:szCs w:val="21"/>
              </w:rPr>
              <w:t>Y</w:t>
            </w:r>
          </w:p>
        </w:tc>
        <w:tc>
          <w:tcPr>
            <w:tcW w:w="809" w:type="dxa"/>
            <w:vMerge w:val="continue"/>
            <w:tcBorders>
              <w:top w:val="single" w:color="auto" w:sz="4" w:space="0"/>
              <w:left w:val="single" w:color="auto" w:sz="4" w:space="0"/>
              <w:bottom w:val="single" w:color="auto" w:sz="4" w:space="0"/>
              <w:right w:val="single" w:color="auto" w:sz="4" w:space="0"/>
            </w:tcBorders>
            <w:vAlign w:val="center"/>
          </w:tcPr>
          <w:p w14:paraId="62D119F2">
            <w:pPr>
              <w:widowControl/>
              <w:spacing w:line="300" w:lineRule="atLeast"/>
              <w:jc w:val="center"/>
              <w:rPr>
                <w:color w:val="auto"/>
                <w:sz w:val="21"/>
                <w:szCs w:val="21"/>
              </w:rPr>
            </w:pP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3796F656">
            <w:pPr>
              <w:widowControl/>
              <w:spacing w:line="300" w:lineRule="atLeast"/>
              <w:jc w:val="center"/>
              <w:rPr>
                <w:color w:val="auto"/>
                <w:sz w:val="21"/>
                <w:szCs w:val="21"/>
              </w:rPr>
            </w:pPr>
          </w:p>
        </w:tc>
        <w:tc>
          <w:tcPr>
            <w:tcW w:w="1201" w:type="dxa"/>
            <w:vMerge w:val="continue"/>
            <w:tcBorders>
              <w:left w:val="single" w:color="auto" w:sz="4" w:space="0"/>
              <w:bottom w:val="single" w:color="auto" w:sz="4" w:space="0"/>
              <w:right w:val="single" w:color="auto" w:sz="4" w:space="0"/>
            </w:tcBorders>
            <w:vAlign w:val="center"/>
          </w:tcPr>
          <w:p w14:paraId="61104CE2">
            <w:pPr>
              <w:widowControl/>
              <w:spacing w:line="300" w:lineRule="atLeast"/>
              <w:jc w:val="center"/>
              <w:rPr>
                <w:color w:val="auto"/>
                <w:sz w:val="21"/>
                <w:szCs w:val="21"/>
              </w:rPr>
            </w:pP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25B78708">
            <w:pPr>
              <w:widowControl/>
              <w:spacing w:line="300" w:lineRule="atLeast"/>
              <w:jc w:val="center"/>
              <w:rPr>
                <w:color w:val="auto"/>
                <w:sz w:val="21"/>
                <w:szCs w:val="21"/>
              </w:rPr>
            </w:pPr>
          </w:p>
        </w:tc>
        <w:tc>
          <w:tcPr>
            <w:tcW w:w="1147" w:type="dxa"/>
            <w:vMerge w:val="continue"/>
            <w:tcBorders>
              <w:left w:val="single" w:color="auto" w:sz="4" w:space="0"/>
              <w:bottom w:val="single" w:color="auto" w:sz="4" w:space="0"/>
              <w:right w:val="single" w:color="auto" w:sz="4" w:space="0"/>
            </w:tcBorders>
            <w:vAlign w:val="center"/>
          </w:tcPr>
          <w:p w14:paraId="575A050A">
            <w:pPr>
              <w:widowControl/>
              <w:spacing w:line="300" w:lineRule="atLeast"/>
              <w:jc w:val="center"/>
              <w:rPr>
                <w:color w:val="auto"/>
                <w:sz w:val="21"/>
                <w:szCs w:val="21"/>
              </w:rPr>
            </w:pPr>
          </w:p>
        </w:tc>
        <w:tc>
          <w:tcPr>
            <w:tcW w:w="1314" w:type="dxa"/>
            <w:vMerge w:val="continue"/>
            <w:tcBorders>
              <w:top w:val="single" w:color="auto" w:sz="4" w:space="0"/>
              <w:left w:val="single" w:color="auto" w:sz="4" w:space="0"/>
              <w:bottom w:val="single" w:color="auto" w:sz="4" w:space="0"/>
              <w:right w:val="single" w:color="auto" w:sz="4" w:space="0"/>
            </w:tcBorders>
            <w:vAlign w:val="center"/>
          </w:tcPr>
          <w:p w14:paraId="4C9EB1BF">
            <w:pPr>
              <w:widowControl/>
              <w:spacing w:line="300" w:lineRule="atLeast"/>
              <w:jc w:val="center"/>
              <w:rPr>
                <w:color w:val="auto"/>
                <w:sz w:val="21"/>
                <w:szCs w:val="21"/>
              </w:rPr>
            </w:pPr>
          </w:p>
        </w:tc>
      </w:tr>
      <w:tr w14:paraId="20AF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72CEA84">
            <w:pPr>
              <w:spacing w:line="300" w:lineRule="atLeast"/>
              <w:ind w:firstLine="0" w:firstLineChars="0"/>
              <w:jc w:val="center"/>
              <w:rPr>
                <w:color w:val="auto"/>
                <w:sz w:val="21"/>
                <w:szCs w:val="21"/>
              </w:rPr>
            </w:pPr>
            <w:r>
              <w:rPr>
                <w:color w:val="auto"/>
                <w:sz w:val="21"/>
                <w:szCs w:val="21"/>
              </w:rPr>
              <w:t>PD-1</w:t>
            </w:r>
          </w:p>
        </w:tc>
        <w:tc>
          <w:tcPr>
            <w:tcW w:w="1124" w:type="dxa"/>
            <w:tcBorders>
              <w:top w:val="single" w:color="auto" w:sz="4" w:space="0"/>
              <w:left w:val="single" w:color="auto" w:sz="4" w:space="0"/>
              <w:bottom w:val="single" w:color="auto" w:sz="4" w:space="0"/>
              <w:right w:val="single" w:color="auto" w:sz="4" w:space="0"/>
            </w:tcBorders>
            <w:vAlign w:val="center"/>
          </w:tcPr>
          <w:p w14:paraId="3E78322B">
            <w:pPr>
              <w:spacing w:line="300" w:lineRule="atLeast"/>
              <w:ind w:firstLine="0" w:firstLineChars="0"/>
              <w:jc w:val="center"/>
              <w:rPr>
                <w:color w:val="auto"/>
                <w:sz w:val="21"/>
                <w:szCs w:val="21"/>
              </w:rPr>
            </w:pPr>
            <w:r>
              <w:rPr>
                <w:color w:val="auto"/>
                <w:sz w:val="21"/>
                <w:szCs w:val="21"/>
              </w:rPr>
              <w:t>3060416</w:t>
            </w:r>
          </w:p>
        </w:tc>
        <w:tc>
          <w:tcPr>
            <w:tcW w:w="1190" w:type="dxa"/>
            <w:tcBorders>
              <w:top w:val="single" w:color="auto" w:sz="4" w:space="0"/>
              <w:left w:val="single" w:color="auto" w:sz="4" w:space="0"/>
              <w:bottom w:val="single" w:color="auto" w:sz="4" w:space="0"/>
              <w:right w:val="single" w:color="auto" w:sz="4" w:space="0"/>
            </w:tcBorders>
            <w:vAlign w:val="center"/>
          </w:tcPr>
          <w:p w14:paraId="2607D537">
            <w:pPr>
              <w:spacing w:line="300" w:lineRule="atLeast"/>
              <w:ind w:firstLine="0" w:firstLineChars="0"/>
              <w:jc w:val="center"/>
              <w:rPr>
                <w:color w:val="auto"/>
                <w:sz w:val="21"/>
                <w:szCs w:val="21"/>
              </w:rPr>
            </w:pPr>
            <w:r>
              <w:rPr>
                <w:color w:val="auto"/>
                <w:sz w:val="21"/>
                <w:szCs w:val="21"/>
              </w:rPr>
              <w:t>39449304</w:t>
            </w:r>
          </w:p>
        </w:tc>
        <w:tc>
          <w:tcPr>
            <w:tcW w:w="809" w:type="dxa"/>
            <w:tcBorders>
              <w:top w:val="single" w:color="auto" w:sz="4" w:space="0"/>
              <w:left w:val="single" w:color="auto" w:sz="4" w:space="0"/>
              <w:bottom w:val="single" w:color="auto" w:sz="4" w:space="0"/>
              <w:right w:val="single" w:color="auto" w:sz="4" w:space="0"/>
            </w:tcBorders>
            <w:vAlign w:val="center"/>
          </w:tcPr>
          <w:p w14:paraId="6840245B">
            <w:pPr>
              <w:spacing w:line="300" w:lineRule="atLeast"/>
              <w:ind w:firstLine="0" w:firstLineChars="0"/>
              <w:jc w:val="center"/>
              <w:rPr>
                <w:color w:val="auto"/>
                <w:sz w:val="21"/>
                <w:szCs w:val="21"/>
              </w:rPr>
            </w:pPr>
            <w:r>
              <w:rPr>
                <w:color w:val="auto"/>
                <w:sz w:val="21"/>
                <w:szCs w:val="21"/>
              </w:rPr>
              <w:t>323</w:t>
            </w:r>
          </w:p>
        </w:tc>
        <w:tc>
          <w:tcPr>
            <w:tcW w:w="808" w:type="dxa"/>
            <w:vMerge w:val="restart"/>
            <w:tcBorders>
              <w:top w:val="single" w:color="auto" w:sz="4" w:space="0"/>
              <w:left w:val="single" w:color="auto" w:sz="4" w:space="0"/>
              <w:bottom w:val="single" w:color="auto" w:sz="4" w:space="0"/>
              <w:right w:val="single" w:color="auto" w:sz="4" w:space="0"/>
            </w:tcBorders>
            <w:vAlign w:val="center"/>
          </w:tcPr>
          <w:p w14:paraId="65EA8EAA">
            <w:pPr>
              <w:spacing w:line="300" w:lineRule="atLeast"/>
              <w:ind w:firstLine="0" w:firstLineChars="0"/>
              <w:jc w:val="center"/>
              <w:rPr>
                <w:color w:val="auto"/>
                <w:sz w:val="21"/>
                <w:szCs w:val="21"/>
              </w:rPr>
            </w:pPr>
            <w:r>
              <w:rPr>
                <w:color w:val="auto"/>
                <w:sz w:val="21"/>
                <w:szCs w:val="21"/>
              </w:rPr>
              <w:t>内部已坍塌</w:t>
            </w:r>
          </w:p>
        </w:tc>
        <w:tc>
          <w:tcPr>
            <w:tcW w:w="1201" w:type="dxa"/>
            <w:tcBorders>
              <w:top w:val="single" w:color="auto" w:sz="4" w:space="0"/>
              <w:left w:val="single" w:color="auto" w:sz="4" w:space="0"/>
              <w:bottom w:val="single" w:color="auto" w:sz="4" w:space="0"/>
              <w:right w:val="single" w:color="auto" w:sz="4" w:space="0"/>
            </w:tcBorders>
            <w:vAlign w:val="center"/>
          </w:tcPr>
          <w:p w14:paraId="656C43A7">
            <w:pPr>
              <w:spacing w:line="300" w:lineRule="atLeast"/>
              <w:ind w:firstLine="0" w:firstLineChars="0"/>
              <w:jc w:val="center"/>
              <w:rPr>
                <w:color w:val="auto"/>
                <w:sz w:val="21"/>
                <w:szCs w:val="21"/>
              </w:rPr>
            </w:pPr>
            <w:r>
              <w:rPr>
                <w:color w:val="auto"/>
                <w:sz w:val="21"/>
                <w:szCs w:val="21"/>
              </w:rPr>
              <w:t>无积水</w:t>
            </w:r>
          </w:p>
        </w:tc>
        <w:tc>
          <w:tcPr>
            <w:tcW w:w="917" w:type="dxa"/>
            <w:vMerge w:val="restart"/>
            <w:tcBorders>
              <w:top w:val="single" w:color="auto" w:sz="4" w:space="0"/>
              <w:left w:val="single" w:color="auto" w:sz="4" w:space="0"/>
              <w:bottom w:val="single" w:color="auto" w:sz="4" w:space="0"/>
              <w:right w:val="single" w:color="auto" w:sz="4" w:space="0"/>
            </w:tcBorders>
            <w:vAlign w:val="center"/>
          </w:tcPr>
          <w:p w14:paraId="0DE7961B">
            <w:pPr>
              <w:spacing w:line="300" w:lineRule="atLeast"/>
              <w:ind w:firstLine="0" w:firstLineChars="0"/>
              <w:jc w:val="center"/>
              <w:rPr>
                <w:color w:val="auto"/>
                <w:sz w:val="21"/>
                <w:szCs w:val="21"/>
              </w:rPr>
            </w:pPr>
            <w:r>
              <w:rPr>
                <w:color w:val="auto"/>
                <w:sz w:val="21"/>
                <w:szCs w:val="21"/>
              </w:rPr>
              <w:t>具体时间已不可考，预估在2000年之前已形成</w:t>
            </w:r>
          </w:p>
        </w:tc>
        <w:tc>
          <w:tcPr>
            <w:tcW w:w="1147" w:type="dxa"/>
            <w:tcBorders>
              <w:top w:val="single" w:color="auto" w:sz="4" w:space="0"/>
              <w:left w:val="single" w:color="auto" w:sz="4" w:space="0"/>
              <w:bottom w:val="single" w:color="auto" w:sz="4" w:space="0"/>
              <w:right w:val="single" w:color="auto" w:sz="4" w:space="0"/>
            </w:tcBorders>
            <w:vAlign w:val="center"/>
          </w:tcPr>
          <w:p w14:paraId="4D303E2A">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0ED6C27C">
            <w:pPr>
              <w:spacing w:line="300" w:lineRule="atLeast"/>
              <w:ind w:firstLine="0" w:firstLineChars="0"/>
              <w:jc w:val="center"/>
              <w:rPr>
                <w:color w:val="auto"/>
                <w:sz w:val="21"/>
                <w:szCs w:val="21"/>
              </w:rPr>
            </w:pPr>
            <w:r>
              <w:rPr>
                <w:color w:val="auto"/>
                <w:sz w:val="21"/>
                <w:szCs w:val="21"/>
              </w:rPr>
              <w:t>民采坑道</w:t>
            </w:r>
          </w:p>
        </w:tc>
      </w:tr>
      <w:tr w14:paraId="7B80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DB72857">
            <w:pPr>
              <w:spacing w:line="300" w:lineRule="atLeast"/>
              <w:ind w:firstLine="0" w:firstLineChars="0"/>
              <w:jc w:val="center"/>
              <w:rPr>
                <w:color w:val="auto"/>
                <w:sz w:val="21"/>
                <w:szCs w:val="21"/>
              </w:rPr>
            </w:pPr>
            <w:r>
              <w:rPr>
                <w:color w:val="auto"/>
                <w:sz w:val="21"/>
                <w:szCs w:val="21"/>
              </w:rPr>
              <w:t>PD-2</w:t>
            </w:r>
          </w:p>
        </w:tc>
        <w:tc>
          <w:tcPr>
            <w:tcW w:w="1124" w:type="dxa"/>
            <w:tcBorders>
              <w:top w:val="single" w:color="auto" w:sz="4" w:space="0"/>
              <w:left w:val="single" w:color="auto" w:sz="4" w:space="0"/>
              <w:bottom w:val="single" w:color="auto" w:sz="4" w:space="0"/>
              <w:right w:val="single" w:color="auto" w:sz="4" w:space="0"/>
            </w:tcBorders>
            <w:vAlign w:val="center"/>
          </w:tcPr>
          <w:p w14:paraId="0BAE6C51">
            <w:pPr>
              <w:spacing w:line="300" w:lineRule="atLeast"/>
              <w:ind w:firstLine="0" w:firstLineChars="0"/>
              <w:jc w:val="center"/>
              <w:rPr>
                <w:color w:val="auto"/>
                <w:sz w:val="21"/>
                <w:szCs w:val="21"/>
              </w:rPr>
            </w:pPr>
            <w:r>
              <w:rPr>
                <w:color w:val="auto"/>
                <w:sz w:val="21"/>
                <w:szCs w:val="21"/>
              </w:rPr>
              <w:t>3060440</w:t>
            </w:r>
          </w:p>
        </w:tc>
        <w:tc>
          <w:tcPr>
            <w:tcW w:w="1190" w:type="dxa"/>
            <w:tcBorders>
              <w:top w:val="single" w:color="auto" w:sz="4" w:space="0"/>
              <w:left w:val="single" w:color="auto" w:sz="4" w:space="0"/>
              <w:bottom w:val="single" w:color="auto" w:sz="4" w:space="0"/>
              <w:right w:val="single" w:color="auto" w:sz="4" w:space="0"/>
            </w:tcBorders>
            <w:vAlign w:val="center"/>
          </w:tcPr>
          <w:p w14:paraId="3124DE77">
            <w:pPr>
              <w:spacing w:line="300" w:lineRule="atLeast"/>
              <w:ind w:firstLine="0" w:firstLineChars="0"/>
              <w:jc w:val="center"/>
              <w:rPr>
                <w:color w:val="auto"/>
                <w:sz w:val="21"/>
                <w:szCs w:val="21"/>
              </w:rPr>
            </w:pPr>
            <w:r>
              <w:rPr>
                <w:color w:val="auto"/>
                <w:sz w:val="21"/>
                <w:szCs w:val="21"/>
              </w:rPr>
              <w:t>39449348</w:t>
            </w:r>
          </w:p>
        </w:tc>
        <w:tc>
          <w:tcPr>
            <w:tcW w:w="809" w:type="dxa"/>
            <w:tcBorders>
              <w:top w:val="single" w:color="auto" w:sz="4" w:space="0"/>
              <w:left w:val="single" w:color="auto" w:sz="4" w:space="0"/>
              <w:bottom w:val="single" w:color="auto" w:sz="4" w:space="0"/>
              <w:right w:val="single" w:color="auto" w:sz="4" w:space="0"/>
            </w:tcBorders>
            <w:vAlign w:val="center"/>
          </w:tcPr>
          <w:p w14:paraId="3305419E">
            <w:pPr>
              <w:spacing w:line="300" w:lineRule="atLeast"/>
              <w:ind w:firstLine="0" w:firstLineChars="0"/>
              <w:jc w:val="center"/>
              <w:rPr>
                <w:color w:val="auto"/>
                <w:sz w:val="21"/>
                <w:szCs w:val="21"/>
              </w:rPr>
            </w:pPr>
            <w:r>
              <w:rPr>
                <w:color w:val="auto"/>
                <w:sz w:val="21"/>
                <w:szCs w:val="21"/>
              </w:rPr>
              <w:t>309</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39CD0302">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1AFB4167">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295E7217">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292FE7C5">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06BB471D">
            <w:pPr>
              <w:spacing w:line="300" w:lineRule="atLeast"/>
              <w:ind w:firstLine="0" w:firstLineChars="0"/>
              <w:jc w:val="center"/>
              <w:rPr>
                <w:color w:val="auto"/>
                <w:sz w:val="21"/>
                <w:szCs w:val="21"/>
              </w:rPr>
            </w:pPr>
            <w:r>
              <w:rPr>
                <w:color w:val="auto"/>
                <w:sz w:val="21"/>
                <w:szCs w:val="21"/>
              </w:rPr>
              <w:t>民采坑道</w:t>
            </w:r>
          </w:p>
        </w:tc>
      </w:tr>
      <w:tr w14:paraId="6346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731F7FB">
            <w:pPr>
              <w:spacing w:line="300" w:lineRule="atLeast"/>
              <w:ind w:firstLine="0" w:firstLineChars="0"/>
              <w:jc w:val="center"/>
              <w:rPr>
                <w:color w:val="auto"/>
                <w:sz w:val="21"/>
                <w:szCs w:val="21"/>
              </w:rPr>
            </w:pPr>
            <w:r>
              <w:rPr>
                <w:color w:val="auto"/>
                <w:sz w:val="21"/>
                <w:szCs w:val="21"/>
              </w:rPr>
              <w:t>PD-3</w:t>
            </w:r>
          </w:p>
        </w:tc>
        <w:tc>
          <w:tcPr>
            <w:tcW w:w="1124" w:type="dxa"/>
            <w:tcBorders>
              <w:top w:val="single" w:color="auto" w:sz="4" w:space="0"/>
              <w:left w:val="single" w:color="auto" w:sz="4" w:space="0"/>
              <w:bottom w:val="single" w:color="auto" w:sz="4" w:space="0"/>
              <w:right w:val="single" w:color="auto" w:sz="4" w:space="0"/>
            </w:tcBorders>
            <w:vAlign w:val="center"/>
          </w:tcPr>
          <w:p w14:paraId="10DE71D0">
            <w:pPr>
              <w:spacing w:line="300" w:lineRule="atLeast"/>
              <w:ind w:firstLine="0" w:firstLineChars="0"/>
              <w:jc w:val="center"/>
              <w:rPr>
                <w:color w:val="auto"/>
                <w:sz w:val="21"/>
                <w:szCs w:val="21"/>
              </w:rPr>
            </w:pPr>
            <w:r>
              <w:rPr>
                <w:color w:val="auto"/>
                <w:sz w:val="21"/>
                <w:szCs w:val="21"/>
              </w:rPr>
              <w:t>3060695</w:t>
            </w:r>
          </w:p>
        </w:tc>
        <w:tc>
          <w:tcPr>
            <w:tcW w:w="1190" w:type="dxa"/>
            <w:tcBorders>
              <w:top w:val="single" w:color="auto" w:sz="4" w:space="0"/>
              <w:left w:val="single" w:color="auto" w:sz="4" w:space="0"/>
              <w:bottom w:val="single" w:color="auto" w:sz="4" w:space="0"/>
              <w:right w:val="single" w:color="auto" w:sz="4" w:space="0"/>
            </w:tcBorders>
            <w:vAlign w:val="center"/>
          </w:tcPr>
          <w:p w14:paraId="2F0EB4F5">
            <w:pPr>
              <w:spacing w:line="300" w:lineRule="atLeast"/>
              <w:ind w:firstLine="0" w:firstLineChars="0"/>
              <w:jc w:val="center"/>
              <w:rPr>
                <w:color w:val="auto"/>
                <w:sz w:val="21"/>
                <w:szCs w:val="21"/>
              </w:rPr>
            </w:pPr>
            <w:r>
              <w:rPr>
                <w:color w:val="auto"/>
                <w:sz w:val="21"/>
                <w:szCs w:val="21"/>
              </w:rPr>
              <w:t>39449608</w:t>
            </w:r>
          </w:p>
        </w:tc>
        <w:tc>
          <w:tcPr>
            <w:tcW w:w="809" w:type="dxa"/>
            <w:tcBorders>
              <w:top w:val="single" w:color="auto" w:sz="4" w:space="0"/>
              <w:left w:val="single" w:color="auto" w:sz="4" w:space="0"/>
              <w:bottom w:val="single" w:color="auto" w:sz="4" w:space="0"/>
              <w:right w:val="single" w:color="auto" w:sz="4" w:space="0"/>
            </w:tcBorders>
            <w:vAlign w:val="center"/>
          </w:tcPr>
          <w:p w14:paraId="5E07D474">
            <w:pPr>
              <w:spacing w:line="300" w:lineRule="atLeast"/>
              <w:ind w:firstLine="0" w:firstLineChars="0"/>
              <w:jc w:val="center"/>
              <w:rPr>
                <w:color w:val="auto"/>
                <w:sz w:val="21"/>
                <w:szCs w:val="21"/>
              </w:rPr>
            </w:pPr>
            <w:r>
              <w:rPr>
                <w:color w:val="auto"/>
                <w:sz w:val="21"/>
                <w:szCs w:val="21"/>
              </w:rPr>
              <w:t>326</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4331AD72">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67F0258">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ECE16DE">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3F2BA1B6">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7F404A35">
            <w:pPr>
              <w:spacing w:line="300" w:lineRule="atLeast"/>
              <w:ind w:firstLine="0" w:firstLineChars="0"/>
              <w:jc w:val="center"/>
              <w:rPr>
                <w:color w:val="auto"/>
                <w:sz w:val="21"/>
                <w:szCs w:val="21"/>
              </w:rPr>
            </w:pPr>
            <w:r>
              <w:rPr>
                <w:color w:val="auto"/>
                <w:sz w:val="21"/>
                <w:szCs w:val="21"/>
              </w:rPr>
              <w:t>民采坑道</w:t>
            </w:r>
          </w:p>
        </w:tc>
      </w:tr>
      <w:tr w14:paraId="04EA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4AEA3DA">
            <w:pPr>
              <w:spacing w:line="300" w:lineRule="atLeast"/>
              <w:ind w:firstLine="0" w:firstLineChars="0"/>
              <w:jc w:val="center"/>
              <w:rPr>
                <w:color w:val="auto"/>
                <w:sz w:val="21"/>
                <w:szCs w:val="21"/>
              </w:rPr>
            </w:pPr>
            <w:r>
              <w:rPr>
                <w:color w:val="auto"/>
                <w:sz w:val="21"/>
                <w:szCs w:val="21"/>
              </w:rPr>
              <w:t>PD-4</w:t>
            </w:r>
          </w:p>
        </w:tc>
        <w:tc>
          <w:tcPr>
            <w:tcW w:w="1124" w:type="dxa"/>
            <w:tcBorders>
              <w:top w:val="single" w:color="auto" w:sz="4" w:space="0"/>
              <w:left w:val="single" w:color="auto" w:sz="4" w:space="0"/>
              <w:bottom w:val="single" w:color="auto" w:sz="4" w:space="0"/>
              <w:right w:val="single" w:color="auto" w:sz="4" w:space="0"/>
            </w:tcBorders>
            <w:vAlign w:val="center"/>
          </w:tcPr>
          <w:p w14:paraId="6A34F424">
            <w:pPr>
              <w:spacing w:line="300" w:lineRule="atLeast"/>
              <w:ind w:firstLine="0" w:firstLineChars="0"/>
              <w:jc w:val="center"/>
              <w:rPr>
                <w:color w:val="auto"/>
                <w:sz w:val="21"/>
                <w:szCs w:val="21"/>
              </w:rPr>
            </w:pPr>
            <w:r>
              <w:rPr>
                <w:color w:val="auto"/>
                <w:sz w:val="21"/>
                <w:szCs w:val="21"/>
              </w:rPr>
              <w:t>3060870</w:t>
            </w:r>
          </w:p>
        </w:tc>
        <w:tc>
          <w:tcPr>
            <w:tcW w:w="1190" w:type="dxa"/>
            <w:tcBorders>
              <w:top w:val="single" w:color="auto" w:sz="4" w:space="0"/>
              <w:left w:val="single" w:color="auto" w:sz="4" w:space="0"/>
              <w:bottom w:val="single" w:color="auto" w:sz="4" w:space="0"/>
              <w:right w:val="single" w:color="auto" w:sz="4" w:space="0"/>
            </w:tcBorders>
            <w:vAlign w:val="center"/>
          </w:tcPr>
          <w:p w14:paraId="4D09267D">
            <w:pPr>
              <w:spacing w:line="300" w:lineRule="atLeast"/>
              <w:ind w:firstLine="0" w:firstLineChars="0"/>
              <w:jc w:val="center"/>
              <w:rPr>
                <w:color w:val="auto"/>
                <w:sz w:val="21"/>
                <w:szCs w:val="21"/>
              </w:rPr>
            </w:pPr>
            <w:r>
              <w:rPr>
                <w:color w:val="auto"/>
                <w:sz w:val="21"/>
                <w:szCs w:val="21"/>
              </w:rPr>
              <w:t>39449633</w:t>
            </w:r>
          </w:p>
        </w:tc>
        <w:tc>
          <w:tcPr>
            <w:tcW w:w="809" w:type="dxa"/>
            <w:tcBorders>
              <w:top w:val="single" w:color="auto" w:sz="4" w:space="0"/>
              <w:left w:val="single" w:color="auto" w:sz="4" w:space="0"/>
              <w:bottom w:val="single" w:color="auto" w:sz="4" w:space="0"/>
              <w:right w:val="single" w:color="auto" w:sz="4" w:space="0"/>
            </w:tcBorders>
            <w:vAlign w:val="center"/>
          </w:tcPr>
          <w:p w14:paraId="5568860D">
            <w:pPr>
              <w:spacing w:line="300" w:lineRule="atLeast"/>
              <w:ind w:firstLine="0" w:firstLineChars="0"/>
              <w:jc w:val="center"/>
              <w:rPr>
                <w:color w:val="auto"/>
                <w:sz w:val="21"/>
                <w:szCs w:val="21"/>
              </w:rPr>
            </w:pPr>
            <w:r>
              <w:rPr>
                <w:color w:val="auto"/>
                <w:sz w:val="21"/>
                <w:szCs w:val="21"/>
              </w:rPr>
              <w:t>426</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6404BA32">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7885018E">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60DF7388">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6D52E5AA">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1A793959">
            <w:pPr>
              <w:spacing w:line="300" w:lineRule="atLeast"/>
              <w:ind w:firstLine="0" w:firstLineChars="0"/>
              <w:jc w:val="center"/>
              <w:rPr>
                <w:color w:val="auto"/>
                <w:sz w:val="21"/>
                <w:szCs w:val="21"/>
              </w:rPr>
            </w:pPr>
            <w:r>
              <w:rPr>
                <w:color w:val="auto"/>
                <w:sz w:val="21"/>
                <w:szCs w:val="21"/>
              </w:rPr>
              <w:t>民采坑道</w:t>
            </w:r>
          </w:p>
        </w:tc>
      </w:tr>
      <w:tr w14:paraId="28C4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171EE3F1">
            <w:pPr>
              <w:spacing w:line="300" w:lineRule="atLeast"/>
              <w:ind w:firstLine="0" w:firstLineChars="0"/>
              <w:jc w:val="center"/>
              <w:rPr>
                <w:color w:val="auto"/>
                <w:sz w:val="21"/>
                <w:szCs w:val="21"/>
              </w:rPr>
            </w:pPr>
            <w:r>
              <w:rPr>
                <w:color w:val="auto"/>
                <w:sz w:val="21"/>
                <w:szCs w:val="21"/>
              </w:rPr>
              <w:t>PD-5</w:t>
            </w:r>
          </w:p>
        </w:tc>
        <w:tc>
          <w:tcPr>
            <w:tcW w:w="1124" w:type="dxa"/>
            <w:tcBorders>
              <w:top w:val="single" w:color="auto" w:sz="4" w:space="0"/>
              <w:left w:val="single" w:color="auto" w:sz="4" w:space="0"/>
              <w:bottom w:val="single" w:color="auto" w:sz="4" w:space="0"/>
              <w:right w:val="single" w:color="auto" w:sz="4" w:space="0"/>
            </w:tcBorders>
            <w:vAlign w:val="center"/>
          </w:tcPr>
          <w:p w14:paraId="42D195A4">
            <w:pPr>
              <w:spacing w:line="300" w:lineRule="atLeast"/>
              <w:ind w:firstLine="0" w:firstLineChars="0"/>
              <w:jc w:val="center"/>
              <w:rPr>
                <w:color w:val="auto"/>
                <w:sz w:val="21"/>
                <w:szCs w:val="21"/>
              </w:rPr>
            </w:pPr>
            <w:r>
              <w:rPr>
                <w:color w:val="auto"/>
                <w:sz w:val="21"/>
                <w:szCs w:val="21"/>
              </w:rPr>
              <w:t>3060776</w:t>
            </w:r>
          </w:p>
        </w:tc>
        <w:tc>
          <w:tcPr>
            <w:tcW w:w="1190" w:type="dxa"/>
            <w:tcBorders>
              <w:top w:val="single" w:color="auto" w:sz="4" w:space="0"/>
              <w:left w:val="single" w:color="auto" w:sz="4" w:space="0"/>
              <w:bottom w:val="single" w:color="auto" w:sz="4" w:space="0"/>
              <w:right w:val="single" w:color="auto" w:sz="4" w:space="0"/>
            </w:tcBorders>
            <w:vAlign w:val="center"/>
          </w:tcPr>
          <w:p w14:paraId="2CB80805">
            <w:pPr>
              <w:spacing w:line="300" w:lineRule="atLeast"/>
              <w:ind w:firstLine="0" w:firstLineChars="0"/>
              <w:jc w:val="center"/>
              <w:rPr>
                <w:color w:val="auto"/>
                <w:sz w:val="21"/>
                <w:szCs w:val="21"/>
              </w:rPr>
            </w:pPr>
            <w:r>
              <w:rPr>
                <w:color w:val="auto"/>
                <w:sz w:val="21"/>
                <w:szCs w:val="21"/>
              </w:rPr>
              <w:t>39449528</w:t>
            </w:r>
          </w:p>
        </w:tc>
        <w:tc>
          <w:tcPr>
            <w:tcW w:w="809" w:type="dxa"/>
            <w:tcBorders>
              <w:top w:val="single" w:color="auto" w:sz="4" w:space="0"/>
              <w:left w:val="single" w:color="auto" w:sz="4" w:space="0"/>
              <w:bottom w:val="single" w:color="auto" w:sz="4" w:space="0"/>
              <w:right w:val="single" w:color="auto" w:sz="4" w:space="0"/>
            </w:tcBorders>
            <w:vAlign w:val="center"/>
          </w:tcPr>
          <w:p w14:paraId="4CA7A12E">
            <w:pPr>
              <w:spacing w:line="300" w:lineRule="atLeast"/>
              <w:ind w:firstLine="0" w:firstLineChars="0"/>
              <w:jc w:val="center"/>
              <w:rPr>
                <w:color w:val="auto"/>
                <w:sz w:val="21"/>
                <w:szCs w:val="21"/>
              </w:rPr>
            </w:pPr>
            <w:r>
              <w:rPr>
                <w:color w:val="auto"/>
                <w:sz w:val="21"/>
                <w:szCs w:val="21"/>
              </w:rPr>
              <w:t>391</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62591DB3">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3CFA04AB">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2B19DF2">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1D079BD4">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13F69172">
            <w:pPr>
              <w:spacing w:line="300" w:lineRule="atLeast"/>
              <w:ind w:firstLine="0" w:firstLineChars="0"/>
              <w:jc w:val="center"/>
              <w:rPr>
                <w:color w:val="auto"/>
                <w:sz w:val="21"/>
                <w:szCs w:val="21"/>
              </w:rPr>
            </w:pPr>
            <w:r>
              <w:rPr>
                <w:color w:val="auto"/>
                <w:sz w:val="21"/>
                <w:szCs w:val="21"/>
              </w:rPr>
              <w:t>民采坑道</w:t>
            </w:r>
          </w:p>
        </w:tc>
      </w:tr>
      <w:tr w14:paraId="715B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AFED82B">
            <w:pPr>
              <w:spacing w:line="300" w:lineRule="atLeast"/>
              <w:ind w:firstLine="0" w:firstLineChars="0"/>
              <w:jc w:val="center"/>
              <w:rPr>
                <w:color w:val="auto"/>
                <w:sz w:val="21"/>
                <w:szCs w:val="21"/>
              </w:rPr>
            </w:pPr>
            <w:r>
              <w:rPr>
                <w:color w:val="auto"/>
                <w:sz w:val="21"/>
                <w:szCs w:val="21"/>
              </w:rPr>
              <w:t>PD-6</w:t>
            </w:r>
          </w:p>
        </w:tc>
        <w:tc>
          <w:tcPr>
            <w:tcW w:w="1124" w:type="dxa"/>
            <w:tcBorders>
              <w:top w:val="single" w:color="auto" w:sz="4" w:space="0"/>
              <w:left w:val="single" w:color="auto" w:sz="4" w:space="0"/>
              <w:bottom w:val="single" w:color="auto" w:sz="4" w:space="0"/>
              <w:right w:val="single" w:color="auto" w:sz="4" w:space="0"/>
            </w:tcBorders>
            <w:vAlign w:val="center"/>
          </w:tcPr>
          <w:p w14:paraId="108252D0">
            <w:pPr>
              <w:spacing w:line="300" w:lineRule="atLeast"/>
              <w:ind w:firstLine="0" w:firstLineChars="0"/>
              <w:jc w:val="center"/>
              <w:rPr>
                <w:color w:val="auto"/>
                <w:sz w:val="21"/>
                <w:szCs w:val="21"/>
              </w:rPr>
            </w:pPr>
            <w:r>
              <w:rPr>
                <w:color w:val="auto"/>
                <w:sz w:val="21"/>
                <w:szCs w:val="21"/>
              </w:rPr>
              <w:t>3060728</w:t>
            </w:r>
          </w:p>
        </w:tc>
        <w:tc>
          <w:tcPr>
            <w:tcW w:w="1190" w:type="dxa"/>
            <w:tcBorders>
              <w:top w:val="single" w:color="auto" w:sz="4" w:space="0"/>
              <w:left w:val="single" w:color="auto" w:sz="4" w:space="0"/>
              <w:bottom w:val="single" w:color="auto" w:sz="4" w:space="0"/>
              <w:right w:val="single" w:color="auto" w:sz="4" w:space="0"/>
            </w:tcBorders>
            <w:vAlign w:val="center"/>
          </w:tcPr>
          <w:p w14:paraId="3588B4D2">
            <w:pPr>
              <w:spacing w:line="300" w:lineRule="atLeast"/>
              <w:ind w:firstLine="0" w:firstLineChars="0"/>
              <w:jc w:val="center"/>
              <w:rPr>
                <w:color w:val="auto"/>
                <w:sz w:val="21"/>
                <w:szCs w:val="21"/>
              </w:rPr>
            </w:pPr>
            <w:r>
              <w:rPr>
                <w:color w:val="auto"/>
                <w:sz w:val="21"/>
                <w:szCs w:val="21"/>
              </w:rPr>
              <w:t>39449525</w:t>
            </w:r>
          </w:p>
        </w:tc>
        <w:tc>
          <w:tcPr>
            <w:tcW w:w="809" w:type="dxa"/>
            <w:tcBorders>
              <w:top w:val="single" w:color="auto" w:sz="4" w:space="0"/>
              <w:left w:val="single" w:color="auto" w:sz="4" w:space="0"/>
              <w:bottom w:val="single" w:color="auto" w:sz="4" w:space="0"/>
              <w:right w:val="single" w:color="auto" w:sz="4" w:space="0"/>
            </w:tcBorders>
            <w:vAlign w:val="center"/>
          </w:tcPr>
          <w:p w14:paraId="2E893626">
            <w:pPr>
              <w:spacing w:line="300" w:lineRule="atLeast"/>
              <w:ind w:firstLine="0" w:firstLineChars="0"/>
              <w:jc w:val="center"/>
              <w:rPr>
                <w:color w:val="auto"/>
                <w:sz w:val="21"/>
                <w:szCs w:val="21"/>
              </w:rPr>
            </w:pPr>
            <w:r>
              <w:rPr>
                <w:color w:val="auto"/>
                <w:sz w:val="21"/>
                <w:szCs w:val="21"/>
              </w:rPr>
              <w:t>392</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15D111BD">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3BEC423D">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5327244D">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4BAD7F9B">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4362C8B3">
            <w:pPr>
              <w:spacing w:line="300" w:lineRule="atLeast"/>
              <w:ind w:firstLine="0" w:firstLineChars="0"/>
              <w:jc w:val="center"/>
              <w:rPr>
                <w:color w:val="auto"/>
                <w:sz w:val="21"/>
                <w:szCs w:val="21"/>
              </w:rPr>
            </w:pPr>
            <w:r>
              <w:rPr>
                <w:color w:val="auto"/>
                <w:sz w:val="21"/>
                <w:szCs w:val="21"/>
              </w:rPr>
              <w:t>民采坑道</w:t>
            </w:r>
          </w:p>
        </w:tc>
      </w:tr>
      <w:tr w14:paraId="01B4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B097CD6">
            <w:pPr>
              <w:spacing w:line="300" w:lineRule="atLeast"/>
              <w:ind w:firstLine="0" w:firstLineChars="0"/>
              <w:jc w:val="center"/>
              <w:rPr>
                <w:color w:val="auto"/>
                <w:sz w:val="21"/>
                <w:szCs w:val="21"/>
              </w:rPr>
            </w:pPr>
            <w:r>
              <w:rPr>
                <w:color w:val="auto"/>
                <w:sz w:val="21"/>
                <w:szCs w:val="21"/>
              </w:rPr>
              <w:t>PD-7</w:t>
            </w:r>
          </w:p>
        </w:tc>
        <w:tc>
          <w:tcPr>
            <w:tcW w:w="1124" w:type="dxa"/>
            <w:tcBorders>
              <w:top w:val="single" w:color="auto" w:sz="4" w:space="0"/>
              <w:left w:val="single" w:color="auto" w:sz="4" w:space="0"/>
              <w:bottom w:val="single" w:color="auto" w:sz="4" w:space="0"/>
              <w:right w:val="single" w:color="auto" w:sz="4" w:space="0"/>
            </w:tcBorders>
            <w:vAlign w:val="center"/>
          </w:tcPr>
          <w:p w14:paraId="7DEC13D7">
            <w:pPr>
              <w:spacing w:line="300" w:lineRule="atLeast"/>
              <w:ind w:firstLine="0" w:firstLineChars="0"/>
              <w:jc w:val="center"/>
              <w:rPr>
                <w:color w:val="auto"/>
                <w:sz w:val="21"/>
                <w:szCs w:val="21"/>
              </w:rPr>
            </w:pPr>
            <w:r>
              <w:rPr>
                <w:color w:val="auto"/>
                <w:sz w:val="21"/>
                <w:szCs w:val="21"/>
              </w:rPr>
              <w:t>3060778</w:t>
            </w:r>
          </w:p>
        </w:tc>
        <w:tc>
          <w:tcPr>
            <w:tcW w:w="1190" w:type="dxa"/>
            <w:tcBorders>
              <w:top w:val="single" w:color="auto" w:sz="4" w:space="0"/>
              <w:left w:val="single" w:color="auto" w:sz="4" w:space="0"/>
              <w:bottom w:val="single" w:color="auto" w:sz="4" w:space="0"/>
              <w:right w:val="single" w:color="auto" w:sz="4" w:space="0"/>
            </w:tcBorders>
            <w:vAlign w:val="center"/>
          </w:tcPr>
          <w:p w14:paraId="34840400">
            <w:pPr>
              <w:spacing w:line="300" w:lineRule="atLeast"/>
              <w:ind w:firstLine="0" w:firstLineChars="0"/>
              <w:jc w:val="center"/>
              <w:rPr>
                <w:color w:val="auto"/>
                <w:sz w:val="21"/>
                <w:szCs w:val="21"/>
              </w:rPr>
            </w:pPr>
            <w:r>
              <w:rPr>
                <w:color w:val="auto"/>
                <w:sz w:val="21"/>
                <w:szCs w:val="21"/>
              </w:rPr>
              <w:t>3449490</w:t>
            </w:r>
          </w:p>
        </w:tc>
        <w:tc>
          <w:tcPr>
            <w:tcW w:w="809" w:type="dxa"/>
            <w:tcBorders>
              <w:top w:val="single" w:color="auto" w:sz="4" w:space="0"/>
              <w:left w:val="single" w:color="auto" w:sz="4" w:space="0"/>
              <w:bottom w:val="single" w:color="auto" w:sz="4" w:space="0"/>
              <w:right w:val="single" w:color="auto" w:sz="4" w:space="0"/>
            </w:tcBorders>
            <w:vAlign w:val="center"/>
          </w:tcPr>
          <w:p w14:paraId="5F170138">
            <w:pPr>
              <w:spacing w:line="300" w:lineRule="atLeast"/>
              <w:ind w:firstLine="0" w:firstLineChars="0"/>
              <w:jc w:val="center"/>
              <w:rPr>
                <w:color w:val="auto"/>
                <w:sz w:val="21"/>
                <w:szCs w:val="21"/>
              </w:rPr>
            </w:pPr>
            <w:r>
              <w:rPr>
                <w:color w:val="auto"/>
                <w:sz w:val="21"/>
                <w:szCs w:val="21"/>
              </w:rPr>
              <w:t>364</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2B065C83">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06706949">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54EE5CA7">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5652AA49">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592F1ADF">
            <w:pPr>
              <w:spacing w:line="300" w:lineRule="atLeast"/>
              <w:ind w:firstLine="0" w:firstLineChars="0"/>
              <w:jc w:val="center"/>
              <w:rPr>
                <w:color w:val="auto"/>
                <w:sz w:val="21"/>
                <w:szCs w:val="21"/>
              </w:rPr>
            </w:pPr>
            <w:r>
              <w:rPr>
                <w:color w:val="auto"/>
                <w:sz w:val="21"/>
                <w:szCs w:val="21"/>
              </w:rPr>
              <w:t>民采坑道</w:t>
            </w:r>
          </w:p>
        </w:tc>
      </w:tr>
      <w:tr w14:paraId="63BC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5B9477A8">
            <w:pPr>
              <w:spacing w:line="300" w:lineRule="atLeast"/>
              <w:ind w:firstLine="0" w:firstLineChars="0"/>
              <w:jc w:val="center"/>
              <w:rPr>
                <w:color w:val="auto"/>
                <w:sz w:val="21"/>
                <w:szCs w:val="21"/>
              </w:rPr>
            </w:pPr>
            <w:r>
              <w:rPr>
                <w:color w:val="auto"/>
                <w:sz w:val="21"/>
                <w:szCs w:val="21"/>
              </w:rPr>
              <w:t>PD-8</w:t>
            </w:r>
          </w:p>
        </w:tc>
        <w:tc>
          <w:tcPr>
            <w:tcW w:w="1124" w:type="dxa"/>
            <w:tcBorders>
              <w:top w:val="single" w:color="auto" w:sz="4" w:space="0"/>
              <w:left w:val="single" w:color="auto" w:sz="4" w:space="0"/>
              <w:bottom w:val="single" w:color="auto" w:sz="4" w:space="0"/>
              <w:right w:val="single" w:color="auto" w:sz="4" w:space="0"/>
            </w:tcBorders>
            <w:vAlign w:val="center"/>
          </w:tcPr>
          <w:p w14:paraId="53FB4920">
            <w:pPr>
              <w:spacing w:line="300" w:lineRule="atLeast"/>
              <w:ind w:firstLine="0" w:firstLineChars="0"/>
              <w:jc w:val="center"/>
              <w:rPr>
                <w:color w:val="auto"/>
                <w:sz w:val="21"/>
                <w:szCs w:val="21"/>
              </w:rPr>
            </w:pPr>
            <w:r>
              <w:rPr>
                <w:color w:val="auto"/>
                <w:sz w:val="21"/>
                <w:szCs w:val="21"/>
              </w:rPr>
              <w:t>3060792</w:t>
            </w:r>
          </w:p>
        </w:tc>
        <w:tc>
          <w:tcPr>
            <w:tcW w:w="1190" w:type="dxa"/>
            <w:tcBorders>
              <w:top w:val="single" w:color="auto" w:sz="4" w:space="0"/>
              <w:left w:val="single" w:color="auto" w:sz="4" w:space="0"/>
              <w:bottom w:val="single" w:color="auto" w:sz="4" w:space="0"/>
              <w:right w:val="single" w:color="auto" w:sz="4" w:space="0"/>
            </w:tcBorders>
            <w:vAlign w:val="center"/>
          </w:tcPr>
          <w:p w14:paraId="69D11DAB">
            <w:pPr>
              <w:spacing w:line="300" w:lineRule="atLeast"/>
              <w:ind w:firstLine="0" w:firstLineChars="0"/>
              <w:jc w:val="center"/>
              <w:rPr>
                <w:color w:val="auto"/>
                <w:sz w:val="21"/>
                <w:szCs w:val="21"/>
              </w:rPr>
            </w:pPr>
            <w:r>
              <w:rPr>
                <w:color w:val="auto"/>
                <w:sz w:val="21"/>
                <w:szCs w:val="21"/>
              </w:rPr>
              <w:t>39449485</w:t>
            </w:r>
          </w:p>
        </w:tc>
        <w:tc>
          <w:tcPr>
            <w:tcW w:w="809" w:type="dxa"/>
            <w:tcBorders>
              <w:top w:val="single" w:color="auto" w:sz="4" w:space="0"/>
              <w:left w:val="single" w:color="auto" w:sz="4" w:space="0"/>
              <w:bottom w:val="single" w:color="auto" w:sz="4" w:space="0"/>
              <w:right w:val="single" w:color="auto" w:sz="4" w:space="0"/>
            </w:tcBorders>
            <w:vAlign w:val="center"/>
          </w:tcPr>
          <w:p w14:paraId="07A4C703">
            <w:pPr>
              <w:spacing w:line="300" w:lineRule="atLeast"/>
              <w:ind w:firstLine="0" w:firstLineChars="0"/>
              <w:jc w:val="center"/>
              <w:rPr>
                <w:color w:val="auto"/>
                <w:sz w:val="21"/>
                <w:szCs w:val="21"/>
              </w:rPr>
            </w:pPr>
            <w:r>
              <w:rPr>
                <w:color w:val="auto"/>
                <w:sz w:val="21"/>
                <w:szCs w:val="21"/>
              </w:rPr>
              <w:t>362</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15B9D061">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C97BA3F">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A7B1DE7">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4892474F">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644B8A3F">
            <w:pPr>
              <w:spacing w:line="300" w:lineRule="atLeast"/>
              <w:ind w:firstLine="0" w:firstLineChars="0"/>
              <w:jc w:val="center"/>
              <w:rPr>
                <w:color w:val="auto"/>
                <w:sz w:val="21"/>
                <w:szCs w:val="21"/>
              </w:rPr>
            </w:pPr>
            <w:r>
              <w:rPr>
                <w:color w:val="auto"/>
                <w:sz w:val="21"/>
                <w:szCs w:val="21"/>
              </w:rPr>
              <w:t>民采坑道</w:t>
            </w:r>
          </w:p>
        </w:tc>
      </w:tr>
      <w:tr w14:paraId="215E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1E1DA0F0">
            <w:pPr>
              <w:spacing w:line="300" w:lineRule="atLeast"/>
              <w:ind w:firstLine="0" w:firstLineChars="0"/>
              <w:jc w:val="center"/>
              <w:rPr>
                <w:color w:val="auto"/>
                <w:sz w:val="21"/>
                <w:szCs w:val="21"/>
              </w:rPr>
            </w:pPr>
            <w:r>
              <w:rPr>
                <w:color w:val="auto"/>
                <w:sz w:val="21"/>
                <w:szCs w:val="21"/>
              </w:rPr>
              <w:t>PD-9</w:t>
            </w:r>
          </w:p>
        </w:tc>
        <w:tc>
          <w:tcPr>
            <w:tcW w:w="1124" w:type="dxa"/>
            <w:tcBorders>
              <w:top w:val="single" w:color="auto" w:sz="4" w:space="0"/>
              <w:left w:val="single" w:color="auto" w:sz="4" w:space="0"/>
              <w:bottom w:val="single" w:color="auto" w:sz="4" w:space="0"/>
              <w:right w:val="single" w:color="auto" w:sz="4" w:space="0"/>
            </w:tcBorders>
            <w:vAlign w:val="center"/>
          </w:tcPr>
          <w:p w14:paraId="44609FBB">
            <w:pPr>
              <w:spacing w:line="300" w:lineRule="atLeast"/>
              <w:ind w:firstLine="0" w:firstLineChars="0"/>
              <w:jc w:val="center"/>
              <w:rPr>
                <w:color w:val="auto"/>
                <w:sz w:val="21"/>
                <w:szCs w:val="21"/>
              </w:rPr>
            </w:pPr>
            <w:r>
              <w:rPr>
                <w:color w:val="auto"/>
                <w:sz w:val="21"/>
                <w:szCs w:val="21"/>
              </w:rPr>
              <w:t>3060767</w:t>
            </w:r>
          </w:p>
        </w:tc>
        <w:tc>
          <w:tcPr>
            <w:tcW w:w="1190" w:type="dxa"/>
            <w:tcBorders>
              <w:top w:val="single" w:color="auto" w:sz="4" w:space="0"/>
              <w:left w:val="single" w:color="auto" w:sz="4" w:space="0"/>
              <w:bottom w:val="single" w:color="auto" w:sz="4" w:space="0"/>
              <w:right w:val="single" w:color="auto" w:sz="4" w:space="0"/>
            </w:tcBorders>
            <w:vAlign w:val="center"/>
          </w:tcPr>
          <w:p w14:paraId="74215C29">
            <w:pPr>
              <w:spacing w:line="300" w:lineRule="atLeast"/>
              <w:ind w:firstLine="0" w:firstLineChars="0"/>
              <w:jc w:val="center"/>
              <w:rPr>
                <w:color w:val="auto"/>
                <w:sz w:val="21"/>
                <w:szCs w:val="21"/>
              </w:rPr>
            </w:pPr>
            <w:r>
              <w:rPr>
                <w:color w:val="auto"/>
                <w:sz w:val="21"/>
                <w:szCs w:val="21"/>
              </w:rPr>
              <w:t>39449472</w:t>
            </w:r>
          </w:p>
        </w:tc>
        <w:tc>
          <w:tcPr>
            <w:tcW w:w="809" w:type="dxa"/>
            <w:tcBorders>
              <w:top w:val="single" w:color="auto" w:sz="4" w:space="0"/>
              <w:left w:val="single" w:color="auto" w:sz="4" w:space="0"/>
              <w:bottom w:val="single" w:color="auto" w:sz="4" w:space="0"/>
              <w:right w:val="single" w:color="auto" w:sz="4" w:space="0"/>
            </w:tcBorders>
            <w:vAlign w:val="center"/>
          </w:tcPr>
          <w:p w14:paraId="60053BEA">
            <w:pPr>
              <w:spacing w:line="300" w:lineRule="atLeast"/>
              <w:ind w:firstLine="0" w:firstLineChars="0"/>
              <w:jc w:val="center"/>
              <w:rPr>
                <w:color w:val="auto"/>
                <w:sz w:val="21"/>
                <w:szCs w:val="21"/>
              </w:rPr>
            </w:pPr>
            <w:r>
              <w:rPr>
                <w:color w:val="auto"/>
                <w:sz w:val="21"/>
                <w:szCs w:val="21"/>
              </w:rPr>
              <w:t>353</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4CC8E4F1">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F8EDE87">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47E482CA">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1F1DEF40">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5AD64308">
            <w:pPr>
              <w:spacing w:line="300" w:lineRule="atLeast"/>
              <w:ind w:firstLine="0" w:firstLineChars="0"/>
              <w:jc w:val="center"/>
              <w:rPr>
                <w:color w:val="auto"/>
                <w:sz w:val="21"/>
                <w:szCs w:val="21"/>
              </w:rPr>
            </w:pPr>
            <w:r>
              <w:rPr>
                <w:color w:val="auto"/>
                <w:sz w:val="21"/>
                <w:szCs w:val="21"/>
              </w:rPr>
              <w:t>民采坑道</w:t>
            </w:r>
          </w:p>
        </w:tc>
      </w:tr>
      <w:tr w14:paraId="7DDE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7D6FBF0">
            <w:pPr>
              <w:spacing w:line="300" w:lineRule="atLeast"/>
              <w:ind w:firstLine="0" w:firstLineChars="0"/>
              <w:jc w:val="center"/>
              <w:rPr>
                <w:color w:val="auto"/>
                <w:sz w:val="21"/>
                <w:szCs w:val="21"/>
              </w:rPr>
            </w:pPr>
            <w:r>
              <w:rPr>
                <w:color w:val="auto"/>
                <w:sz w:val="21"/>
                <w:szCs w:val="21"/>
              </w:rPr>
              <w:t>PD-10</w:t>
            </w:r>
          </w:p>
        </w:tc>
        <w:tc>
          <w:tcPr>
            <w:tcW w:w="1124" w:type="dxa"/>
            <w:tcBorders>
              <w:top w:val="single" w:color="auto" w:sz="4" w:space="0"/>
              <w:left w:val="single" w:color="auto" w:sz="4" w:space="0"/>
              <w:bottom w:val="single" w:color="auto" w:sz="4" w:space="0"/>
              <w:right w:val="single" w:color="auto" w:sz="4" w:space="0"/>
            </w:tcBorders>
            <w:vAlign w:val="center"/>
          </w:tcPr>
          <w:p w14:paraId="39309641">
            <w:pPr>
              <w:spacing w:line="300" w:lineRule="atLeast"/>
              <w:ind w:firstLine="0" w:firstLineChars="0"/>
              <w:jc w:val="center"/>
              <w:rPr>
                <w:color w:val="auto"/>
                <w:sz w:val="21"/>
                <w:szCs w:val="21"/>
              </w:rPr>
            </w:pPr>
            <w:r>
              <w:rPr>
                <w:color w:val="auto"/>
                <w:sz w:val="21"/>
                <w:szCs w:val="21"/>
              </w:rPr>
              <w:t>3060707</w:t>
            </w:r>
          </w:p>
        </w:tc>
        <w:tc>
          <w:tcPr>
            <w:tcW w:w="1190" w:type="dxa"/>
            <w:tcBorders>
              <w:top w:val="single" w:color="auto" w:sz="4" w:space="0"/>
              <w:left w:val="single" w:color="auto" w:sz="4" w:space="0"/>
              <w:bottom w:val="single" w:color="auto" w:sz="4" w:space="0"/>
              <w:right w:val="single" w:color="auto" w:sz="4" w:space="0"/>
            </w:tcBorders>
            <w:vAlign w:val="center"/>
          </w:tcPr>
          <w:p w14:paraId="7961A51D">
            <w:pPr>
              <w:spacing w:line="300" w:lineRule="atLeast"/>
              <w:ind w:firstLine="0" w:firstLineChars="0"/>
              <w:jc w:val="center"/>
              <w:rPr>
                <w:color w:val="auto"/>
                <w:sz w:val="21"/>
                <w:szCs w:val="21"/>
              </w:rPr>
            </w:pPr>
            <w:r>
              <w:rPr>
                <w:color w:val="auto"/>
                <w:sz w:val="21"/>
                <w:szCs w:val="21"/>
              </w:rPr>
              <w:t>39449616</w:t>
            </w:r>
          </w:p>
        </w:tc>
        <w:tc>
          <w:tcPr>
            <w:tcW w:w="809" w:type="dxa"/>
            <w:tcBorders>
              <w:top w:val="single" w:color="auto" w:sz="4" w:space="0"/>
              <w:left w:val="single" w:color="auto" w:sz="4" w:space="0"/>
              <w:bottom w:val="single" w:color="auto" w:sz="4" w:space="0"/>
              <w:right w:val="single" w:color="auto" w:sz="4" w:space="0"/>
            </w:tcBorders>
            <w:vAlign w:val="center"/>
          </w:tcPr>
          <w:p w14:paraId="6EE1312C">
            <w:pPr>
              <w:spacing w:line="300" w:lineRule="atLeast"/>
              <w:ind w:firstLine="0" w:firstLineChars="0"/>
              <w:jc w:val="center"/>
              <w:rPr>
                <w:color w:val="auto"/>
                <w:sz w:val="21"/>
                <w:szCs w:val="21"/>
              </w:rPr>
            </w:pPr>
            <w:r>
              <w:rPr>
                <w:color w:val="auto"/>
                <w:sz w:val="21"/>
                <w:szCs w:val="21"/>
              </w:rPr>
              <w:t>390</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4BD0546D">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770EA317">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1C965BD6">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39495AE0">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541FF0D9">
            <w:pPr>
              <w:spacing w:line="300" w:lineRule="atLeast"/>
              <w:ind w:firstLine="0" w:firstLineChars="0"/>
              <w:jc w:val="center"/>
              <w:rPr>
                <w:color w:val="auto"/>
                <w:sz w:val="21"/>
                <w:szCs w:val="21"/>
              </w:rPr>
            </w:pPr>
            <w:r>
              <w:rPr>
                <w:color w:val="auto"/>
                <w:sz w:val="21"/>
                <w:szCs w:val="21"/>
              </w:rPr>
              <w:t>民采坑道</w:t>
            </w:r>
          </w:p>
        </w:tc>
      </w:tr>
      <w:tr w14:paraId="7139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4A28AF0">
            <w:pPr>
              <w:spacing w:line="300" w:lineRule="atLeast"/>
              <w:ind w:firstLine="0" w:firstLineChars="0"/>
              <w:jc w:val="center"/>
              <w:rPr>
                <w:color w:val="auto"/>
                <w:sz w:val="21"/>
                <w:szCs w:val="21"/>
              </w:rPr>
            </w:pPr>
            <w:r>
              <w:rPr>
                <w:color w:val="auto"/>
                <w:sz w:val="21"/>
                <w:szCs w:val="21"/>
              </w:rPr>
              <w:t>PD-11</w:t>
            </w:r>
          </w:p>
        </w:tc>
        <w:tc>
          <w:tcPr>
            <w:tcW w:w="1124" w:type="dxa"/>
            <w:tcBorders>
              <w:top w:val="single" w:color="auto" w:sz="4" w:space="0"/>
              <w:left w:val="single" w:color="auto" w:sz="4" w:space="0"/>
              <w:bottom w:val="single" w:color="auto" w:sz="4" w:space="0"/>
              <w:right w:val="single" w:color="auto" w:sz="4" w:space="0"/>
            </w:tcBorders>
            <w:vAlign w:val="center"/>
          </w:tcPr>
          <w:p w14:paraId="36AD448B">
            <w:pPr>
              <w:spacing w:line="300" w:lineRule="atLeast"/>
              <w:ind w:firstLine="0" w:firstLineChars="0"/>
              <w:jc w:val="center"/>
              <w:rPr>
                <w:color w:val="auto"/>
                <w:sz w:val="21"/>
                <w:szCs w:val="21"/>
              </w:rPr>
            </w:pPr>
            <w:r>
              <w:rPr>
                <w:color w:val="auto"/>
                <w:sz w:val="21"/>
                <w:szCs w:val="21"/>
              </w:rPr>
              <w:t>3060750</w:t>
            </w:r>
          </w:p>
        </w:tc>
        <w:tc>
          <w:tcPr>
            <w:tcW w:w="1190" w:type="dxa"/>
            <w:tcBorders>
              <w:top w:val="single" w:color="auto" w:sz="4" w:space="0"/>
              <w:left w:val="single" w:color="auto" w:sz="4" w:space="0"/>
              <w:bottom w:val="single" w:color="auto" w:sz="4" w:space="0"/>
              <w:right w:val="single" w:color="auto" w:sz="4" w:space="0"/>
            </w:tcBorders>
            <w:vAlign w:val="center"/>
          </w:tcPr>
          <w:p w14:paraId="6F494D78">
            <w:pPr>
              <w:spacing w:line="300" w:lineRule="atLeast"/>
              <w:ind w:firstLine="0" w:firstLineChars="0"/>
              <w:jc w:val="center"/>
              <w:rPr>
                <w:color w:val="auto"/>
                <w:sz w:val="21"/>
                <w:szCs w:val="21"/>
              </w:rPr>
            </w:pPr>
            <w:r>
              <w:rPr>
                <w:color w:val="auto"/>
                <w:sz w:val="21"/>
                <w:szCs w:val="21"/>
              </w:rPr>
              <w:t>39449651</w:t>
            </w:r>
          </w:p>
        </w:tc>
        <w:tc>
          <w:tcPr>
            <w:tcW w:w="809" w:type="dxa"/>
            <w:tcBorders>
              <w:top w:val="single" w:color="auto" w:sz="4" w:space="0"/>
              <w:left w:val="single" w:color="auto" w:sz="4" w:space="0"/>
              <w:bottom w:val="single" w:color="auto" w:sz="4" w:space="0"/>
              <w:right w:val="single" w:color="auto" w:sz="4" w:space="0"/>
            </w:tcBorders>
            <w:vAlign w:val="center"/>
          </w:tcPr>
          <w:p w14:paraId="1F56B388">
            <w:pPr>
              <w:spacing w:line="300" w:lineRule="atLeast"/>
              <w:ind w:firstLine="0" w:firstLineChars="0"/>
              <w:jc w:val="center"/>
              <w:rPr>
                <w:color w:val="auto"/>
                <w:sz w:val="21"/>
                <w:szCs w:val="21"/>
              </w:rPr>
            </w:pPr>
            <w:r>
              <w:rPr>
                <w:color w:val="auto"/>
                <w:sz w:val="21"/>
                <w:szCs w:val="21"/>
              </w:rPr>
              <w:t>346</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1A031427">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18157F70">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6064912">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246546BA">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6A6774D0">
            <w:pPr>
              <w:spacing w:line="300" w:lineRule="atLeast"/>
              <w:ind w:firstLine="0" w:firstLineChars="0"/>
              <w:jc w:val="center"/>
              <w:rPr>
                <w:color w:val="auto"/>
                <w:sz w:val="21"/>
                <w:szCs w:val="21"/>
              </w:rPr>
            </w:pPr>
            <w:r>
              <w:rPr>
                <w:color w:val="auto"/>
                <w:sz w:val="21"/>
                <w:szCs w:val="21"/>
              </w:rPr>
              <w:t>民采坑道</w:t>
            </w:r>
          </w:p>
        </w:tc>
      </w:tr>
      <w:tr w14:paraId="41F0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26AD4869">
            <w:pPr>
              <w:keepNext w:val="0"/>
              <w:keepLines w:val="0"/>
              <w:pageBreakBefore w:val="0"/>
              <w:widowControl/>
              <w:kinsoku w:val="0"/>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rPr>
            </w:pPr>
            <w:r>
              <w:rPr>
                <w:color w:val="auto"/>
                <w:sz w:val="21"/>
                <w:szCs w:val="21"/>
              </w:rPr>
              <w:t>PD-12</w:t>
            </w:r>
          </w:p>
        </w:tc>
        <w:tc>
          <w:tcPr>
            <w:tcW w:w="1124" w:type="dxa"/>
            <w:tcBorders>
              <w:top w:val="single" w:color="auto" w:sz="4" w:space="0"/>
              <w:left w:val="single" w:color="auto" w:sz="4" w:space="0"/>
              <w:bottom w:val="single" w:color="auto" w:sz="4" w:space="0"/>
              <w:right w:val="single" w:color="auto" w:sz="4" w:space="0"/>
            </w:tcBorders>
            <w:vAlign w:val="center"/>
          </w:tcPr>
          <w:p w14:paraId="4B4FF15E">
            <w:pPr>
              <w:keepNext w:val="0"/>
              <w:keepLines w:val="0"/>
              <w:pageBreakBefore w:val="0"/>
              <w:widowControl/>
              <w:kinsoku w:val="0"/>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rPr>
            </w:pPr>
            <w:r>
              <w:rPr>
                <w:color w:val="auto"/>
                <w:sz w:val="21"/>
                <w:szCs w:val="21"/>
              </w:rPr>
              <w:t>3060773</w:t>
            </w:r>
          </w:p>
        </w:tc>
        <w:tc>
          <w:tcPr>
            <w:tcW w:w="1190" w:type="dxa"/>
            <w:tcBorders>
              <w:top w:val="single" w:color="auto" w:sz="4" w:space="0"/>
              <w:left w:val="single" w:color="auto" w:sz="4" w:space="0"/>
              <w:bottom w:val="single" w:color="auto" w:sz="4" w:space="0"/>
              <w:right w:val="single" w:color="auto" w:sz="4" w:space="0"/>
            </w:tcBorders>
            <w:vAlign w:val="center"/>
          </w:tcPr>
          <w:p w14:paraId="52E87E50">
            <w:pPr>
              <w:keepNext w:val="0"/>
              <w:keepLines w:val="0"/>
              <w:pageBreakBefore w:val="0"/>
              <w:widowControl/>
              <w:kinsoku w:val="0"/>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rPr>
            </w:pPr>
            <w:r>
              <w:rPr>
                <w:color w:val="auto"/>
                <w:sz w:val="21"/>
                <w:szCs w:val="21"/>
              </w:rPr>
              <w:t>39449651</w:t>
            </w:r>
          </w:p>
        </w:tc>
        <w:tc>
          <w:tcPr>
            <w:tcW w:w="809" w:type="dxa"/>
            <w:tcBorders>
              <w:top w:val="single" w:color="auto" w:sz="4" w:space="0"/>
              <w:left w:val="single" w:color="auto" w:sz="4" w:space="0"/>
              <w:bottom w:val="single" w:color="auto" w:sz="4" w:space="0"/>
              <w:right w:val="single" w:color="auto" w:sz="4" w:space="0"/>
            </w:tcBorders>
            <w:vAlign w:val="center"/>
          </w:tcPr>
          <w:p w14:paraId="5B22C145">
            <w:pPr>
              <w:keepNext w:val="0"/>
              <w:keepLines w:val="0"/>
              <w:pageBreakBefore w:val="0"/>
              <w:widowControl/>
              <w:kinsoku w:val="0"/>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rPr>
            </w:pPr>
            <w:r>
              <w:rPr>
                <w:color w:val="auto"/>
                <w:sz w:val="21"/>
                <w:szCs w:val="21"/>
              </w:rPr>
              <w:t>360</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79F101CA">
            <w:pPr>
              <w:keepNext w:val="0"/>
              <w:keepLines w:val="0"/>
              <w:pageBreakBefore w:val="0"/>
              <w:widowControl/>
              <w:kinsoku w:val="0"/>
              <w:wordWrap/>
              <w:overflowPunct/>
              <w:topLinePunct w:val="0"/>
              <w:autoSpaceDE/>
              <w:autoSpaceDN/>
              <w:bidi w:val="0"/>
              <w:adjustRightInd w:val="0"/>
              <w:snapToGrid w:val="0"/>
              <w:spacing w:line="240" w:lineRule="exact"/>
              <w:jc w:val="center"/>
              <w:textAlignment w:val="baseline"/>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391E3E6F">
            <w:pPr>
              <w:keepNext w:val="0"/>
              <w:keepLines w:val="0"/>
              <w:pageBreakBefore w:val="0"/>
              <w:widowControl/>
              <w:kinsoku w:val="0"/>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73F7C116">
            <w:pPr>
              <w:keepNext w:val="0"/>
              <w:keepLines w:val="0"/>
              <w:pageBreakBefore w:val="0"/>
              <w:widowControl/>
              <w:kinsoku w:val="0"/>
              <w:wordWrap/>
              <w:overflowPunct/>
              <w:topLinePunct w:val="0"/>
              <w:autoSpaceDE/>
              <w:autoSpaceDN/>
              <w:bidi w:val="0"/>
              <w:adjustRightInd w:val="0"/>
              <w:snapToGrid w:val="0"/>
              <w:spacing w:line="240" w:lineRule="exact"/>
              <w:jc w:val="center"/>
              <w:textAlignment w:val="baseline"/>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34A1A758">
            <w:pPr>
              <w:keepNext w:val="0"/>
              <w:keepLines w:val="0"/>
              <w:pageBreakBefore w:val="0"/>
              <w:widowControl/>
              <w:kinsoku w:val="0"/>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rPr>
            </w:pPr>
            <w:r>
              <w:rPr>
                <w:color w:val="auto"/>
                <w:sz w:val="21"/>
                <w:szCs w:val="21"/>
              </w:rPr>
              <w:t>与+320m中段采空区有部分连通，已砖砌封闭</w:t>
            </w:r>
          </w:p>
        </w:tc>
        <w:tc>
          <w:tcPr>
            <w:tcW w:w="1314" w:type="dxa"/>
            <w:tcBorders>
              <w:top w:val="single" w:color="auto" w:sz="4" w:space="0"/>
              <w:left w:val="single" w:color="auto" w:sz="4" w:space="0"/>
              <w:bottom w:val="single" w:color="auto" w:sz="4" w:space="0"/>
              <w:right w:val="single" w:color="auto" w:sz="4" w:space="0"/>
            </w:tcBorders>
            <w:vAlign w:val="center"/>
          </w:tcPr>
          <w:p w14:paraId="44467DF5">
            <w:pPr>
              <w:keepNext w:val="0"/>
              <w:keepLines w:val="0"/>
              <w:pageBreakBefore w:val="0"/>
              <w:widowControl/>
              <w:kinsoku w:val="0"/>
              <w:wordWrap/>
              <w:overflowPunct/>
              <w:topLinePunct w:val="0"/>
              <w:autoSpaceDE/>
              <w:autoSpaceDN/>
              <w:bidi w:val="0"/>
              <w:adjustRightInd w:val="0"/>
              <w:snapToGrid w:val="0"/>
              <w:spacing w:line="240" w:lineRule="exact"/>
              <w:ind w:firstLine="0" w:firstLineChars="0"/>
              <w:jc w:val="center"/>
              <w:textAlignment w:val="baseline"/>
              <w:rPr>
                <w:color w:val="auto"/>
                <w:sz w:val="21"/>
                <w:szCs w:val="21"/>
              </w:rPr>
            </w:pPr>
            <w:r>
              <w:rPr>
                <w:color w:val="auto"/>
                <w:sz w:val="21"/>
                <w:szCs w:val="21"/>
              </w:rPr>
              <w:t>民采坑道</w:t>
            </w:r>
          </w:p>
        </w:tc>
      </w:tr>
      <w:tr w14:paraId="3B8A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4577A618">
            <w:pPr>
              <w:spacing w:line="300" w:lineRule="atLeast"/>
              <w:ind w:firstLine="0" w:firstLineChars="0"/>
              <w:jc w:val="center"/>
              <w:rPr>
                <w:color w:val="auto"/>
                <w:sz w:val="21"/>
                <w:szCs w:val="21"/>
              </w:rPr>
            </w:pPr>
            <w:r>
              <w:rPr>
                <w:color w:val="auto"/>
                <w:sz w:val="21"/>
                <w:szCs w:val="21"/>
              </w:rPr>
              <w:t>PD-13</w:t>
            </w:r>
          </w:p>
        </w:tc>
        <w:tc>
          <w:tcPr>
            <w:tcW w:w="1124" w:type="dxa"/>
            <w:tcBorders>
              <w:top w:val="single" w:color="auto" w:sz="4" w:space="0"/>
              <w:left w:val="single" w:color="auto" w:sz="4" w:space="0"/>
              <w:bottom w:val="single" w:color="auto" w:sz="4" w:space="0"/>
              <w:right w:val="single" w:color="auto" w:sz="4" w:space="0"/>
            </w:tcBorders>
            <w:vAlign w:val="center"/>
          </w:tcPr>
          <w:p w14:paraId="6CFD8BE7">
            <w:pPr>
              <w:spacing w:line="300" w:lineRule="atLeast"/>
              <w:ind w:firstLine="0" w:firstLineChars="0"/>
              <w:jc w:val="center"/>
              <w:rPr>
                <w:color w:val="auto"/>
                <w:sz w:val="21"/>
                <w:szCs w:val="21"/>
              </w:rPr>
            </w:pPr>
            <w:r>
              <w:rPr>
                <w:color w:val="auto"/>
                <w:sz w:val="21"/>
                <w:szCs w:val="21"/>
              </w:rPr>
              <w:t>3060801</w:t>
            </w:r>
          </w:p>
        </w:tc>
        <w:tc>
          <w:tcPr>
            <w:tcW w:w="1190" w:type="dxa"/>
            <w:tcBorders>
              <w:top w:val="single" w:color="auto" w:sz="4" w:space="0"/>
              <w:left w:val="single" w:color="auto" w:sz="4" w:space="0"/>
              <w:bottom w:val="single" w:color="auto" w:sz="4" w:space="0"/>
              <w:right w:val="single" w:color="auto" w:sz="4" w:space="0"/>
            </w:tcBorders>
            <w:vAlign w:val="center"/>
          </w:tcPr>
          <w:p w14:paraId="1688F1A8">
            <w:pPr>
              <w:spacing w:line="300" w:lineRule="atLeast"/>
              <w:ind w:firstLine="0" w:firstLineChars="0"/>
              <w:jc w:val="center"/>
              <w:rPr>
                <w:color w:val="auto"/>
                <w:sz w:val="21"/>
                <w:szCs w:val="21"/>
              </w:rPr>
            </w:pPr>
            <w:r>
              <w:rPr>
                <w:color w:val="auto"/>
                <w:sz w:val="21"/>
                <w:szCs w:val="21"/>
              </w:rPr>
              <w:t>39449661</w:t>
            </w:r>
          </w:p>
        </w:tc>
        <w:tc>
          <w:tcPr>
            <w:tcW w:w="809" w:type="dxa"/>
            <w:tcBorders>
              <w:top w:val="single" w:color="auto" w:sz="4" w:space="0"/>
              <w:left w:val="single" w:color="auto" w:sz="4" w:space="0"/>
              <w:bottom w:val="single" w:color="auto" w:sz="4" w:space="0"/>
              <w:right w:val="single" w:color="auto" w:sz="4" w:space="0"/>
            </w:tcBorders>
            <w:vAlign w:val="center"/>
          </w:tcPr>
          <w:p w14:paraId="78136406">
            <w:pPr>
              <w:spacing w:line="300" w:lineRule="atLeast"/>
              <w:ind w:firstLine="0" w:firstLineChars="0"/>
              <w:jc w:val="center"/>
              <w:rPr>
                <w:color w:val="auto"/>
                <w:sz w:val="21"/>
                <w:szCs w:val="21"/>
              </w:rPr>
            </w:pPr>
            <w:r>
              <w:rPr>
                <w:color w:val="auto"/>
                <w:sz w:val="21"/>
                <w:szCs w:val="21"/>
              </w:rPr>
              <w:t>368</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615C44F2">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3EACF2F7">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0EC9A384">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779A5FD4">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371AB5B9">
            <w:pPr>
              <w:spacing w:line="300" w:lineRule="atLeast"/>
              <w:ind w:firstLine="0" w:firstLineChars="0"/>
              <w:jc w:val="center"/>
              <w:rPr>
                <w:color w:val="auto"/>
                <w:sz w:val="21"/>
                <w:szCs w:val="21"/>
              </w:rPr>
            </w:pPr>
            <w:r>
              <w:rPr>
                <w:color w:val="auto"/>
                <w:sz w:val="21"/>
                <w:szCs w:val="21"/>
              </w:rPr>
              <w:t>民采坑道</w:t>
            </w:r>
          </w:p>
        </w:tc>
      </w:tr>
      <w:tr w14:paraId="24F7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A1921C7">
            <w:pPr>
              <w:spacing w:line="300" w:lineRule="atLeast"/>
              <w:ind w:firstLine="0" w:firstLineChars="0"/>
              <w:jc w:val="center"/>
              <w:rPr>
                <w:color w:val="auto"/>
                <w:sz w:val="21"/>
                <w:szCs w:val="21"/>
              </w:rPr>
            </w:pPr>
            <w:r>
              <w:rPr>
                <w:color w:val="auto"/>
                <w:sz w:val="21"/>
                <w:szCs w:val="21"/>
              </w:rPr>
              <w:t>PD-14</w:t>
            </w:r>
          </w:p>
        </w:tc>
        <w:tc>
          <w:tcPr>
            <w:tcW w:w="1124" w:type="dxa"/>
            <w:tcBorders>
              <w:top w:val="single" w:color="auto" w:sz="4" w:space="0"/>
              <w:left w:val="single" w:color="auto" w:sz="4" w:space="0"/>
              <w:bottom w:val="single" w:color="auto" w:sz="4" w:space="0"/>
              <w:right w:val="single" w:color="auto" w:sz="4" w:space="0"/>
            </w:tcBorders>
            <w:vAlign w:val="center"/>
          </w:tcPr>
          <w:p w14:paraId="424D9FF5">
            <w:pPr>
              <w:spacing w:line="300" w:lineRule="atLeast"/>
              <w:ind w:firstLine="0" w:firstLineChars="0"/>
              <w:jc w:val="center"/>
              <w:rPr>
                <w:color w:val="auto"/>
                <w:sz w:val="21"/>
                <w:szCs w:val="21"/>
              </w:rPr>
            </w:pPr>
            <w:r>
              <w:rPr>
                <w:color w:val="auto"/>
                <w:sz w:val="21"/>
                <w:szCs w:val="21"/>
              </w:rPr>
              <w:t>3060759</w:t>
            </w:r>
          </w:p>
        </w:tc>
        <w:tc>
          <w:tcPr>
            <w:tcW w:w="1190" w:type="dxa"/>
            <w:tcBorders>
              <w:top w:val="single" w:color="auto" w:sz="4" w:space="0"/>
              <w:left w:val="single" w:color="auto" w:sz="4" w:space="0"/>
              <w:bottom w:val="single" w:color="auto" w:sz="4" w:space="0"/>
              <w:right w:val="single" w:color="auto" w:sz="4" w:space="0"/>
            </w:tcBorders>
            <w:vAlign w:val="center"/>
          </w:tcPr>
          <w:p w14:paraId="0CE94302">
            <w:pPr>
              <w:spacing w:line="300" w:lineRule="atLeast"/>
              <w:ind w:firstLine="0" w:firstLineChars="0"/>
              <w:jc w:val="center"/>
              <w:rPr>
                <w:color w:val="auto"/>
                <w:sz w:val="21"/>
                <w:szCs w:val="21"/>
              </w:rPr>
            </w:pPr>
            <w:r>
              <w:rPr>
                <w:color w:val="auto"/>
                <w:sz w:val="21"/>
                <w:szCs w:val="21"/>
              </w:rPr>
              <w:t>39449724</w:t>
            </w:r>
          </w:p>
        </w:tc>
        <w:tc>
          <w:tcPr>
            <w:tcW w:w="809" w:type="dxa"/>
            <w:tcBorders>
              <w:top w:val="single" w:color="auto" w:sz="4" w:space="0"/>
              <w:left w:val="single" w:color="auto" w:sz="4" w:space="0"/>
              <w:bottom w:val="single" w:color="auto" w:sz="4" w:space="0"/>
              <w:right w:val="single" w:color="auto" w:sz="4" w:space="0"/>
            </w:tcBorders>
            <w:vAlign w:val="center"/>
          </w:tcPr>
          <w:p w14:paraId="69EFB14E">
            <w:pPr>
              <w:spacing w:line="300" w:lineRule="atLeast"/>
              <w:ind w:firstLine="0" w:firstLineChars="0"/>
              <w:jc w:val="center"/>
              <w:rPr>
                <w:color w:val="auto"/>
                <w:sz w:val="21"/>
                <w:szCs w:val="21"/>
              </w:rPr>
            </w:pPr>
            <w:r>
              <w:rPr>
                <w:color w:val="auto"/>
                <w:sz w:val="21"/>
                <w:szCs w:val="21"/>
              </w:rPr>
              <w:t>398</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076FF634">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76A01A50">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2A1B9A93">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4A9A8EC8">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5517C3AE">
            <w:pPr>
              <w:spacing w:line="300" w:lineRule="atLeast"/>
              <w:ind w:firstLine="0" w:firstLineChars="0"/>
              <w:jc w:val="center"/>
              <w:rPr>
                <w:color w:val="auto"/>
                <w:sz w:val="21"/>
                <w:szCs w:val="21"/>
              </w:rPr>
            </w:pPr>
            <w:r>
              <w:rPr>
                <w:color w:val="auto"/>
                <w:sz w:val="21"/>
                <w:szCs w:val="21"/>
              </w:rPr>
              <w:t>民采坑道</w:t>
            </w:r>
          </w:p>
        </w:tc>
      </w:tr>
      <w:tr w14:paraId="6DCE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EB4A884">
            <w:pPr>
              <w:spacing w:line="300" w:lineRule="atLeast"/>
              <w:ind w:firstLine="0" w:firstLineChars="0"/>
              <w:jc w:val="center"/>
              <w:rPr>
                <w:color w:val="auto"/>
                <w:sz w:val="21"/>
                <w:szCs w:val="21"/>
              </w:rPr>
            </w:pPr>
            <w:r>
              <w:rPr>
                <w:color w:val="auto"/>
                <w:sz w:val="21"/>
                <w:szCs w:val="21"/>
              </w:rPr>
              <w:t>PD-15</w:t>
            </w:r>
          </w:p>
        </w:tc>
        <w:tc>
          <w:tcPr>
            <w:tcW w:w="1124" w:type="dxa"/>
            <w:tcBorders>
              <w:top w:val="single" w:color="auto" w:sz="4" w:space="0"/>
              <w:left w:val="single" w:color="auto" w:sz="4" w:space="0"/>
              <w:bottom w:val="single" w:color="auto" w:sz="4" w:space="0"/>
              <w:right w:val="single" w:color="auto" w:sz="4" w:space="0"/>
            </w:tcBorders>
            <w:vAlign w:val="center"/>
          </w:tcPr>
          <w:p w14:paraId="74C16B8D">
            <w:pPr>
              <w:spacing w:line="300" w:lineRule="atLeast"/>
              <w:ind w:firstLine="0" w:firstLineChars="0"/>
              <w:jc w:val="center"/>
              <w:rPr>
                <w:color w:val="auto"/>
                <w:sz w:val="21"/>
                <w:szCs w:val="21"/>
              </w:rPr>
            </w:pPr>
            <w:r>
              <w:rPr>
                <w:color w:val="auto"/>
                <w:sz w:val="21"/>
                <w:szCs w:val="21"/>
              </w:rPr>
              <w:t>3060759</w:t>
            </w:r>
          </w:p>
        </w:tc>
        <w:tc>
          <w:tcPr>
            <w:tcW w:w="1190" w:type="dxa"/>
            <w:tcBorders>
              <w:top w:val="single" w:color="auto" w:sz="4" w:space="0"/>
              <w:left w:val="single" w:color="auto" w:sz="4" w:space="0"/>
              <w:bottom w:val="single" w:color="auto" w:sz="4" w:space="0"/>
              <w:right w:val="single" w:color="auto" w:sz="4" w:space="0"/>
            </w:tcBorders>
            <w:vAlign w:val="center"/>
          </w:tcPr>
          <w:p w14:paraId="759284C9">
            <w:pPr>
              <w:spacing w:line="300" w:lineRule="atLeast"/>
              <w:ind w:firstLine="0" w:firstLineChars="0"/>
              <w:jc w:val="center"/>
              <w:rPr>
                <w:color w:val="auto"/>
                <w:sz w:val="21"/>
                <w:szCs w:val="21"/>
              </w:rPr>
            </w:pPr>
            <w:r>
              <w:rPr>
                <w:color w:val="auto"/>
                <w:sz w:val="21"/>
                <w:szCs w:val="21"/>
              </w:rPr>
              <w:t>39449594</w:t>
            </w:r>
          </w:p>
        </w:tc>
        <w:tc>
          <w:tcPr>
            <w:tcW w:w="809" w:type="dxa"/>
            <w:tcBorders>
              <w:top w:val="single" w:color="auto" w:sz="4" w:space="0"/>
              <w:left w:val="single" w:color="auto" w:sz="4" w:space="0"/>
              <w:bottom w:val="single" w:color="auto" w:sz="4" w:space="0"/>
              <w:right w:val="single" w:color="auto" w:sz="4" w:space="0"/>
            </w:tcBorders>
            <w:vAlign w:val="center"/>
          </w:tcPr>
          <w:p w14:paraId="6C9F3ADF">
            <w:pPr>
              <w:spacing w:line="300" w:lineRule="atLeast"/>
              <w:ind w:firstLine="0" w:firstLineChars="0"/>
              <w:jc w:val="center"/>
              <w:rPr>
                <w:color w:val="auto"/>
                <w:sz w:val="21"/>
                <w:szCs w:val="21"/>
              </w:rPr>
            </w:pPr>
            <w:r>
              <w:rPr>
                <w:color w:val="auto"/>
                <w:sz w:val="21"/>
                <w:szCs w:val="21"/>
              </w:rPr>
              <w:t>387</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3A430C3A">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B14223C">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051D9447">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30367580">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6FFD8054">
            <w:pPr>
              <w:spacing w:line="300" w:lineRule="atLeast"/>
              <w:ind w:firstLine="0" w:firstLineChars="0"/>
              <w:jc w:val="center"/>
              <w:rPr>
                <w:color w:val="auto"/>
                <w:sz w:val="21"/>
                <w:szCs w:val="21"/>
              </w:rPr>
            </w:pPr>
            <w:r>
              <w:rPr>
                <w:color w:val="auto"/>
                <w:sz w:val="21"/>
                <w:szCs w:val="21"/>
              </w:rPr>
              <w:t>民采坑道</w:t>
            </w:r>
          </w:p>
        </w:tc>
      </w:tr>
      <w:tr w14:paraId="2512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1645F321">
            <w:pPr>
              <w:spacing w:line="300" w:lineRule="atLeast"/>
              <w:ind w:firstLine="0" w:firstLineChars="0"/>
              <w:jc w:val="center"/>
              <w:rPr>
                <w:color w:val="auto"/>
                <w:sz w:val="21"/>
                <w:szCs w:val="21"/>
              </w:rPr>
            </w:pPr>
            <w:r>
              <w:rPr>
                <w:color w:val="auto"/>
                <w:sz w:val="21"/>
                <w:szCs w:val="21"/>
              </w:rPr>
              <w:t>PD-16</w:t>
            </w:r>
          </w:p>
        </w:tc>
        <w:tc>
          <w:tcPr>
            <w:tcW w:w="1124" w:type="dxa"/>
            <w:tcBorders>
              <w:top w:val="single" w:color="auto" w:sz="4" w:space="0"/>
              <w:left w:val="single" w:color="auto" w:sz="4" w:space="0"/>
              <w:bottom w:val="single" w:color="auto" w:sz="4" w:space="0"/>
              <w:right w:val="single" w:color="auto" w:sz="4" w:space="0"/>
            </w:tcBorders>
            <w:vAlign w:val="center"/>
          </w:tcPr>
          <w:p w14:paraId="6F2EE2F9">
            <w:pPr>
              <w:spacing w:line="300" w:lineRule="atLeast"/>
              <w:ind w:firstLine="0" w:firstLineChars="0"/>
              <w:jc w:val="center"/>
              <w:rPr>
                <w:color w:val="auto"/>
                <w:sz w:val="21"/>
                <w:szCs w:val="21"/>
              </w:rPr>
            </w:pPr>
            <w:r>
              <w:rPr>
                <w:color w:val="auto"/>
                <w:sz w:val="21"/>
                <w:szCs w:val="21"/>
              </w:rPr>
              <w:t>3060898</w:t>
            </w:r>
          </w:p>
        </w:tc>
        <w:tc>
          <w:tcPr>
            <w:tcW w:w="1190" w:type="dxa"/>
            <w:tcBorders>
              <w:top w:val="single" w:color="auto" w:sz="4" w:space="0"/>
              <w:left w:val="single" w:color="auto" w:sz="4" w:space="0"/>
              <w:bottom w:val="single" w:color="auto" w:sz="4" w:space="0"/>
              <w:right w:val="single" w:color="auto" w:sz="4" w:space="0"/>
            </w:tcBorders>
            <w:vAlign w:val="center"/>
          </w:tcPr>
          <w:p w14:paraId="48413DAB">
            <w:pPr>
              <w:spacing w:line="300" w:lineRule="atLeast"/>
              <w:ind w:firstLine="0" w:firstLineChars="0"/>
              <w:jc w:val="center"/>
              <w:rPr>
                <w:color w:val="auto"/>
                <w:sz w:val="21"/>
                <w:szCs w:val="21"/>
              </w:rPr>
            </w:pPr>
            <w:r>
              <w:rPr>
                <w:color w:val="auto"/>
                <w:sz w:val="21"/>
                <w:szCs w:val="21"/>
              </w:rPr>
              <w:t>39449589</w:t>
            </w:r>
          </w:p>
        </w:tc>
        <w:tc>
          <w:tcPr>
            <w:tcW w:w="809" w:type="dxa"/>
            <w:tcBorders>
              <w:top w:val="single" w:color="auto" w:sz="4" w:space="0"/>
              <w:left w:val="single" w:color="auto" w:sz="4" w:space="0"/>
              <w:bottom w:val="single" w:color="auto" w:sz="4" w:space="0"/>
              <w:right w:val="single" w:color="auto" w:sz="4" w:space="0"/>
            </w:tcBorders>
            <w:vAlign w:val="center"/>
          </w:tcPr>
          <w:p w14:paraId="1CFA167F">
            <w:pPr>
              <w:spacing w:line="300" w:lineRule="atLeast"/>
              <w:ind w:firstLine="0" w:firstLineChars="0"/>
              <w:jc w:val="center"/>
              <w:rPr>
                <w:color w:val="auto"/>
                <w:sz w:val="21"/>
                <w:szCs w:val="21"/>
              </w:rPr>
            </w:pPr>
            <w:r>
              <w:rPr>
                <w:color w:val="auto"/>
                <w:sz w:val="21"/>
                <w:szCs w:val="21"/>
              </w:rPr>
              <w:t>422</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0C16C553">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6CE1296">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5674337">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1451C307">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36F0B5B6">
            <w:pPr>
              <w:spacing w:line="300" w:lineRule="atLeast"/>
              <w:ind w:firstLine="0" w:firstLineChars="0"/>
              <w:jc w:val="center"/>
              <w:rPr>
                <w:color w:val="auto"/>
                <w:sz w:val="21"/>
                <w:szCs w:val="21"/>
              </w:rPr>
            </w:pPr>
            <w:r>
              <w:rPr>
                <w:color w:val="auto"/>
                <w:sz w:val="21"/>
                <w:szCs w:val="21"/>
              </w:rPr>
              <w:t>民采坑道</w:t>
            </w:r>
          </w:p>
        </w:tc>
      </w:tr>
      <w:tr w14:paraId="40CF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2B998A85">
            <w:pPr>
              <w:spacing w:line="300" w:lineRule="atLeast"/>
              <w:ind w:firstLine="0" w:firstLineChars="0"/>
              <w:jc w:val="center"/>
              <w:rPr>
                <w:color w:val="auto"/>
                <w:sz w:val="21"/>
                <w:szCs w:val="21"/>
              </w:rPr>
            </w:pPr>
            <w:r>
              <w:rPr>
                <w:color w:val="auto"/>
                <w:sz w:val="21"/>
                <w:szCs w:val="21"/>
              </w:rPr>
              <w:t>PD-17</w:t>
            </w:r>
          </w:p>
        </w:tc>
        <w:tc>
          <w:tcPr>
            <w:tcW w:w="1124" w:type="dxa"/>
            <w:tcBorders>
              <w:top w:val="single" w:color="auto" w:sz="4" w:space="0"/>
              <w:left w:val="single" w:color="auto" w:sz="4" w:space="0"/>
              <w:bottom w:val="single" w:color="auto" w:sz="4" w:space="0"/>
              <w:right w:val="single" w:color="auto" w:sz="4" w:space="0"/>
            </w:tcBorders>
            <w:vAlign w:val="center"/>
          </w:tcPr>
          <w:p w14:paraId="1E2C27F6">
            <w:pPr>
              <w:spacing w:line="300" w:lineRule="atLeast"/>
              <w:ind w:firstLine="0" w:firstLineChars="0"/>
              <w:jc w:val="center"/>
              <w:rPr>
                <w:color w:val="auto"/>
                <w:sz w:val="21"/>
                <w:szCs w:val="21"/>
              </w:rPr>
            </w:pPr>
            <w:r>
              <w:rPr>
                <w:color w:val="auto"/>
                <w:sz w:val="21"/>
                <w:szCs w:val="21"/>
              </w:rPr>
              <w:t>3060936</w:t>
            </w:r>
          </w:p>
        </w:tc>
        <w:tc>
          <w:tcPr>
            <w:tcW w:w="1190" w:type="dxa"/>
            <w:tcBorders>
              <w:top w:val="single" w:color="auto" w:sz="4" w:space="0"/>
              <w:left w:val="single" w:color="auto" w:sz="4" w:space="0"/>
              <w:bottom w:val="single" w:color="auto" w:sz="4" w:space="0"/>
              <w:right w:val="single" w:color="auto" w:sz="4" w:space="0"/>
            </w:tcBorders>
            <w:vAlign w:val="center"/>
          </w:tcPr>
          <w:p w14:paraId="551D1E25">
            <w:pPr>
              <w:spacing w:line="300" w:lineRule="atLeast"/>
              <w:ind w:firstLine="0" w:firstLineChars="0"/>
              <w:jc w:val="center"/>
              <w:rPr>
                <w:color w:val="auto"/>
                <w:sz w:val="21"/>
                <w:szCs w:val="21"/>
              </w:rPr>
            </w:pPr>
            <w:r>
              <w:rPr>
                <w:color w:val="auto"/>
                <w:sz w:val="21"/>
                <w:szCs w:val="21"/>
              </w:rPr>
              <w:t>39449623</w:t>
            </w:r>
          </w:p>
        </w:tc>
        <w:tc>
          <w:tcPr>
            <w:tcW w:w="809" w:type="dxa"/>
            <w:tcBorders>
              <w:top w:val="single" w:color="auto" w:sz="4" w:space="0"/>
              <w:left w:val="single" w:color="auto" w:sz="4" w:space="0"/>
              <w:bottom w:val="single" w:color="auto" w:sz="4" w:space="0"/>
              <w:right w:val="single" w:color="auto" w:sz="4" w:space="0"/>
            </w:tcBorders>
            <w:vAlign w:val="center"/>
          </w:tcPr>
          <w:p w14:paraId="2EF94FB8">
            <w:pPr>
              <w:spacing w:line="300" w:lineRule="atLeast"/>
              <w:ind w:firstLine="0" w:firstLineChars="0"/>
              <w:jc w:val="center"/>
              <w:rPr>
                <w:color w:val="auto"/>
                <w:sz w:val="21"/>
                <w:szCs w:val="21"/>
              </w:rPr>
            </w:pPr>
            <w:r>
              <w:rPr>
                <w:color w:val="auto"/>
                <w:sz w:val="21"/>
                <w:szCs w:val="21"/>
              </w:rPr>
              <w:t>442</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6DD00075">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CA43272">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1BEC2BE0">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4EC9CEFC">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763C79F1">
            <w:pPr>
              <w:spacing w:line="300" w:lineRule="atLeast"/>
              <w:ind w:firstLine="0" w:firstLineChars="0"/>
              <w:jc w:val="center"/>
              <w:rPr>
                <w:color w:val="auto"/>
                <w:sz w:val="21"/>
                <w:szCs w:val="21"/>
              </w:rPr>
            </w:pPr>
            <w:r>
              <w:rPr>
                <w:color w:val="auto"/>
                <w:sz w:val="21"/>
                <w:szCs w:val="21"/>
              </w:rPr>
              <w:t>民采坑道</w:t>
            </w:r>
          </w:p>
        </w:tc>
      </w:tr>
      <w:tr w14:paraId="341C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1F315633">
            <w:pPr>
              <w:spacing w:line="300" w:lineRule="atLeast"/>
              <w:ind w:firstLine="0" w:firstLineChars="0"/>
              <w:jc w:val="center"/>
              <w:rPr>
                <w:color w:val="auto"/>
                <w:sz w:val="21"/>
                <w:szCs w:val="21"/>
              </w:rPr>
            </w:pPr>
            <w:r>
              <w:rPr>
                <w:color w:val="auto"/>
                <w:sz w:val="21"/>
                <w:szCs w:val="21"/>
              </w:rPr>
              <w:t>PD-18</w:t>
            </w:r>
          </w:p>
        </w:tc>
        <w:tc>
          <w:tcPr>
            <w:tcW w:w="1124" w:type="dxa"/>
            <w:tcBorders>
              <w:top w:val="single" w:color="auto" w:sz="4" w:space="0"/>
              <w:left w:val="single" w:color="auto" w:sz="4" w:space="0"/>
              <w:bottom w:val="single" w:color="auto" w:sz="4" w:space="0"/>
              <w:right w:val="single" w:color="auto" w:sz="4" w:space="0"/>
            </w:tcBorders>
            <w:vAlign w:val="center"/>
          </w:tcPr>
          <w:p w14:paraId="46C1A94F">
            <w:pPr>
              <w:spacing w:line="300" w:lineRule="atLeast"/>
              <w:ind w:firstLine="0" w:firstLineChars="0"/>
              <w:jc w:val="center"/>
              <w:rPr>
                <w:color w:val="auto"/>
                <w:sz w:val="21"/>
                <w:szCs w:val="21"/>
              </w:rPr>
            </w:pPr>
            <w:r>
              <w:rPr>
                <w:color w:val="auto"/>
                <w:sz w:val="21"/>
                <w:szCs w:val="21"/>
              </w:rPr>
              <w:t>3061358</w:t>
            </w:r>
          </w:p>
        </w:tc>
        <w:tc>
          <w:tcPr>
            <w:tcW w:w="1190" w:type="dxa"/>
            <w:tcBorders>
              <w:top w:val="single" w:color="auto" w:sz="4" w:space="0"/>
              <w:left w:val="single" w:color="auto" w:sz="4" w:space="0"/>
              <w:bottom w:val="single" w:color="auto" w:sz="4" w:space="0"/>
              <w:right w:val="single" w:color="auto" w:sz="4" w:space="0"/>
            </w:tcBorders>
            <w:vAlign w:val="center"/>
          </w:tcPr>
          <w:p w14:paraId="10F57ED1">
            <w:pPr>
              <w:spacing w:line="300" w:lineRule="atLeast"/>
              <w:ind w:firstLine="0" w:firstLineChars="0"/>
              <w:jc w:val="center"/>
              <w:rPr>
                <w:color w:val="auto"/>
                <w:sz w:val="21"/>
                <w:szCs w:val="21"/>
              </w:rPr>
            </w:pPr>
            <w:r>
              <w:rPr>
                <w:color w:val="auto"/>
                <w:sz w:val="21"/>
                <w:szCs w:val="21"/>
              </w:rPr>
              <w:t>39449856</w:t>
            </w:r>
          </w:p>
        </w:tc>
        <w:tc>
          <w:tcPr>
            <w:tcW w:w="809" w:type="dxa"/>
            <w:tcBorders>
              <w:top w:val="single" w:color="auto" w:sz="4" w:space="0"/>
              <w:left w:val="single" w:color="auto" w:sz="4" w:space="0"/>
              <w:bottom w:val="single" w:color="auto" w:sz="4" w:space="0"/>
              <w:right w:val="single" w:color="auto" w:sz="4" w:space="0"/>
            </w:tcBorders>
            <w:vAlign w:val="center"/>
          </w:tcPr>
          <w:p w14:paraId="16E8691C">
            <w:pPr>
              <w:spacing w:line="300" w:lineRule="atLeast"/>
              <w:ind w:firstLine="0" w:firstLineChars="0"/>
              <w:jc w:val="center"/>
              <w:rPr>
                <w:color w:val="auto"/>
                <w:sz w:val="21"/>
                <w:szCs w:val="21"/>
              </w:rPr>
            </w:pPr>
            <w:r>
              <w:rPr>
                <w:color w:val="auto"/>
                <w:sz w:val="21"/>
                <w:szCs w:val="21"/>
              </w:rPr>
              <w:t>396</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758E000A">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AC2DE6A">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79B01464">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751F8836">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30B1C4C1">
            <w:pPr>
              <w:spacing w:line="300" w:lineRule="atLeast"/>
              <w:ind w:firstLine="0" w:firstLineChars="0"/>
              <w:jc w:val="center"/>
              <w:rPr>
                <w:color w:val="auto"/>
                <w:sz w:val="21"/>
                <w:szCs w:val="21"/>
              </w:rPr>
            </w:pPr>
            <w:r>
              <w:rPr>
                <w:color w:val="auto"/>
                <w:sz w:val="21"/>
                <w:szCs w:val="21"/>
              </w:rPr>
              <w:t>民采坑道</w:t>
            </w:r>
          </w:p>
        </w:tc>
      </w:tr>
      <w:tr w14:paraId="7E37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06F7ED14">
            <w:pPr>
              <w:spacing w:line="300" w:lineRule="atLeast"/>
              <w:ind w:firstLine="0" w:firstLineChars="0"/>
              <w:jc w:val="center"/>
              <w:rPr>
                <w:color w:val="auto"/>
                <w:sz w:val="21"/>
                <w:szCs w:val="21"/>
              </w:rPr>
            </w:pPr>
            <w:r>
              <w:rPr>
                <w:color w:val="auto"/>
                <w:sz w:val="21"/>
                <w:szCs w:val="21"/>
              </w:rPr>
              <w:t>PD-19</w:t>
            </w:r>
          </w:p>
        </w:tc>
        <w:tc>
          <w:tcPr>
            <w:tcW w:w="1124" w:type="dxa"/>
            <w:tcBorders>
              <w:top w:val="single" w:color="auto" w:sz="4" w:space="0"/>
              <w:left w:val="single" w:color="auto" w:sz="4" w:space="0"/>
              <w:bottom w:val="single" w:color="auto" w:sz="4" w:space="0"/>
              <w:right w:val="single" w:color="auto" w:sz="4" w:space="0"/>
            </w:tcBorders>
            <w:vAlign w:val="center"/>
          </w:tcPr>
          <w:p w14:paraId="1E95DFBB">
            <w:pPr>
              <w:spacing w:line="300" w:lineRule="atLeast"/>
              <w:ind w:firstLine="0" w:firstLineChars="0"/>
              <w:jc w:val="center"/>
              <w:rPr>
                <w:color w:val="auto"/>
                <w:sz w:val="21"/>
                <w:szCs w:val="21"/>
              </w:rPr>
            </w:pPr>
            <w:r>
              <w:rPr>
                <w:color w:val="auto"/>
                <w:sz w:val="21"/>
                <w:szCs w:val="21"/>
              </w:rPr>
              <w:t>3061318</w:t>
            </w:r>
          </w:p>
        </w:tc>
        <w:tc>
          <w:tcPr>
            <w:tcW w:w="1190" w:type="dxa"/>
            <w:tcBorders>
              <w:top w:val="single" w:color="auto" w:sz="4" w:space="0"/>
              <w:left w:val="single" w:color="auto" w:sz="4" w:space="0"/>
              <w:bottom w:val="single" w:color="auto" w:sz="4" w:space="0"/>
              <w:right w:val="single" w:color="auto" w:sz="4" w:space="0"/>
            </w:tcBorders>
            <w:vAlign w:val="center"/>
          </w:tcPr>
          <w:p w14:paraId="2E8C0FA9">
            <w:pPr>
              <w:spacing w:line="300" w:lineRule="atLeast"/>
              <w:ind w:firstLine="0" w:firstLineChars="0"/>
              <w:jc w:val="center"/>
              <w:rPr>
                <w:color w:val="auto"/>
                <w:sz w:val="21"/>
                <w:szCs w:val="21"/>
              </w:rPr>
            </w:pPr>
            <w:r>
              <w:rPr>
                <w:color w:val="auto"/>
                <w:sz w:val="21"/>
                <w:szCs w:val="21"/>
              </w:rPr>
              <w:t>39449840</w:t>
            </w:r>
          </w:p>
        </w:tc>
        <w:tc>
          <w:tcPr>
            <w:tcW w:w="809" w:type="dxa"/>
            <w:tcBorders>
              <w:top w:val="single" w:color="auto" w:sz="4" w:space="0"/>
              <w:left w:val="single" w:color="auto" w:sz="4" w:space="0"/>
              <w:bottom w:val="single" w:color="auto" w:sz="4" w:space="0"/>
              <w:right w:val="single" w:color="auto" w:sz="4" w:space="0"/>
            </w:tcBorders>
            <w:vAlign w:val="center"/>
          </w:tcPr>
          <w:p w14:paraId="10F67C3F">
            <w:pPr>
              <w:spacing w:line="300" w:lineRule="atLeast"/>
              <w:ind w:firstLine="0" w:firstLineChars="0"/>
              <w:jc w:val="center"/>
              <w:rPr>
                <w:color w:val="auto"/>
                <w:sz w:val="21"/>
                <w:szCs w:val="21"/>
              </w:rPr>
            </w:pPr>
            <w:r>
              <w:rPr>
                <w:color w:val="auto"/>
                <w:sz w:val="21"/>
                <w:szCs w:val="21"/>
              </w:rPr>
              <w:t>393</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11185055">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1EEEC813">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288CC981">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6CA783FA">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4B669924">
            <w:pPr>
              <w:spacing w:line="300" w:lineRule="atLeast"/>
              <w:ind w:firstLine="0" w:firstLineChars="0"/>
              <w:jc w:val="center"/>
              <w:rPr>
                <w:color w:val="auto"/>
                <w:sz w:val="21"/>
                <w:szCs w:val="21"/>
              </w:rPr>
            </w:pPr>
            <w:r>
              <w:rPr>
                <w:color w:val="auto"/>
                <w:sz w:val="21"/>
                <w:szCs w:val="21"/>
              </w:rPr>
              <w:t>民采坑道</w:t>
            </w:r>
          </w:p>
        </w:tc>
      </w:tr>
      <w:tr w14:paraId="2167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D0B8093">
            <w:pPr>
              <w:spacing w:line="300" w:lineRule="atLeast"/>
              <w:ind w:firstLine="0" w:firstLineChars="0"/>
              <w:jc w:val="center"/>
              <w:rPr>
                <w:color w:val="auto"/>
                <w:sz w:val="21"/>
                <w:szCs w:val="21"/>
              </w:rPr>
            </w:pPr>
            <w:r>
              <w:rPr>
                <w:color w:val="auto"/>
                <w:sz w:val="21"/>
                <w:szCs w:val="21"/>
              </w:rPr>
              <w:t>PD-20</w:t>
            </w:r>
          </w:p>
        </w:tc>
        <w:tc>
          <w:tcPr>
            <w:tcW w:w="1124" w:type="dxa"/>
            <w:tcBorders>
              <w:top w:val="single" w:color="auto" w:sz="4" w:space="0"/>
              <w:left w:val="single" w:color="auto" w:sz="4" w:space="0"/>
              <w:bottom w:val="single" w:color="auto" w:sz="4" w:space="0"/>
              <w:right w:val="single" w:color="auto" w:sz="4" w:space="0"/>
            </w:tcBorders>
            <w:vAlign w:val="center"/>
          </w:tcPr>
          <w:p w14:paraId="3EF9A189">
            <w:pPr>
              <w:spacing w:line="300" w:lineRule="atLeast"/>
              <w:ind w:firstLine="0" w:firstLineChars="0"/>
              <w:jc w:val="center"/>
              <w:rPr>
                <w:color w:val="auto"/>
                <w:sz w:val="21"/>
                <w:szCs w:val="21"/>
              </w:rPr>
            </w:pPr>
            <w:r>
              <w:rPr>
                <w:color w:val="auto"/>
                <w:sz w:val="21"/>
                <w:szCs w:val="21"/>
              </w:rPr>
              <w:t>3061383</w:t>
            </w:r>
          </w:p>
        </w:tc>
        <w:tc>
          <w:tcPr>
            <w:tcW w:w="1190" w:type="dxa"/>
            <w:tcBorders>
              <w:top w:val="single" w:color="auto" w:sz="4" w:space="0"/>
              <w:left w:val="single" w:color="auto" w:sz="4" w:space="0"/>
              <w:bottom w:val="single" w:color="auto" w:sz="4" w:space="0"/>
              <w:right w:val="single" w:color="auto" w:sz="4" w:space="0"/>
            </w:tcBorders>
            <w:vAlign w:val="center"/>
          </w:tcPr>
          <w:p w14:paraId="6AEEAD43">
            <w:pPr>
              <w:spacing w:line="300" w:lineRule="atLeast"/>
              <w:ind w:firstLine="0" w:firstLineChars="0"/>
              <w:jc w:val="center"/>
              <w:rPr>
                <w:color w:val="auto"/>
                <w:sz w:val="21"/>
                <w:szCs w:val="21"/>
              </w:rPr>
            </w:pPr>
            <w:r>
              <w:rPr>
                <w:color w:val="auto"/>
                <w:sz w:val="21"/>
                <w:szCs w:val="21"/>
              </w:rPr>
              <w:t>39449887</w:t>
            </w:r>
          </w:p>
        </w:tc>
        <w:tc>
          <w:tcPr>
            <w:tcW w:w="809" w:type="dxa"/>
            <w:tcBorders>
              <w:top w:val="single" w:color="auto" w:sz="4" w:space="0"/>
              <w:left w:val="single" w:color="auto" w:sz="4" w:space="0"/>
              <w:bottom w:val="single" w:color="auto" w:sz="4" w:space="0"/>
              <w:right w:val="single" w:color="auto" w:sz="4" w:space="0"/>
            </w:tcBorders>
            <w:vAlign w:val="center"/>
          </w:tcPr>
          <w:p w14:paraId="75D6B4B0">
            <w:pPr>
              <w:spacing w:line="300" w:lineRule="atLeast"/>
              <w:ind w:firstLine="0" w:firstLineChars="0"/>
              <w:jc w:val="center"/>
              <w:rPr>
                <w:color w:val="auto"/>
                <w:sz w:val="21"/>
                <w:szCs w:val="21"/>
              </w:rPr>
            </w:pPr>
            <w:r>
              <w:rPr>
                <w:color w:val="auto"/>
                <w:sz w:val="21"/>
                <w:szCs w:val="21"/>
              </w:rPr>
              <w:t>407</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3AB698D4">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3F2108CA">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166A207D">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799D1BEA">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52227A4D">
            <w:pPr>
              <w:spacing w:line="300" w:lineRule="atLeast"/>
              <w:ind w:firstLine="0" w:firstLineChars="0"/>
              <w:jc w:val="center"/>
              <w:rPr>
                <w:color w:val="auto"/>
                <w:sz w:val="21"/>
                <w:szCs w:val="21"/>
              </w:rPr>
            </w:pPr>
            <w:r>
              <w:rPr>
                <w:color w:val="auto"/>
                <w:sz w:val="21"/>
                <w:szCs w:val="21"/>
              </w:rPr>
              <w:t>民采坑道</w:t>
            </w:r>
          </w:p>
        </w:tc>
      </w:tr>
      <w:tr w14:paraId="79D3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0D79C1C">
            <w:pPr>
              <w:spacing w:line="300" w:lineRule="atLeast"/>
              <w:ind w:firstLine="0" w:firstLineChars="0"/>
              <w:jc w:val="center"/>
              <w:rPr>
                <w:color w:val="auto"/>
                <w:sz w:val="21"/>
                <w:szCs w:val="21"/>
              </w:rPr>
            </w:pPr>
            <w:r>
              <w:rPr>
                <w:color w:val="auto"/>
                <w:sz w:val="21"/>
                <w:szCs w:val="21"/>
              </w:rPr>
              <w:t>PD-21</w:t>
            </w:r>
          </w:p>
        </w:tc>
        <w:tc>
          <w:tcPr>
            <w:tcW w:w="1124" w:type="dxa"/>
            <w:tcBorders>
              <w:top w:val="single" w:color="auto" w:sz="4" w:space="0"/>
              <w:left w:val="single" w:color="auto" w:sz="4" w:space="0"/>
              <w:bottom w:val="single" w:color="auto" w:sz="4" w:space="0"/>
              <w:right w:val="single" w:color="auto" w:sz="4" w:space="0"/>
            </w:tcBorders>
            <w:vAlign w:val="center"/>
          </w:tcPr>
          <w:p w14:paraId="2940224E">
            <w:pPr>
              <w:spacing w:line="300" w:lineRule="atLeast"/>
              <w:ind w:firstLine="0" w:firstLineChars="0"/>
              <w:jc w:val="center"/>
              <w:rPr>
                <w:color w:val="auto"/>
                <w:sz w:val="21"/>
                <w:szCs w:val="21"/>
              </w:rPr>
            </w:pPr>
            <w:r>
              <w:rPr>
                <w:color w:val="auto"/>
                <w:sz w:val="21"/>
                <w:szCs w:val="21"/>
              </w:rPr>
              <w:t>3061472</w:t>
            </w:r>
          </w:p>
        </w:tc>
        <w:tc>
          <w:tcPr>
            <w:tcW w:w="1190" w:type="dxa"/>
            <w:tcBorders>
              <w:top w:val="single" w:color="auto" w:sz="4" w:space="0"/>
              <w:left w:val="single" w:color="auto" w:sz="4" w:space="0"/>
              <w:bottom w:val="single" w:color="auto" w:sz="4" w:space="0"/>
              <w:right w:val="single" w:color="auto" w:sz="4" w:space="0"/>
            </w:tcBorders>
            <w:vAlign w:val="center"/>
          </w:tcPr>
          <w:p w14:paraId="19B2F6EF">
            <w:pPr>
              <w:spacing w:line="300" w:lineRule="atLeast"/>
              <w:ind w:firstLine="0" w:firstLineChars="0"/>
              <w:jc w:val="center"/>
              <w:rPr>
                <w:color w:val="auto"/>
                <w:sz w:val="21"/>
                <w:szCs w:val="21"/>
              </w:rPr>
            </w:pPr>
            <w:r>
              <w:rPr>
                <w:color w:val="auto"/>
                <w:sz w:val="21"/>
                <w:szCs w:val="21"/>
              </w:rPr>
              <w:t>39450214</w:t>
            </w:r>
          </w:p>
        </w:tc>
        <w:tc>
          <w:tcPr>
            <w:tcW w:w="809" w:type="dxa"/>
            <w:tcBorders>
              <w:top w:val="single" w:color="auto" w:sz="4" w:space="0"/>
              <w:left w:val="single" w:color="auto" w:sz="4" w:space="0"/>
              <w:bottom w:val="single" w:color="auto" w:sz="4" w:space="0"/>
              <w:right w:val="single" w:color="auto" w:sz="4" w:space="0"/>
            </w:tcBorders>
            <w:vAlign w:val="center"/>
          </w:tcPr>
          <w:p w14:paraId="58480157">
            <w:pPr>
              <w:spacing w:line="300" w:lineRule="atLeast"/>
              <w:ind w:firstLine="0" w:firstLineChars="0"/>
              <w:jc w:val="center"/>
              <w:rPr>
                <w:color w:val="auto"/>
                <w:sz w:val="21"/>
                <w:szCs w:val="21"/>
              </w:rPr>
            </w:pPr>
            <w:r>
              <w:rPr>
                <w:color w:val="auto"/>
                <w:sz w:val="21"/>
                <w:szCs w:val="21"/>
              </w:rPr>
              <w:t>373</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6696E2BA">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9819339">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6F63A83">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6577854E">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29EC093B">
            <w:pPr>
              <w:spacing w:line="300" w:lineRule="atLeast"/>
              <w:ind w:firstLine="0" w:firstLineChars="0"/>
              <w:jc w:val="center"/>
              <w:rPr>
                <w:color w:val="auto"/>
                <w:sz w:val="21"/>
                <w:szCs w:val="21"/>
              </w:rPr>
            </w:pPr>
            <w:r>
              <w:rPr>
                <w:color w:val="auto"/>
                <w:sz w:val="21"/>
                <w:szCs w:val="21"/>
              </w:rPr>
              <w:t>民采坑道</w:t>
            </w:r>
          </w:p>
        </w:tc>
      </w:tr>
      <w:tr w14:paraId="4CB1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2BD22446">
            <w:pPr>
              <w:spacing w:line="300" w:lineRule="atLeast"/>
              <w:ind w:firstLine="0" w:firstLineChars="0"/>
              <w:jc w:val="center"/>
              <w:rPr>
                <w:color w:val="auto"/>
                <w:sz w:val="21"/>
                <w:szCs w:val="21"/>
              </w:rPr>
            </w:pPr>
            <w:r>
              <w:rPr>
                <w:color w:val="auto"/>
                <w:sz w:val="21"/>
                <w:szCs w:val="21"/>
              </w:rPr>
              <w:t>PD-22</w:t>
            </w:r>
          </w:p>
        </w:tc>
        <w:tc>
          <w:tcPr>
            <w:tcW w:w="1124" w:type="dxa"/>
            <w:tcBorders>
              <w:top w:val="single" w:color="auto" w:sz="4" w:space="0"/>
              <w:left w:val="single" w:color="auto" w:sz="4" w:space="0"/>
              <w:bottom w:val="single" w:color="auto" w:sz="4" w:space="0"/>
              <w:right w:val="single" w:color="auto" w:sz="4" w:space="0"/>
            </w:tcBorders>
            <w:vAlign w:val="center"/>
          </w:tcPr>
          <w:p w14:paraId="52CDB30F">
            <w:pPr>
              <w:spacing w:line="300" w:lineRule="atLeast"/>
              <w:ind w:firstLine="0" w:firstLineChars="0"/>
              <w:jc w:val="center"/>
              <w:rPr>
                <w:color w:val="auto"/>
                <w:sz w:val="21"/>
                <w:szCs w:val="21"/>
              </w:rPr>
            </w:pPr>
            <w:r>
              <w:rPr>
                <w:color w:val="auto"/>
                <w:sz w:val="21"/>
                <w:szCs w:val="21"/>
              </w:rPr>
              <w:t>3061452</w:t>
            </w:r>
          </w:p>
        </w:tc>
        <w:tc>
          <w:tcPr>
            <w:tcW w:w="1190" w:type="dxa"/>
            <w:tcBorders>
              <w:top w:val="single" w:color="auto" w:sz="4" w:space="0"/>
              <w:left w:val="single" w:color="auto" w:sz="4" w:space="0"/>
              <w:bottom w:val="single" w:color="auto" w:sz="4" w:space="0"/>
              <w:right w:val="single" w:color="auto" w:sz="4" w:space="0"/>
            </w:tcBorders>
            <w:vAlign w:val="center"/>
          </w:tcPr>
          <w:p w14:paraId="29A8C3C5">
            <w:pPr>
              <w:spacing w:line="300" w:lineRule="atLeast"/>
              <w:ind w:firstLine="0" w:firstLineChars="0"/>
              <w:jc w:val="center"/>
              <w:rPr>
                <w:color w:val="auto"/>
                <w:sz w:val="21"/>
                <w:szCs w:val="21"/>
              </w:rPr>
            </w:pPr>
            <w:r>
              <w:rPr>
                <w:color w:val="auto"/>
                <w:sz w:val="21"/>
                <w:szCs w:val="21"/>
              </w:rPr>
              <w:t>39450204</w:t>
            </w:r>
          </w:p>
        </w:tc>
        <w:tc>
          <w:tcPr>
            <w:tcW w:w="809" w:type="dxa"/>
            <w:tcBorders>
              <w:top w:val="single" w:color="auto" w:sz="4" w:space="0"/>
              <w:left w:val="single" w:color="auto" w:sz="4" w:space="0"/>
              <w:bottom w:val="single" w:color="auto" w:sz="4" w:space="0"/>
              <w:right w:val="single" w:color="auto" w:sz="4" w:space="0"/>
            </w:tcBorders>
            <w:vAlign w:val="center"/>
          </w:tcPr>
          <w:p w14:paraId="24132989">
            <w:pPr>
              <w:spacing w:line="300" w:lineRule="atLeast"/>
              <w:ind w:firstLine="0" w:firstLineChars="0"/>
              <w:jc w:val="center"/>
              <w:rPr>
                <w:color w:val="auto"/>
                <w:sz w:val="21"/>
                <w:szCs w:val="21"/>
              </w:rPr>
            </w:pPr>
            <w:r>
              <w:rPr>
                <w:color w:val="auto"/>
                <w:sz w:val="21"/>
                <w:szCs w:val="21"/>
              </w:rPr>
              <w:t>387</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27D91363">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01DDA4B2">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3F6B0F61">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04D743FA">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1FE64E84">
            <w:pPr>
              <w:spacing w:line="300" w:lineRule="atLeast"/>
              <w:ind w:firstLine="0" w:firstLineChars="0"/>
              <w:jc w:val="center"/>
              <w:rPr>
                <w:color w:val="auto"/>
                <w:sz w:val="21"/>
                <w:szCs w:val="21"/>
              </w:rPr>
            </w:pPr>
            <w:r>
              <w:rPr>
                <w:color w:val="auto"/>
                <w:sz w:val="21"/>
                <w:szCs w:val="21"/>
              </w:rPr>
              <w:t>民采坑道</w:t>
            </w:r>
          </w:p>
        </w:tc>
      </w:tr>
      <w:tr w14:paraId="1706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01CC6201">
            <w:pPr>
              <w:spacing w:line="300" w:lineRule="atLeast"/>
              <w:ind w:firstLine="0" w:firstLineChars="0"/>
              <w:jc w:val="center"/>
              <w:rPr>
                <w:color w:val="auto"/>
                <w:sz w:val="21"/>
                <w:szCs w:val="21"/>
              </w:rPr>
            </w:pPr>
            <w:r>
              <w:rPr>
                <w:color w:val="auto"/>
                <w:sz w:val="21"/>
                <w:szCs w:val="21"/>
              </w:rPr>
              <w:t>PD-23</w:t>
            </w:r>
          </w:p>
        </w:tc>
        <w:tc>
          <w:tcPr>
            <w:tcW w:w="1124" w:type="dxa"/>
            <w:tcBorders>
              <w:top w:val="single" w:color="auto" w:sz="4" w:space="0"/>
              <w:left w:val="single" w:color="auto" w:sz="4" w:space="0"/>
              <w:bottom w:val="single" w:color="auto" w:sz="4" w:space="0"/>
              <w:right w:val="single" w:color="auto" w:sz="4" w:space="0"/>
            </w:tcBorders>
            <w:vAlign w:val="center"/>
          </w:tcPr>
          <w:p w14:paraId="1B727B99">
            <w:pPr>
              <w:spacing w:line="300" w:lineRule="atLeast"/>
              <w:ind w:firstLine="0" w:firstLineChars="0"/>
              <w:jc w:val="center"/>
              <w:rPr>
                <w:color w:val="auto"/>
                <w:sz w:val="21"/>
                <w:szCs w:val="21"/>
              </w:rPr>
            </w:pPr>
            <w:r>
              <w:rPr>
                <w:color w:val="auto"/>
                <w:sz w:val="21"/>
                <w:szCs w:val="21"/>
              </w:rPr>
              <w:t>3061464</w:t>
            </w:r>
          </w:p>
        </w:tc>
        <w:tc>
          <w:tcPr>
            <w:tcW w:w="1190" w:type="dxa"/>
            <w:tcBorders>
              <w:top w:val="single" w:color="auto" w:sz="4" w:space="0"/>
              <w:left w:val="single" w:color="auto" w:sz="4" w:space="0"/>
              <w:bottom w:val="single" w:color="auto" w:sz="4" w:space="0"/>
              <w:right w:val="single" w:color="auto" w:sz="4" w:space="0"/>
            </w:tcBorders>
            <w:vAlign w:val="center"/>
          </w:tcPr>
          <w:p w14:paraId="03481CE2">
            <w:pPr>
              <w:spacing w:line="300" w:lineRule="atLeast"/>
              <w:ind w:firstLine="0" w:firstLineChars="0"/>
              <w:jc w:val="center"/>
              <w:rPr>
                <w:color w:val="auto"/>
                <w:sz w:val="21"/>
                <w:szCs w:val="21"/>
              </w:rPr>
            </w:pPr>
            <w:r>
              <w:rPr>
                <w:color w:val="auto"/>
                <w:sz w:val="21"/>
                <w:szCs w:val="21"/>
              </w:rPr>
              <w:t>39450242</w:t>
            </w:r>
          </w:p>
        </w:tc>
        <w:tc>
          <w:tcPr>
            <w:tcW w:w="809" w:type="dxa"/>
            <w:tcBorders>
              <w:top w:val="single" w:color="auto" w:sz="4" w:space="0"/>
              <w:left w:val="single" w:color="auto" w:sz="4" w:space="0"/>
              <w:bottom w:val="single" w:color="auto" w:sz="4" w:space="0"/>
              <w:right w:val="single" w:color="auto" w:sz="4" w:space="0"/>
            </w:tcBorders>
            <w:vAlign w:val="center"/>
          </w:tcPr>
          <w:p w14:paraId="15DCC653">
            <w:pPr>
              <w:spacing w:line="300" w:lineRule="atLeast"/>
              <w:ind w:firstLine="0" w:firstLineChars="0"/>
              <w:jc w:val="center"/>
              <w:rPr>
                <w:color w:val="auto"/>
                <w:sz w:val="21"/>
                <w:szCs w:val="21"/>
              </w:rPr>
            </w:pPr>
            <w:r>
              <w:rPr>
                <w:color w:val="auto"/>
                <w:sz w:val="21"/>
                <w:szCs w:val="21"/>
              </w:rPr>
              <w:t>375</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50AB9C3B">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056849AE">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6A89E1C1">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54F8AEB1">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0050FEA5">
            <w:pPr>
              <w:spacing w:line="300" w:lineRule="atLeast"/>
              <w:ind w:firstLine="0" w:firstLineChars="0"/>
              <w:jc w:val="center"/>
              <w:rPr>
                <w:color w:val="auto"/>
                <w:sz w:val="21"/>
                <w:szCs w:val="21"/>
              </w:rPr>
            </w:pPr>
            <w:r>
              <w:rPr>
                <w:color w:val="auto"/>
                <w:sz w:val="21"/>
                <w:szCs w:val="21"/>
              </w:rPr>
              <w:t>民采坑道</w:t>
            </w:r>
          </w:p>
        </w:tc>
      </w:tr>
      <w:tr w14:paraId="1463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291DE53">
            <w:pPr>
              <w:spacing w:line="300" w:lineRule="atLeast"/>
              <w:ind w:firstLine="0" w:firstLineChars="0"/>
              <w:jc w:val="center"/>
              <w:rPr>
                <w:color w:val="auto"/>
                <w:sz w:val="21"/>
                <w:szCs w:val="21"/>
              </w:rPr>
            </w:pPr>
            <w:r>
              <w:rPr>
                <w:color w:val="auto"/>
                <w:sz w:val="21"/>
                <w:szCs w:val="21"/>
              </w:rPr>
              <w:t>PD-24</w:t>
            </w:r>
          </w:p>
        </w:tc>
        <w:tc>
          <w:tcPr>
            <w:tcW w:w="1124" w:type="dxa"/>
            <w:tcBorders>
              <w:top w:val="single" w:color="auto" w:sz="4" w:space="0"/>
              <w:left w:val="single" w:color="auto" w:sz="4" w:space="0"/>
              <w:bottom w:val="single" w:color="auto" w:sz="4" w:space="0"/>
              <w:right w:val="single" w:color="auto" w:sz="4" w:space="0"/>
            </w:tcBorders>
            <w:vAlign w:val="center"/>
          </w:tcPr>
          <w:p w14:paraId="7875BAF3">
            <w:pPr>
              <w:spacing w:line="300" w:lineRule="atLeast"/>
              <w:ind w:firstLine="0" w:firstLineChars="0"/>
              <w:jc w:val="center"/>
              <w:rPr>
                <w:color w:val="auto"/>
                <w:sz w:val="21"/>
                <w:szCs w:val="21"/>
              </w:rPr>
            </w:pPr>
            <w:r>
              <w:rPr>
                <w:color w:val="auto"/>
                <w:sz w:val="21"/>
                <w:szCs w:val="21"/>
              </w:rPr>
              <w:t>3061252</w:t>
            </w:r>
          </w:p>
        </w:tc>
        <w:tc>
          <w:tcPr>
            <w:tcW w:w="1190" w:type="dxa"/>
            <w:tcBorders>
              <w:top w:val="single" w:color="auto" w:sz="4" w:space="0"/>
              <w:left w:val="single" w:color="auto" w:sz="4" w:space="0"/>
              <w:bottom w:val="single" w:color="auto" w:sz="4" w:space="0"/>
              <w:right w:val="single" w:color="auto" w:sz="4" w:space="0"/>
            </w:tcBorders>
            <w:vAlign w:val="center"/>
          </w:tcPr>
          <w:p w14:paraId="0B6D8331">
            <w:pPr>
              <w:spacing w:line="300" w:lineRule="atLeast"/>
              <w:ind w:firstLine="0" w:firstLineChars="0"/>
              <w:jc w:val="center"/>
              <w:rPr>
                <w:color w:val="auto"/>
                <w:sz w:val="21"/>
                <w:szCs w:val="21"/>
              </w:rPr>
            </w:pPr>
            <w:r>
              <w:rPr>
                <w:color w:val="auto"/>
                <w:sz w:val="21"/>
                <w:szCs w:val="21"/>
              </w:rPr>
              <w:t>39450137</w:t>
            </w:r>
          </w:p>
        </w:tc>
        <w:tc>
          <w:tcPr>
            <w:tcW w:w="809" w:type="dxa"/>
            <w:tcBorders>
              <w:top w:val="single" w:color="auto" w:sz="4" w:space="0"/>
              <w:left w:val="single" w:color="auto" w:sz="4" w:space="0"/>
              <w:bottom w:val="single" w:color="auto" w:sz="4" w:space="0"/>
              <w:right w:val="single" w:color="auto" w:sz="4" w:space="0"/>
            </w:tcBorders>
            <w:vAlign w:val="center"/>
          </w:tcPr>
          <w:p w14:paraId="376F9030">
            <w:pPr>
              <w:spacing w:line="300" w:lineRule="atLeast"/>
              <w:ind w:firstLine="0" w:firstLineChars="0"/>
              <w:jc w:val="center"/>
              <w:rPr>
                <w:color w:val="auto"/>
                <w:sz w:val="21"/>
                <w:szCs w:val="21"/>
              </w:rPr>
            </w:pPr>
            <w:r>
              <w:rPr>
                <w:color w:val="auto"/>
                <w:sz w:val="21"/>
                <w:szCs w:val="21"/>
              </w:rPr>
              <w:t>387</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717BCF0E">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2BA963F1">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74D760BD">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39673394">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7BC45641">
            <w:pPr>
              <w:spacing w:line="300" w:lineRule="atLeast"/>
              <w:ind w:firstLine="0" w:firstLineChars="0"/>
              <w:jc w:val="center"/>
              <w:rPr>
                <w:color w:val="auto"/>
                <w:sz w:val="21"/>
                <w:szCs w:val="21"/>
              </w:rPr>
            </w:pPr>
            <w:r>
              <w:rPr>
                <w:color w:val="auto"/>
                <w:sz w:val="21"/>
                <w:szCs w:val="21"/>
              </w:rPr>
              <w:t>民采坑道</w:t>
            </w:r>
          </w:p>
        </w:tc>
      </w:tr>
      <w:tr w14:paraId="69D2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A186CE7">
            <w:pPr>
              <w:spacing w:line="300" w:lineRule="atLeast"/>
              <w:ind w:firstLine="0" w:firstLineChars="0"/>
              <w:jc w:val="center"/>
              <w:rPr>
                <w:color w:val="auto"/>
                <w:sz w:val="21"/>
                <w:szCs w:val="21"/>
              </w:rPr>
            </w:pPr>
            <w:r>
              <w:rPr>
                <w:color w:val="auto"/>
                <w:sz w:val="21"/>
                <w:szCs w:val="21"/>
              </w:rPr>
              <w:t>PD-25</w:t>
            </w:r>
          </w:p>
        </w:tc>
        <w:tc>
          <w:tcPr>
            <w:tcW w:w="1124" w:type="dxa"/>
            <w:tcBorders>
              <w:top w:val="single" w:color="auto" w:sz="4" w:space="0"/>
              <w:left w:val="single" w:color="auto" w:sz="4" w:space="0"/>
              <w:bottom w:val="single" w:color="auto" w:sz="4" w:space="0"/>
              <w:right w:val="single" w:color="auto" w:sz="4" w:space="0"/>
            </w:tcBorders>
            <w:vAlign w:val="center"/>
          </w:tcPr>
          <w:p w14:paraId="3CCE87E1">
            <w:pPr>
              <w:spacing w:line="300" w:lineRule="atLeast"/>
              <w:ind w:firstLine="0" w:firstLineChars="0"/>
              <w:jc w:val="center"/>
              <w:rPr>
                <w:color w:val="auto"/>
                <w:sz w:val="21"/>
                <w:szCs w:val="21"/>
              </w:rPr>
            </w:pPr>
            <w:r>
              <w:rPr>
                <w:color w:val="auto"/>
                <w:sz w:val="21"/>
                <w:szCs w:val="21"/>
              </w:rPr>
              <w:t>3061303</w:t>
            </w:r>
          </w:p>
        </w:tc>
        <w:tc>
          <w:tcPr>
            <w:tcW w:w="1190" w:type="dxa"/>
            <w:tcBorders>
              <w:top w:val="single" w:color="auto" w:sz="4" w:space="0"/>
              <w:left w:val="single" w:color="auto" w:sz="4" w:space="0"/>
              <w:bottom w:val="single" w:color="auto" w:sz="4" w:space="0"/>
              <w:right w:val="single" w:color="auto" w:sz="4" w:space="0"/>
            </w:tcBorders>
            <w:vAlign w:val="center"/>
          </w:tcPr>
          <w:p w14:paraId="34309926">
            <w:pPr>
              <w:spacing w:line="300" w:lineRule="atLeast"/>
              <w:ind w:firstLine="0" w:firstLineChars="0"/>
              <w:jc w:val="center"/>
              <w:rPr>
                <w:color w:val="auto"/>
                <w:sz w:val="21"/>
                <w:szCs w:val="21"/>
              </w:rPr>
            </w:pPr>
            <w:r>
              <w:rPr>
                <w:color w:val="auto"/>
                <w:sz w:val="21"/>
                <w:szCs w:val="21"/>
              </w:rPr>
              <w:t>39450055</w:t>
            </w:r>
          </w:p>
        </w:tc>
        <w:tc>
          <w:tcPr>
            <w:tcW w:w="809" w:type="dxa"/>
            <w:tcBorders>
              <w:top w:val="single" w:color="auto" w:sz="4" w:space="0"/>
              <w:left w:val="single" w:color="auto" w:sz="4" w:space="0"/>
              <w:bottom w:val="single" w:color="auto" w:sz="4" w:space="0"/>
              <w:right w:val="single" w:color="auto" w:sz="4" w:space="0"/>
            </w:tcBorders>
            <w:vAlign w:val="center"/>
          </w:tcPr>
          <w:p w14:paraId="2F128F2F">
            <w:pPr>
              <w:spacing w:line="300" w:lineRule="atLeast"/>
              <w:ind w:firstLine="0" w:firstLineChars="0"/>
              <w:jc w:val="center"/>
              <w:rPr>
                <w:color w:val="auto"/>
                <w:sz w:val="21"/>
                <w:szCs w:val="21"/>
              </w:rPr>
            </w:pPr>
            <w:r>
              <w:rPr>
                <w:color w:val="auto"/>
                <w:sz w:val="21"/>
                <w:szCs w:val="21"/>
              </w:rPr>
              <w:t>379</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60BFD363">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247FEC31">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588F02B1">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787193E4">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7F4B4784">
            <w:pPr>
              <w:spacing w:line="300" w:lineRule="atLeast"/>
              <w:ind w:firstLine="0" w:firstLineChars="0"/>
              <w:jc w:val="center"/>
              <w:rPr>
                <w:color w:val="auto"/>
                <w:sz w:val="21"/>
                <w:szCs w:val="21"/>
              </w:rPr>
            </w:pPr>
            <w:r>
              <w:rPr>
                <w:color w:val="auto"/>
                <w:sz w:val="21"/>
                <w:szCs w:val="21"/>
              </w:rPr>
              <w:t>民采坑道</w:t>
            </w:r>
          </w:p>
        </w:tc>
      </w:tr>
      <w:tr w14:paraId="00F3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11DD79B5">
            <w:pPr>
              <w:spacing w:line="300" w:lineRule="atLeast"/>
              <w:ind w:firstLine="0" w:firstLineChars="0"/>
              <w:jc w:val="center"/>
              <w:rPr>
                <w:color w:val="auto"/>
                <w:sz w:val="21"/>
                <w:szCs w:val="21"/>
              </w:rPr>
            </w:pPr>
            <w:r>
              <w:rPr>
                <w:color w:val="auto"/>
                <w:sz w:val="21"/>
                <w:szCs w:val="21"/>
              </w:rPr>
              <w:t>PD-26</w:t>
            </w:r>
          </w:p>
        </w:tc>
        <w:tc>
          <w:tcPr>
            <w:tcW w:w="1124" w:type="dxa"/>
            <w:tcBorders>
              <w:top w:val="single" w:color="auto" w:sz="4" w:space="0"/>
              <w:left w:val="single" w:color="auto" w:sz="4" w:space="0"/>
              <w:bottom w:val="single" w:color="auto" w:sz="4" w:space="0"/>
              <w:right w:val="single" w:color="auto" w:sz="4" w:space="0"/>
            </w:tcBorders>
            <w:vAlign w:val="center"/>
          </w:tcPr>
          <w:p w14:paraId="3B142407">
            <w:pPr>
              <w:spacing w:line="300" w:lineRule="atLeast"/>
              <w:ind w:firstLine="0" w:firstLineChars="0"/>
              <w:jc w:val="center"/>
              <w:rPr>
                <w:color w:val="auto"/>
                <w:sz w:val="21"/>
                <w:szCs w:val="21"/>
              </w:rPr>
            </w:pPr>
            <w:r>
              <w:rPr>
                <w:color w:val="auto"/>
                <w:sz w:val="21"/>
                <w:szCs w:val="21"/>
              </w:rPr>
              <w:t>3061203</w:t>
            </w:r>
          </w:p>
        </w:tc>
        <w:tc>
          <w:tcPr>
            <w:tcW w:w="1190" w:type="dxa"/>
            <w:tcBorders>
              <w:top w:val="single" w:color="auto" w:sz="4" w:space="0"/>
              <w:left w:val="single" w:color="auto" w:sz="4" w:space="0"/>
              <w:bottom w:val="single" w:color="auto" w:sz="4" w:space="0"/>
              <w:right w:val="single" w:color="auto" w:sz="4" w:space="0"/>
            </w:tcBorders>
            <w:vAlign w:val="center"/>
          </w:tcPr>
          <w:p w14:paraId="18EFAF03">
            <w:pPr>
              <w:spacing w:line="300" w:lineRule="atLeast"/>
              <w:ind w:firstLine="0" w:firstLineChars="0"/>
              <w:jc w:val="center"/>
              <w:rPr>
                <w:color w:val="auto"/>
                <w:sz w:val="21"/>
                <w:szCs w:val="21"/>
              </w:rPr>
            </w:pPr>
            <w:r>
              <w:rPr>
                <w:color w:val="auto"/>
                <w:sz w:val="21"/>
                <w:szCs w:val="21"/>
              </w:rPr>
              <w:t>39450063</w:t>
            </w:r>
          </w:p>
        </w:tc>
        <w:tc>
          <w:tcPr>
            <w:tcW w:w="809" w:type="dxa"/>
            <w:tcBorders>
              <w:top w:val="single" w:color="auto" w:sz="4" w:space="0"/>
              <w:left w:val="single" w:color="auto" w:sz="4" w:space="0"/>
              <w:bottom w:val="single" w:color="auto" w:sz="4" w:space="0"/>
              <w:right w:val="single" w:color="auto" w:sz="4" w:space="0"/>
            </w:tcBorders>
            <w:vAlign w:val="center"/>
          </w:tcPr>
          <w:p w14:paraId="326A69A6">
            <w:pPr>
              <w:spacing w:line="300" w:lineRule="atLeast"/>
              <w:ind w:firstLine="0" w:firstLineChars="0"/>
              <w:jc w:val="center"/>
              <w:rPr>
                <w:color w:val="auto"/>
                <w:sz w:val="21"/>
                <w:szCs w:val="21"/>
              </w:rPr>
            </w:pPr>
            <w:r>
              <w:rPr>
                <w:color w:val="auto"/>
                <w:sz w:val="21"/>
                <w:szCs w:val="21"/>
              </w:rPr>
              <w:t>373</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4C6F46A8">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5A69534">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275B1A33">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53F6F50B">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50838B72">
            <w:pPr>
              <w:spacing w:line="300" w:lineRule="atLeast"/>
              <w:ind w:firstLine="0" w:firstLineChars="0"/>
              <w:jc w:val="center"/>
              <w:rPr>
                <w:color w:val="auto"/>
                <w:sz w:val="21"/>
                <w:szCs w:val="21"/>
              </w:rPr>
            </w:pPr>
            <w:r>
              <w:rPr>
                <w:color w:val="auto"/>
                <w:sz w:val="21"/>
                <w:szCs w:val="21"/>
              </w:rPr>
              <w:t>民采坑道</w:t>
            </w:r>
          </w:p>
        </w:tc>
      </w:tr>
      <w:tr w14:paraId="7808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6CAAC3FD">
            <w:pPr>
              <w:spacing w:line="300" w:lineRule="atLeast"/>
              <w:ind w:firstLine="0" w:firstLineChars="0"/>
              <w:jc w:val="center"/>
              <w:rPr>
                <w:color w:val="auto"/>
                <w:sz w:val="21"/>
                <w:szCs w:val="21"/>
              </w:rPr>
            </w:pPr>
            <w:r>
              <w:rPr>
                <w:color w:val="auto"/>
                <w:sz w:val="21"/>
                <w:szCs w:val="21"/>
              </w:rPr>
              <w:t>PD-27</w:t>
            </w:r>
          </w:p>
        </w:tc>
        <w:tc>
          <w:tcPr>
            <w:tcW w:w="1124" w:type="dxa"/>
            <w:tcBorders>
              <w:top w:val="single" w:color="auto" w:sz="4" w:space="0"/>
              <w:left w:val="single" w:color="auto" w:sz="4" w:space="0"/>
              <w:bottom w:val="single" w:color="auto" w:sz="4" w:space="0"/>
              <w:right w:val="single" w:color="auto" w:sz="4" w:space="0"/>
            </w:tcBorders>
            <w:vAlign w:val="center"/>
          </w:tcPr>
          <w:p w14:paraId="3FF8924E">
            <w:pPr>
              <w:spacing w:line="300" w:lineRule="atLeast"/>
              <w:ind w:firstLine="0" w:firstLineChars="0"/>
              <w:jc w:val="center"/>
              <w:rPr>
                <w:color w:val="auto"/>
                <w:sz w:val="21"/>
                <w:szCs w:val="21"/>
              </w:rPr>
            </w:pPr>
            <w:r>
              <w:rPr>
                <w:color w:val="auto"/>
                <w:sz w:val="21"/>
                <w:szCs w:val="21"/>
              </w:rPr>
              <w:t>3061216</w:t>
            </w:r>
          </w:p>
        </w:tc>
        <w:tc>
          <w:tcPr>
            <w:tcW w:w="1190" w:type="dxa"/>
            <w:tcBorders>
              <w:top w:val="single" w:color="auto" w:sz="4" w:space="0"/>
              <w:left w:val="single" w:color="auto" w:sz="4" w:space="0"/>
              <w:bottom w:val="single" w:color="auto" w:sz="4" w:space="0"/>
              <w:right w:val="single" w:color="auto" w:sz="4" w:space="0"/>
            </w:tcBorders>
            <w:vAlign w:val="center"/>
          </w:tcPr>
          <w:p w14:paraId="2486100E">
            <w:pPr>
              <w:spacing w:line="300" w:lineRule="atLeast"/>
              <w:ind w:firstLine="0" w:firstLineChars="0"/>
              <w:jc w:val="center"/>
              <w:rPr>
                <w:color w:val="auto"/>
                <w:sz w:val="21"/>
                <w:szCs w:val="21"/>
              </w:rPr>
            </w:pPr>
            <w:r>
              <w:rPr>
                <w:color w:val="auto"/>
                <w:sz w:val="21"/>
                <w:szCs w:val="21"/>
              </w:rPr>
              <w:t>39450096</w:t>
            </w:r>
          </w:p>
        </w:tc>
        <w:tc>
          <w:tcPr>
            <w:tcW w:w="809" w:type="dxa"/>
            <w:tcBorders>
              <w:top w:val="single" w:color="auto" w:sz="4" w:space="0"/>
              <w:left w:val="single" w:color="auto" w:sz="4" w:space="0"/>
              <w:bottom w:val="single" w:color="auto" w:sz="4" w:space="0"/>
              <w:right w:val="single" w:color="auto" w:sz="4" w:space="0"/>
            </w:tcBorders>
            <w:vAlign w:val="center"/>
          </w:tcPr>
          <w:p w14:paraId="2BA51B06">
            <w:pPr>
              <w:spacing w:line="300" w:lineRule="atLeast"/>
              <w:ind w:firstLine="0" w:firstLineChars="0"/>
              <w:jc w:val="center"/>
              <w:rPr>
                <w:color w:val="auto"/>
                <w:sz w:val="21"/>
                <w:szCs w:val="21"/>
              </w:rPr>
            </w:pPr>
            <w:r>
              <w:rPr>
                <w:color w:val="auto"/>
                <w:sz w:val="21"/>
                <w:szCs w:val="21"/>
              </w:rPr>
              <w:t>368</w:t>
            </w:r>
          </w:p>
        </w:tc>
        <w:tc>
          <w:tcPr>
            <w:tcW w:w="808" w:type="dxa"/>
            <w:vMerge w:val="continue"/>
            <w:tcBorders>
              <w:top w:val="single" w:color="auto" w:sz="4" w:space="0"/>
              <w:left w:val="single" w:color="auto" w:sz="4" w:space="0"/>
              <w:bottom w:val="single" w:color="auto" w:sz="4" w:space="0"/>
              <w:right w:val="single" w:color="auto" w:sz="4" w:space="0"/>
            </w:tcBorders>
            <w:vAlign w:val="center"/>
          </w:tcPr>
          <w:p w14:paraId="47E3A454">
            <w:pPr>
              <w:widowControl/>
              <w:spacing w:line="300" w:lineRule="atLeast"/>
              <w:jc w:val="center"/>
              <w:rPr>
                <w:color w:val="auto"/>
                <w:sz w:val="21"/>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F862555">
            <w:pPr>
              <w:spacing w:line="300" w:lineRule="atLeast"/>
              <w:ind w:firstLine="0" w:firstLineChars="0"/>
              <w:jc w:val="center"/>
              <w:rPr>
                <w:color w:val="auto"/>
                <w:sz w:val="21"/>
                <w:szCs w:val="21"/>
              </w:rPr>
            </w:pPr>
            <w:r>
              <w:rPr>
                <w:color w:val="auto"/>
                <w:sz w:val="21"/>
                <w:szCs w:val="21"/>
              </w:rPr>
              <w:t>无积水</w:t>
            </w: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58C7842D">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5AD38ADB">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38885A3C">
            <w:pPr>
              <w:spacing w:line="300" w:lineRule="atLeast"/>
              <w:ind w:firstLine="0" w:firstLineChars="0"/>
              <w:jc w:val="center"/>
              <w:rPr>
                <w:color w:val="auto"/>
                <w:sz w:val="21"/>
                <w:szCs w:val="21"/>
              </w:rPr>
            </w:pPr>
            <w:r>
              <w:rPr>
                <w:color w:val="auto"/>
                <w:sz w:val="21"/>
                <w:szCs w:val="21"/>
              </w:rPr>
              <w:t>民采坑道</w:t>
            </w:r>
          </w:p>
        </w:tc>
      </w:tr>
      <w:tr w14:paraId="4E76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355A358A">
            <w:pPr>
              <w:spacing w:line="300" w:lineRule="atLeast"/>
              <w:ind w:firstLine="0" w:firstLineChars="0"/>
              <w:jc w:val="center"/>
              <w:rPr>
                <w:color w:val="auto"/>
                <w:sz w:val="21"/>
                <w:szCs w:val="21"/>
              </w:rPr>
            </w:pPr>
            <w:r>
              <w:rPr>
                <w:color w:val="auto"/>
                <w:sz w:val="21"/>
                <w:szCs w:val="21"/>
              </w:rPr>
              <w:t>CK-1</w:t>
            </w:r>
          </w:p>
        </w:tc>
        <w:tc>
          <w:tcPr>
            <w:tcW w:w="1124" w:type="dxa"/>
            <w:tcBorders>
              <w:top w:val="single" w:color="auto" w:sz="4" w:space="0"/>
              <w:left w:val="single" w:color="auto" w:sz="4" w:space="0"/>
              <w:bottom w:val="single" w:color="auto" w:sz="4" w:space="0"/>
              <w:right w:val="single" w:color="auto" w:sz="4" w:space="0"/>
            </w:tcBorders>
            <w:vAlign w:val="center"/>
          </w:tcPr>
          <w:p w14:paraId="61172E73">
            <w:pPr>
              <w:spacing w:line="300" w:lineRule="atLeast"/>
              <w:ind w:firstLine="0" w:firstLineChars="0"/>
              <w:jc w:val="center"/>
              <w:rPr>
                <w:color w:val="auto"/>
                <w:sz w:val="21"/>
                <w:szCs w:val="21"/>
              </w:rPr>
            </w:pPr>
            <w:r>
              <w:rPr>
                <w:color w:val="auto"/>
                <w:sz w:val="21"/>
                <w:szCs w:val="21"/>
              </w:rPr>
              <w:t>3060953</w:t>
            </w:r>
          </w:p>
        </w:tc>
        <w:tc>
          <w:tcPr>
            <w:tcW w:w="1190" w:type="dxa"/>
            <w:tcBorders>
              <w:top w:val="single" w:color="auto" w:sz="4" w:space="0"/>
              <w:left w:val="single" w:color="auto" w:sz="4" w:space="0"/>
              <w:bottom w:val="single" w:color="auto" w:sz="4" w:space="0"/>
              <w:right w:val="single" w:color="auto" w:sz="4" w:space="0"/>
            </w:tcBorders>
            <w:vAlign w:val="center"/>
          </w:tcPr>
          <w:p w14:paraId="4DD2E3C9">
            <w:pPr>
              <w:spacing w:line="300" w:lineRule="atLeast"/>
              <w:ind w:firstLine="0" w:firstLineChars="0"/>
              <w:jc w:val="center"/>
              <w:rPr>
                <w:color w:val="auto"/>
                <w:sz w:val="21"/>
                <w:szCs w:val="21"/>
              </w:rPr>
            </w:pPr>
            <w:r>
              <w:rPr>
                <w:color w:val="auto"/>
                <w:sz w:val="21"/>
                <w:szCs w:val="21"/>
              </w:rPr>
              <w:t>39449706</w:t>
            </w:r>
          </w:p>
        </w:tc>
        <w:tc>
          <w:tcPr>
            <w:tcW w:w="809" w:type="dxa"/>
            <w:tcBorders>
              <w:top w:val="single" w:color="auto" w:sz="4" w:space="0"/>
              <w:left w:val="single" w:color="auto" w:sz="4" w:space="0"/>
              <w:bottom w:val="single" w:color="auto" w:sz="4" w:space="0"/>
              <w:right w:val="single" w:color="auto" w:sz="4" w:space="0"/>
            </w:tcBorders>
            <w:vAlign w:val="center"/>
          </w:tcPr>
          <w:p w14:paraId="5D27D39C">
            <w:pPr>
              <w:spacing w:line="300" w:lineRule="atLeast"/>
              <w:ind w:firstLine="0" w:firstLineChars="0"/>
              <w:jc w:val="center"/>
              <w:rPr>
                <w:color w:val="auto"/>
                <w:sz w:val="21"/>
                <w:szCs w:val="21"/>
              </w:rPr>
            </w:pPr>
            <w:r>
              <w:rPr>
                <w:color w:val="auto"/>
                <w:sz w:val="21"/>
                <w:szCs w:val="21"/>
              </w:rPr>
              <w:t>445</w:t>
            </w:r>
          </w:p>
        </w:tc>
        <w:tc>
          <w:tcPr>
            <w:tcW w:w="2009" w:type="dxa"/>
            <w:gridSpan w:val="2"/>
            <w:vMerge w:val="restart"/>
            <w:tcBorders>
              <w:top w:val="single" w:color="auto" w:sz="4" w:space="0"/>
              <w:left w:val="single" w:color="auto" w:sz="4" w:space="0"/>
              <w:right w:val="single" w:color="auto" w:sz="4" w:space="0"/>
            </w:tcBorders>
            <w:vAlign w:val="center"/>
          </w:tcPr>
          <w:p w14:paraId="0646F04B">
            <w:pPr>
              <w:spacing w:line="300" w:lineRule="atLeast"/>
              <w:ind w:firstLine="0" w:firstLineChars="0"/>
              <w:jc w:val="center"/>
              <w:rPr>
                <w:color w:val="auto"/>
                <w:sz w:val="21"/>
                <w:szCs w:val="21"/>
              </w:rPr>
            </w:pPr>
            <w:r>
              <w:rPr>
                <w:color w:val="auto"/>
                <w:sz w:val="21"/>
                <w:szCs w:val="21"/>
              </w:rPr>
              <w:t>已恢复治理</w:t>
            </w:r>
          </w:p>
        </w:tc>
        <w:tc>
          <w:tcPr>
            <w:tcW w:w="917" w:type="dxa"/>
            <w:vMerge w:val="restart"/>
            <w:tcBorders>
              <w:top w:val="single" w:color="auto" w:sz="4" w:space="0"/>
              <w:left w:val="single" w:color="auto" w:sz="4" w:space="0"/>
              <w:bottom w:val="single" w:color="auto" w:sz="4" w:space="0"/>
              <w:right w:val="single" w:color="auto" w:sz="4" w:space="0"/>
            </w:tcBorders>
            <w:vAlign w:val="center"/>
          </w:tcPr>
          <w:p w14:paraId="458381E0">
            <w:pPr>
              <w:spacing w:line="300" w:lineRule="atLeast"/>
              <w:ind w:firstLine="0" w:firstLineChars="0"/>
              <w:jc w:val="center"/>
              <w:rPr>
                <w:color w:val="auto"/>
                <w:sz w:val="21"/>
                <w:szCs w:val="21"/>
              </w:rPr>
            </w:pPr>
            <w:r>
              <w:rPr>
                <w:color w:val="auto"/>
                <w:sz w:val="21"/>
                <w:szCs w:val="21"/>
              </w:rPr>
              <w:t>2014年以前</w:t>
            </w:r>
          </w:p>
        </w:tc>
        <w:tc>
          <w:tcPr>
            <w:tcW w:w="1147" w:type="dxa"/>
            <w:tcBorders>
              <w:top w:val="single" w:color="auto" w:sz="4" w:space="0"/>
              <w:left w:val="single" w:color="auto" w:sz="4" w:space="0"/>
              <w:bottom w:val="single" w:color="auto" w:sz="4" w:space="0"/>
              <w:right w:val="single" w:color="auto" w:sz="4" w:space="0"/>
            </w:tcBorders>
            <w:vAlign w:val="center"/>
          </w:tcPr>
          <w:p w14:paraId="1C3C1348">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32091958">
            <w:pPr>
              <w:spacing w:line="300" w:lineRule="atLeast"/>
              <w:ind w:firstLine="0" w:firstLineChars="0"/>
              <w:jc w:val="center"/>
              <w:rPr>
                <w:color w:val="auto"/>
                <w:sz w:val="21"/>
                <w:szCs w:val="21"/>
              </w:rPr>
            </w:pPr>
            <w:r>
              <w:rPr>
                <w:color w:val="auto"/>
                <w:sz w:val="21"/>
                <w:szCs w:val="21"/>
              </w:rPr>
              <w:t>采坑中心</w:t>
            </w:r>
          </w:p>
        </w:tc>
      </w:tr>
      <w:tr w14:paraId="68A6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581C1CCD">
            <w:pPr>
              <w:spacing w:line="300" w:lineRule="atLeast"/>
              <w:ind w:firstLine="0" w:firstLineChars="0"/>
              <w:jc w:val="center"/>
              <w:rPr>
                <w:color w:val="auto"/>
                <w:sz w:val="21"/>
                <w:szCs w:val="21"/>
              </w:rPr>
            </w:pPr>
            <w:r>
              <w:rPr>
                <w:color w:val="auto"/>
                <w:sz w:val="21"/>
                <w:szCs w:val="21"/>
              </w:rPr>
              <w:t>CK-2</w:t>
            </w:r>
          </w:p>
        </w:tc>
        <w:tc>
          <w:tcPr>
            <w:tcW w:w="1124" w:type="dxa"/>
            <w:tcBorders>
              <w:top w:val="single" w:color="auto" w:sz="4" w:space="0"/>
              <w:left w:val="single" w:color="auto" w:sz="4" w:space="0"/>
              <w:bottom w:val="single" w:color="auto" w:sz="4" w:space="0"/>
              <w:right w:val="single" w:color="auto" w:sz="4" w:space="0"/>
            </w:tcBorders>
            <w:vAlign w:val="center"/>
          </w:tcPr>
          <w:p w14:paraId="553B3694">
            <w:pPr>
              <w:spacing w:line="300" w:lineRule="atLeast"/>
              <w:ind w:firstLine="0" w:firstLineChars="0"/>
              <w:jc w:val="center"/>
              <w:rPr>
                <w:color w:val="auto"/>
                <w:sz w:val="21"/>
                <w:szCs w:val="21"/>
              </w:rPr>
            </w:pPr>
            <w:r>
              <w:rPr>
                <w:color w:val="auto"/>
                <w:sz w:val="21"/>
                <w:szCs w:val="21"/>
              </w:rPr>
              <w:t>3060892</w:t>
            </w:r>
          </w:p>
        </w:tc>
        <w:tc>
          <w:tcPr>
            <w:tcW w:w="1190" w:type="dxa"/>
            <w:tcBorders>
              <w:top w:val="single" w:color="auto" w:sz="4" w:space="0"/>
              <w:left w:val="single" w:color="auto" w:sz="4" w:space="0"/>
              <w:bottom w:val="single" w:color="auto" w:sz="4" w:space="0"/>
              <w:right w:val="single" w:color="auto" w:sz="4" w:space="0"/>
            </w:tcBorders>
            <w:vAlign w:val="center"/>
          </w:tcPr>
          <w:p w14:paraId="7687FC20">
            <w:pPr>
              <w:spacing w:line="300" w:lineRule="atLeast"/>
              <w:ind w:firstLine="0" w:firstLineChars="0"/>
              <w:jc w:val="center"/>
              <w:rPr>
                <w:color w:val="auto"/>
                <w:sz w:val="21"/>
                <w:szCs w:val="21"/>
              </w:rPr>
            </w:pPr>
            <w:r>
              <w:rPr>
                <w:color w:val="auto"/>
                <w:sz w:val="21"/>
                <w:szCs w:val="21"/>
              </w:rPr>
              <w:t>39449805</w:t>
            </w:r>
          </w:p>
        </w:tc>
        <w:tc>
          <w:tcPr>
            <w:tcW w:w="809" w:type="dxa"/>
            <w:tcBorders>
              <w:top w:val="single" w:color="auto" w:sz="4" w:space="0"/>
              <w:left w:val="single" w:color="auto" w:sz="4" w:space="0"/>
              <w:bottom w:val="single" w:color="auto" w:sz="4" w:space="0"/>
              <w:right w:val="single" w:color="auto" w:sz="4" w:space="0"/>
            </w:tcBorders>
            <w:vAlign w:val="center"/>
          </w:tcPr>
          <w:p w14:paraId="2FABFFBF">
            <w:pPr>
              <w:spacing w:line="300" w:lineRule="atLeast"/>
              <w:ind w:firstLine="0" w:firstLineChars="0"/>
              <w:jc w:val="center"/>
              <w:rPr>
                <w:color w:val="auto"/>
                <w:sz w:val="21"/>
                <w:szCs w:val="21"/>
              </w:rPr>
            </w:pPr>
            <w:r>
              <w:rPr>
                <w:color w:val="auto"/>
                <w:sz w:val="21"/>
                <w:szCs w:val="21"/>
              </w:rPr>
              <w:t>457</w:t>
            </w:r>
          </w:p>
        </w:tc>
        <w:tc>
          <w:tcPr>
            <w:tcW w:w="2009" w:type="dxa"/>
            <w:gridSpan w:val="2"/>
            <w:vMerge w:val="continue"/>
            <w:tcBorders>
              <w:left w:val="single" w:color="auto" w:sz="4" w:space="0"/>
              <w:right w:val="single" w:color="auto" w:sz="4" w:space="0"/>
            </w:tcBorders>
            <w:vAlign w:val="center"/>
          </w:tcPr>
          <w:p w14:paraId="2774BAD0">
            <w:pPr>
              <w:widowControl/>
              <w:spacing w:line="300" w:lineRule="atLeast"/>
              <w:jc w:val="center"/>
              <w:rPr>
                <w:color w:val="auto"/>
                <w:sz w:val="21"/>
                <w:szCs w:val="21"/>
              </w:rPr>
            </w:pP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1688D1E2">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4C9C9C02">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668FF482">
            <w:pPr>
              <w:spacing w:line="300" w:lineRule="atLeast"/>
              <w:ind w:firstLine="0" w:firstLineChars="0"/>
              <w:jc w:val="center"/>
              <w:rPr>
                <w:color w:val="auto"/>
                <w:sz w:val="21"/>
                <w:szCs w:val="21"/>
              </w:rPr>
            </w:pPr>
            <w:r>
              <w:rPr>
                <w:color w:val="auto"/>
                <w:sz w:val="21"/>
                <w:szCs w:val="21"/>
              </w:rPr>
              <w:t>采坑中心</w:t>
            </w:r>
          </w:p>
        </w:tc>
      </w:tr>
      <w:tr w14:paraId="214C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87" w:type="dxa"/>
            <w:tcBorders>
              <w:top w:val="single" w:color="auto" w:sz="4" w:space="0"/>
              <w:left w:val="single" w:color="auto" w:sz="4" w:space="0"/>
              <w:bottom w:val="single" w:color="auto" w:sz="4" w:space="0"/>
              <w:right w:val="single" w:color="auto" w:sz="4" w:space="0"/>
            </w:tcBorders>
            <w:vAlign w:val="center"/>
          </w:tcPr>
          <w:p w14:paraId="2BB1DA0A">
            <w:pPr>
              <w:spacing w:line="300" w:lineRule="atLeast"/>
              <w:ind w:firstLine="0" w:firstLineChars="0"/>
              <w:jc w:val="center"/>
              <w:rPr>
                <w:color w:val="auto"/>
                <w:sz w:val="21"/>
                <w:szCs w:val="21"/>
              </w:rPr>
            </w:pPr>
            <w:r>
              <w:rPr>
                <w:color w:val="auto"/>
                <w:sz w:val="21"/>
                <w:szCs w:val="21"/>
              </w:rPr>
              <w:t>CK-3</w:t>
            </w:r>
          </w:p>
        </w:tc>
        <w:tc>
          <w:tcPr>
            <w:tcW w:w="1124" w:type="dxa"/>
            <w:tcBorders>
              <w:top w:val="single" w:color="auto" w:sz="4" w:space="0"/>
              <w:left w:val="single" w:color="auto" w:sz="4" w:space="0"/>
              <w:bottom w:val="single" w:color="auto" w:sz="4" w:space="0"/>
              <w:right w:val="single" w:color="auto" w:sz="4" w:space="0"/>
            </w:tcBorders>
            <w:vAlign w:val="center"/>
          </w:tcPr>
          <w:p w14:paraId="6E0AF9F0">
            <w:pPr>
              <w:spacing w:line="300" w:lineRule="atLeast"/>
              <w:ind w:firstLine="0" w:firstLineChars="0"/>
              <w:jc w:val="center"/>
              <w:rPr>
                <w:color w:val="auto"/>
                <w:sz w:val="21"/>
                <w:szCs w:val="21"/>
              </w:rPr>
            </w:pPr>
            <w:r>
              <w:rPr>
                <w:color w:val="auto"/>
                <w:sz w:val="21"/>
                <w:szCs w:val="21"/>
              </w:rPr>
              <w:t>3060412</w:t>
            </w:r>
          </w:p>
        </w:tc>
        <w:tc>
          <w:tcPr>
            <w:tcW w:w="1190" w:type="dxa"/>
            <w:tcBorders>
              <w:top w:val="single" w:color="auto" w:sz="4" w:space="0"/>
              <w:left w:val="single" w:color="auto" w:sz="4" w:space="0"/>
              <w:bottom w:val="single" w:color="auto" w:sz="4" w:space="0"/>
              <w:right w:val="single" w:color="auto" w:sz="4" w:space="0"/>
            </w:tcBorders>
            <w:vAlign w:val="center"/>
          </w:tcPr>
          <w:p w14:paraId="49653531">
            <w:pPr>
              <w:spacing w:line="300" w:lineRule="atLeast"/>
              <w:ind w:firstLine="0" w:firstLineChars="0"/>
              <w:jc w:val="center"/>
              <w:rPr>
                <w:color w:val="auto"/>
                <w:sz w:val="21"/>
                <w:szCs w:val="21"/>
              </w:rPr>
            </w:pPr>
            <w:r>
              <w:rPr>
                <w:color w:val="auto"/>
                <w:sz w:val="21"/>
                <w:szCs w:val="21"/>
              </w:rPr>
              <w:t>39449470</w:t>
            </w:r>
          </w:p>
        </w:tc>
        <w:tc>
          <w:tcPr>
            <w:tcW w:w="809" w:type="dxa"/>
            <w:tcBorders>
              <w:top w:val="single" w:color="auto" w:sz="4" w:space="0"/>
              <w:left w:val="single" w:color="auto" w:sz="4" w:space="0"/>
              <w:bottom w:val="single" w:color="auto" w:sz="4" w:space="0"/>
              <w:right w:val="single" w:color="auto" w:sz="4" w:space="0"/>
            </w:tcBorders>
            <w:vAlign w:val="center"/>
          </w:tcPr>
          <w:p w14:paraId="5CBFFC96">
            <w:pPr>
              <w:spacing w:line="300" w:lineRule="atLeast"/>
              <w:ind w:firstLine="0" w:firstLineChars="0"/>
              <w:jc w:val="center"/>
              <w:rPr>
                <w:color w:val="auto"/>
                <w:sz w:val="21"/>
                <w:szCs w:val="21"/>
              </w:rPr>
            </w:pPr>
            <w:r>
              <w:rPr>
                <w:color w:val="auto"/>
                <w:sz w:val="21"/>
                <w:szCs w:val="21"/>
              </w:rPr>
              <w:t>358</w:t>
            </w:r>
          </w:p>
        </w:tc>
        <w:tc>
          <w:tcPr>
            <w:tcW w:w="2009" w:type="dxa"/>
            <w:gridSpan w:val="2"/>
            <w:vMerge w:val="continue"/>
            <w:tcBorders>
              <w:left w:val="single" w:color="auto" w:sz="4" w:space="0"/>
              <w:bottom w:val="single" w:color="auto" w:sz="4" w:space="0"/>
              <w:right w:val="single" w:color="auto" w:sz="4" w:space="0"/>
            </w:tcBorders>
            <w:vAlign w:val="center"/>
          </w:tcPr>
          <w:p w14:paraId="7672FA9B">
            <w:pPr>
              <w:widowControl/>
              <w:spacing w:line="300" w:lineRule="atLeast"/>
              <w:jc w:val="center"/>
              <w:rPr>
                <w:color w:val="auto"/>
                <w:sz w:val="21"/>
                <w:szCs w:val="21"/>
              </w:rPr>
            </w:pPr>
          </w:p>
        </w:tc>
        <w:tc>
          <w:tcPr>
            <w:tcW w:w="917" w:type="dxa"/>
            <w:vMerge w:val="continue"/>
            <w:tcBorders>
              <w:top w:val="single" w:color="auto" w:sz="4" w:space="0"/>
              <w:left w:val="single" w:color="auto" w:sz="4" w:space="0"/>
              <w:bottom w:val="single" w:color="auto" w:sz="4" w:space="0"/>
              <w:right w:val="single" w:color="auto" w:sz="4" w:space="0"/>
            </w:tcBorders>
            <w:vAlign w:val="center"/>
          </w:tcPr>
          <w:p w14:paraId="4B436B70">
            <w:pPr>
              <w:widowControl/>
              <w:spacing w:line="300" w:lineRule="atLeast"/>
              <w:jc w:val="center"/>
              <w:rPr>
                <w:color w:val="auto"/>
                <w:sz w:val="21"/>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6C6A14D9">
            <w:pPr>
              <w:spacing w:line="300" w:lineRule="atLeast"/>
              <w:ind w:firstLine="0" w:firstLineChars="0"/>
              <w:jc w:val="center"/>
              <w:rPr>
                <w:color w:val="auto"/>
                <w:sz w:val="21"/>
                <w:szCs w:val="21"/>
              </w:rPr>
            </w:pPr>
            <w:r>
              <w:rPr>
                <w:color w:val="auto"/>
                <w:sz w:val="21"/>
                <w:szCs w:val="21"/>
              </w:rPr>
              <w:t>无连通</w:t>
            </w:r>
          </w:p>
        </w:tc>
        <w:tc>
          <w:tcPr>
            <w:tcW w:w="1314" w:type="dxa"/>
            <w:tcBorders>
              <w:top w:val="single" w:color="auto" w:sz="4" w:space="0"/>
              <w:left w:val="single" w:color="auto" w:sz="4" w:space="0"/>
              <w:bottom w:val="single" w:color="auto" w:sz="4" w:space="0"/>
              <w:right w:val="single" w:color="auto" w:sz="4" w:space="0"/>
            </w:tcBorders>
            <w:vAlign w:val="center"/>
          </w:tcPr>
          <w:p w14:paraId="682A947C">
            <w:pPr>
              <w:spacing w:line="300" w:lineRule="atLeast"/>
              <w:ind w:firstLine="0" w:firstLineChars="0"/>
              <w:jc w:val="center"/>
              <w:rPr>
                <w:color w:val="auto"/>
                <w:sz w:val="21"/>
                <w:szCs w:val="21"/>
              </w:rPr>
            </w:pPr>
            <w:r>
              <w:rPr>
                <w:color w:val="auto"/>
                <w:sz w:val="21"/>
                <w:szCs w:val="21"/>
              </w:rPr>
              <w:t>采坑中心</w:t>
            </w:r>
          </w:p>
        </w:tc>
      </w:tr>
    </w:tbl>
    <w:p w14:paraId="6575D464">
      <w:pPr>
        <w:bidi w:val="0"/>
        <w:rPr>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color w:val="auto"/>
        </w:rPr>
        <w:t>矿山生产期的废弃矿井（井筒）</w:t>
      </w:r>
    </w:p>
    <w:p w14:paraId="46216BEC">
      <w:pPr>
        <w:bidi w:val="0"/>
        <w:rPr>
          <w:color w:val="auto"/>
        </w:rPr>
      </w:pPr>
      <w:r>
        <w:rPr>
          <w:color w:val="auto"/>
        </w:rPr>
        <w:t>根据现场实地调查，查明共有3处废弃矿井（井筒）；其中，废弃矿井2处，废弃巷道1处，均已得到有效的封闭方式，效果良好，统计表如表</w:t>
      </w:r>
      <w:r>
        <w:rPr>
          <w:rFonts w:hint="default"/>
          <w:color w:val="auto"/>
          <w:lang w:eastAsia="zh-CN"/>
        </w:rPr>
        <w:t>2</w:t>
      </w:r>
      <w:r>
        <w:rPr>
          <w:rFonts w:hint="default"/>
          <w:color w:val="auto"/>
          <w:lang w:val="en-US" w:eastAsia="zh-CN"/>
        </w:rPr>
        <w:t>.12</w:t>
      </w:r>
      <w:r>
        <w:rPr>
          <w:color w:val="auto"/>
        </w:rPr>
        <w:t>-</w:t>
      </w:r>
      <w:r>
        <w:rPr>
          <w:rFonts w:hint="default"/>
          <w:color w:val="auto"/>
          <w:lang w:eastAsia="zh-CN"/>
        </w:rPr>
        <w:t>4</w:t>
      </w:r>
      <w:r>
        <w:rPr>
          <w:color w:val="auto"/>
        </w:rPr>
        <w:t>，其纵投影图如图</w:t>
      </w:r>
      <w:r>
        <w:rPr>
          <w:rFonts w:hint="default"/>
          <w:color w:val="auto"/>
          <w:lang w:eastAsia="zh-CN"/>
        </w:rPr>
        <w:t>2</w:t>
      </w:r>
      <w:r>
        <w:rPr>
          <w:rFonts w:hint="default"/>
          <w:color w:val="auto"/>
          <w:lang w:val="en-US" w:eastAsia="zh-CN"/>
        </w:rPr>
        <w:t>.12</w:t>
      </w:r>
      <w:r>
        <w:rPr>
          <w:color w:val="auto"/>
        </w:rPr>
        <w:t>-4。</w:t>
      </w:r>
    </w:p>
    <w:p w14:paraId="38726F23">
      <w:pPr>
        <w:widowControl w:val="0"/>
        <w:kinsoku/>
        <w:adjustRightInd/>
        <w:snapToGrid/>
        <w:spacing w:line="560" w:lineRule="exact"/>
        <w:ind w:firstLine="560"/>
        <w:textAlignment w:val="auto"/>
        <w:rPr>
          <w:rFonts w:ascii="Arial" w:hAnsi="Arial" w:eastAsia="Arial" w:cs="Arial"/>
          <w:b w:val="0"/>
          <w:color w:val="auto"/>
          <w:spacing w:val="0"/>
          <w:sz w:val="28"/>
          <w:szCs w:val="21"/>
        </w:rPr>
      </w:pPr>
      <w:r>
        <w:rPr>
          <w:rFonts w:ascii="Arial" w:hAnsi="Arial" w:eastAsia="Arial" w:cs="Arial"/>
          <w:color w:val="auto"/>
          <w:spacing w:val="0"/>
          <w:szCs w:val="21"/>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1950085</wp:posOffset>
                </wp:positionV>
                <wp:extent cx="542925" cy="314325"/>
                <wp:effectExtent l="0" t="0" r="0" b="0"/>
                <wp:wrapNone/>
                <wp:docPr id="2014991149" name="文本框 2014991149"/>
                <wp:cNvGraphicFramePr/>
                <a:graphic xmlns:a="http://schemas.openxmlformats.org/drawingml/2006/main">
                  <a:graphicData uri="http://schemas.microsoft.com/office/word/2010/wordprocessingShape">
                    <wps:wsp>
                      <wps:cNvSpPr txBox="1"/>
                      <wps:spPr>
                        <a:xfrm>
                          <a:off x="0" y="0"/>
                          <a:ext cx="542925" cy="314325"/>
                        </a:xfrm>
                        <a:prstGeom prst="rect">
                          <a:avLst/>
                        </a:prstGeom>
                        <a:noFill/>
                        <a:ln w="6350">
                          <a:noFill/>
                        </a:ln>
                      </wps:spPr>
                      <wps:txbx>
                        <w:txbxContent>
                          <w:p w14:paraId="6A6869A4">
                            <w:r>
                              <w:rPr>
                                <w:rFonts w:hint="eastAsia"/>
                              </w:rPr>
                              <w:t>地表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top:153.55pt;height:24.75pt;width:42.75pt;mso-position-horizontal:right;mso-position-horizontal-relative:margin;z-index:251671552;mso-width-relative:page;mso-height-relative:page;" filled="f" stroked="f" coordsize="21600,21600" o:gfxdata="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32VHm2AAAAAcBAAAPAAAAAAAAAAEAIAAAACIA&#10;AABkcnMvZG93bnJldi54bWxQSwECFAAUAAAACACHTuJA/tWumEICAAB3BAAADgAAAAAAAAABACAA&#10;AAAnAQAAZHJzL2Uyb0RvYy54bWxQSwUGAAAAAAYABgBZAQAA2wUAAAAA&#10;">
                <v:fill on="f" focussize="0,0"/>
                <v:stroke on="f" weight="0.5pt"/>
                <v:imagedata o:title=""/>
                <o:lock v:ext="edit" aspectratio="f"/>
                <v:textbox>
                  <w:txbxContent>
                    <w:p w14:paraId="6A6869A4">
                      <w:r>
                        <w:rPr>
                          <w:rFonts w:hint="eastAsia"/>
                        </w:rPr>
                        <w:t>地表</w:t>
                      </w:r>
                    </w:p>
                  </w:txbxContent>
                </v:textbox>
              </v:shape>
            </w:pict>
          </mc:Fallback>
        </mc:AlternateContent>
      </w:r>
      <w:r>
        <w:rPr>
          <w:rFonts w:ascii="Arial" w:hAnsi="Arial" w:eastAsia="Arial" w:cs="Arial"/>
          <w:b w:val="0"/>
          <w:color w:val="auto"/>
          <w:spacing w:val="0"/>
          <w:sz w:val="28"/>
          <w:szCs w:val="21"/>
        </w:rPr>
        <w:t>表</w:t>
      </w:r>
      <w:r>
        <w:rPr>
          <w:rFonts w:ascii="Times New Roman" w:hAnsi="Times New Roman" w:eastAsia="Arial" w:cs="Times New Roman"/>
          <w:b w:val="0"/>
          <w:color w:val="auto"/>
          <w:spacing w:val="0"/>
          <w:sz w:val="28"/>
          <w:szCs w:val="21"/>
        </w:rPr>
        <w:t>3-6</w:t>
      </w:r>
      <w:r>
        <w:rPr>
          <w:rFonts w:ascii="Arial" w:hAnsi="Arial" w:eastAsia="Arial" w:cs="Arial"/>
          <w:b w:val="0"/>
          <w:color w:val="auto"/>
          <w:spacing w:val="0"/>
          <w:sz w:val="28"/>
          <w:szCs w:val="21"/>
        </w:rPr>
        <w:t xml:space="preserve">  矿山生产期废弃矿井统计表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12"/>
        <w:gridCol w:w="1110"/>
        <w:gridCol w:w="1260"/>
        <w:gridCol w:w="1230"/>
        <w:gridCol w:w="1534"/>
        <w:gridCol w:w="747"/>
      </w:tblGrid>
      <w:tr w14:paraId="6AB8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0A90ED23">
            <w:pPr>
              <w:spacing w:line="300" w:lineRule="exact"/>
              <w:ind w:firstLine="0" w:firstLineChars="0"/>
              <w:jc w:val="both"/>
              <w:rPr>
                <w:color w:val="auto"/>
                <w:sz w:val="21"/>
                <w:szCs w:val="21"/>
              </w:rPr>
            </w:pPr>
            <w:r>
              <w:rPr>
                <w:color w:val="auto"/>
                <w:sz w:val="21"/>
                <w:szCs w:val="21"/>
              </w:rPr>
              <w:t>工作项目</w:t>
            </w:r>
          </w:p>
        </w:tc>
        <w:tc>
          <w:tcPr>
            <w:tcW w:w="1812" w:type="dxa"/>
            <w:tcBorders>
              <w:top w:val="single" w:color="auto" w:sz="4" w:space="0"/>
              <w:left w:val="single" w:color="auto" w:sz="4" w:space="0"/>
              <w:bottom w:val="single" w:color="auto" w:sz="4" w:space="0"/>
              <w:right w:val="single" w:color="auto" w:sz="4" w:space="0"/>
            </w:tcBorders>
            <w:vAlign w:val="center"/>
          </w:tcPr>
          <w:p w14:paraId="4C1E9534">
            <w:pPr>
              <w:spacing w:line="300" w:lineRule="exact"/>
              <w:ind w:firstLine="0" w:firstLineChars="0"/>
              <w:jc w:val="both"/>
              <w:rPr>
                <w:color w:val="auto"/>
                <w:sz w:val="21"/>
                <w:szCs w:val="21"/>
              </w:rPr>
            </w:pPr>
            <w:r>
              <w:rPr>
                <w:color w:val="auto"/>
                <w:sz w:val="21"/>
                <w:szCs w:val="21"/>
              </w:rPr>
              <w:t>名称</w:t>
            </w:r>
          </w:p>
        </w:tc>
        <w:tc>
          <w:tcPr>
            <w:tcW w:w="1110" w:type="dxa"/>
            <w:tcBorders>
              <w:top w:val="single" w:color="auto" w:sz="4" w:space="0"/>
              <w:left w:val="single" w:color="auto" w:sz="4" w:space="0"/>
              <w:bottom w:val="single" w:color="auto" w:sz="4" w:space="0"/>
              <w:right w:val="single" w:color="auto" w:sz="4" w:space="0"/>
            </w:tcBorders>
            <w:vAlign w:val="center"/>
          </w:tcPr>
          <w:p w14:paraId="7FD172B9">
            <w:pPr>
              <w:spacing w:line="300" w:lineRule="exact"/>
              <w:ind w:firstLine="0" w:firstLineChars="0"/>
              <w:jc w:val="both"/>
              <w:rPr>
                <w:color w:val="auto"/>
                <w:sz w:val="21"/>
                <w:szCs w:val="21"/>
              </w:rPr>
            </w:pPr>
            <w:r>
              <w:rPr>
                <w:color w:val="auto"/>
                <w:sz w:val="21"/>
                <w:szCs w:val="21"/>
              </w:rPr>
              <w:t>基本情况</w:t>
            </w:r>
          </w:p>
        </w:tc>
        <w:tc>
          <w:tcPr>
            <w:tcW w:w="1260" w:type="dxa"/>
            <w:tcBorders>
              <w:top w:val="single" w:color="auto" w:sz="4" w:space="0"/>
              <w:left w:val="single" w:color="auto" w:sz="4" w:space="0"/>
              <w:bottom w:val="single" w:color="auto" w:sz="4" w:space="0"/>
              <w:right w:val="single" w:color="auto" w:sz="4" w:space="0"/>
            </w:tcBorders>
            <w:vAlign w:val="center"/>
          </w:tcPr>
          <w:p w14:paraId="7E427323">
            <w:pPr>
              <w:spacing w:line="300" w:lineRule="exact"/>
              <w:ind w:firstLine="0" w:firstLineChars="0"/>
              <w:jc w:val="both"/>
              <w:rPr>
                <w:color w:val="auto"/>
                <w:sz w:val="21"/>
                <w:szCs w:val="21"/>
              </w:rPr>
            </w:pPr>
            <w:r>
              <w:rPr>
                <w:color w:val="auto"/>
                <w:sz w:val="21"/>
                <w:szCs w:val="21"/>
              </w:rPr>
              <w:t>封闭方法</w:t>
            </w:r>
          </w:p>
        </w:tc>
        <w:tc>
          <w:tcPr>
            <w:tcW w:w="1230" w:type="dxa"/>
            <w:tcBorders>
              <w:top w:val="single" w:color="auto" w:sz="4" w:space="0"/>
              <w:left w:val="single" w:color="auto" w:sz="4" w:space="0"/>
              <w:bottom w:val="single" w:color="auto" w:sz="4" w:space="0"/>
              <w:right w:val="single" w:color="auto" w:sz="4" w:space="0"/>
            </w:tcBorders>
            <w:vAlign w:val="center"/>
          </w:tcPr>
          <w:p w14:paraId="1EC331E2">
            <w:pPr>
              <w:spacing w:line="300" w:lineRule="exact"/>
              <w:ind w:firstLine="0" w:firstLineChars="0"/>
              <w:jc w:val="both"/>
              <w:rPr>
                <w:color w:val="auto"/>
                <w:sz w:val="21"/>
                <w:szCs w:val="21"/>
              </w:rPr>
            </w:pPr>
            <w:r>
              <w:rPr>
                <w:color w:val="auto"/>
                <w:sz w:val="21"/>
                <w:szCs w:val="21"/>
              </w:rPr>
              <w:t>封闭时间</w:t>
            </w:r>
          </w:p>
        </w:tc>
        <w:tc>
          <w:tcPr>
            <w:tcW w:w="1534" w:type="dxa"/>
            <w:tcBorders>
              <w:top w:val="single" w:color="auto" w:sz="4" w:space="0"/>
              <w:left w:val="single" w:color="auto" w:sz="4" w:space="0"/>
              <w:bottom w:val="single" w:color="auto" w:sz="4" w:space="0"/>
              <w:right w:val="single" w:color="auto" w:sz="4" w:space="0"/>
            </w:tcBorders>
            <w:vAlign w:val="center"/>
          </w:tcPr>
          <w:p w14:paraId="219E00AB">
            <w:pPr>
              <w:spacing w:line="300" w:lineRule="exact"/>
              <w:ind w:firstLine="0" w:firstLineChars="0"/>
              <w:jc w:val="both"/>
              <w:rPr>
                <w:color w:val="auto"/>
                <w:sz w:val="21"/>
                <w:szCs w:val="21"/>
              </w:rPr>
            </w:pPr>
            <w:r>
              <w:rPr>
                <w:color w:val="auto"/>
                <w:sz w:val="21"/>
                <w:szCs w:val="21"/>
              </w:rPr>
              <w:t>积水情况</w:t>
            </w:r>
          </w:p>
        </w:tc>
        <w:tc>
          <w:tcPr>
            <w:tcW w:w="747" w:type="dxa"/>
            <w:tcBorders>
              <w:top w:val="single" w:color="auto" w:sz="4" w:space="0"/>
              <w:left w:val="single" w:color="auto" w:sz="4" w:space="0"/>
              <w:bottom w:val="single" w:color="auto" w:sz="4" w:space="0"/>
              <w:right w:val="single" w:color="auto" w:sz="4" w:space="0"/>
            </w:tcBorders>
            <w:vAlign w:val="center"/>
          </w:tcPr>
          <w:p w14:paraId="7A294ABE">
            <w:pPr>
              <w:spacing w:line="300" w:lineRule="exact"/>
              <w:ind w:firstLine="0" w:firstLineChars="0"/>
              <w:jc w:val="both"/>
              <w:rPr>
                <w:color w:val="auto"/>
                <w:sz w:val="21"/>
                <w:szCs w:val="21"/>
              </w:rPr>
            </w:pPr>
            <w:r>
              <w:rPr>
                <w:color w:val="auto"/>
                <w:sz w:val="21"/>
                <w:szCs w:val="21"/>
              </w:rPr>
              <w:t>备注</w:t>
            </w:r>
          </w:p>
        </w:tc>
      </w:tr>
      <w:tr w14:paraId="19E1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vMerge w:val="restart"/>
            <w:tcBorders>
              <w:top w:val="single" w:color="auto" w:sz="4" w:space="0"/>
              <w:left w:val="single" w:color="auto" w:sz="4" w:space="0"/>
              <w:bottom w:val="single" w:color="auto" w:sz="4" w:space="0"/>
              <w:right w:val="single" w:color="auto" w:sz="4" w:space="0"/>
            </w:tcBorders>
            <w:vAlign w:val="center"/>
          </w:tcPr>
          <w:p w14:paraId="41E9AB84">
            <w:pPr>
              <w:spacing w:line="300" w:lineRule="exact"/>
              <w:ind w:firstLine="0" w:firstLineChars="0"/>
              <w:jc w:val="both"/>
              <w:rPr>
                <w:color w:val="auto"/>
                <w:sz w:val="21"/>
                <w:szCs w:val="21"/>
              </w:rPr>
            </w:pPr>
            <w:r>
              <w:rPr>
                <w:color w:val="auto"/>
                <w:sz w:val="21"/>
                <w:szCs w:val="21"/>
              </w:rPr>
              <w:t>废弃矿井</w:t>
            </w:r>
          </w:p>
        </w:tc>
        <w:tc>
          <w:tcPr>
            <w:tcW w:w="1812" w:type="dxa"/>
            <w:tcBorders>
              <w:top w:val="single" w:color="auto" w:sz="4" w:space="0"/>
              <w:left w:val="single" w:color="auto" w:sz="4" w:space="0"/>
              <w:bottom w:val="single" w:color="auto" w:sz="4" w:space="0"/>
              <w:right w:val="single" w:color="auto" w:sz="4" w:space="0"/>
            </w:tcBorders>
            <w:vAlign w:val="center"/>
          </w:tcPr>
          <w:p w14:paraId="461051DB">
            <w:pPr>
              <w:spacing w:line="300" w:lineRule="exact"/>
              <w:ind w:firstLine="0" w:firstLineChars="0"/>
              <w:jc w:val="both"/>
              <w:rPr>
                <w:color w:val="auto"/>
                <w:sz w:val="21"/>
                <w:szCs w:val="21"/>
              </w:rPr>
            </w:pPr>
            <w:r>
              <w:rPr>
                <w:color w:val="auto"/>
                <w:sz w:val="21"/>
                <w:szCs w:val="21"/>
              </w:rPr>
              <w:t>35线斜井（+270m~+320m）</w:t>
            </w:r>
          </w:p>
        </w:tc>
        <w:tc>
          <w:tcPr>
            <w:tcW w:w="1110" w:type="dxa"/>
            <w:tcBorders>
              <w:top w:val="single" w:color="auto" w:sz="4" w:space="0"/>
              <w:left w:val="single" w:color="auto" w:sz="4" w:space="0"/>
              <w:bottom w:val="single" w:color="auto" w:sz="4" w:space="0"/>
              <w:right w:val="single" w:color="auto" w:sz="4" w:space="0"/>
            </w:tcBorders>
            <w:vAlign w:val="center"/>
          </w:tcPr>
          <w:p w14:paraId="5790065A">
            <w:pPr>
              <w:spacing w:line="300" w:lineRule="exact"/>
              <w:ind w:firstLine="0" w:firstLineChars="0"/>
              <w:jc w:val="both"/>
              <w:rPr>
                <w:color w:val="auto"/>
                <w:sz w:val="21"/>
                <w:szCs w:val="21"/>
              </w:rPr>
            </w:pPr>
            <w:r>
              <w:rPr>
                <w:color w:val="auto"/>
                <w:sz w:val="21"/>
                <w:szCs w:val="21"/>
              </w:rPr>
              <w:t>已封闭</w:t>
            </w:r>
          </w:p>
        </w:tc>
        <w:tc>
          <w:tcPr>
            <w:tcW w:w="1260" w:type="dxa"/>
            <w:tcBorders>
              <w:top w:val="single" w:color="auto" w:sz="4" w:space="0"/>
              <w:left w:val="single" w:color="auto" w:sz="4" w:space="0"/>
              <w:bottom w:val="single" w:color="auto" w:sz="4" w:space="0"/>
              <w:right w:val="single" w:color="auto" w:sz="4" w:space="0"/>
            </w:tcBorders>
            <w:vAlign w:val="center"/>
          </w:tcPr>
          <w:p w14:paraId="0BAB04FA">
            <w:pPr>
              <w:spacing w:line="300" w:lineRule="exact"/>
              <w:ind w:firstLine="0" w:firstLineChars="0"/>
              <w:jc w:val="both"/>
              <w:rPr>
                <w:color w:val="auto"/>
                <w:sz w:val="21"/>
                <w:szCs w:val="21"/>
              </w:rPr>
            </w:pPr>
            <w:r>
              <w:rPr>
                <w:color w:val="auto"/>
                <w:sz w:val="21"/>
                <w:szCs w:val="21"/>
              </w:rPr>
              <w:t>废石封堵</w:t>
            </w:r>
          </w:p>
        </w:tc>
        <w:tc>
          <w:tcPr>
            <w:tcW w:w="1230" w:type="dxa"/>
            <w:tcBorders>
              <w:top w:val="single" w:color="auto" w:sz="4" w:space="0"/>
              <w:left w:val="single" w:color="auto" w:sz="4" w:space="0"/>
              <w:bottom w:val="single" w:color="auto" w:sz="4" w:space="0"/>
              <w:right w:val="single" w:color="auto" w:sz="4" w:space="0"/>
            </w:tcBorders>
            <w:vAlign w:val="center"/>
          </w:tcPr>
          <w:p w14:paraId="53285B4D">
            <w:pPr>
              <w:spacing w:line="300" w:lineRule="exact"/>
              <w:ind w:firstLine="0" w:firstLineChars="0"/>
              <w:jc w:val="both"/>
              <w:rPr>
                <w:color w:val="auto"/>
                <w:sz w:val="21"/>
                <w:szCs w:val="21"/>
              </w:rPr>
            </w:pPr>
            <w:r>
              <w:rPr>
                <w:color w:val="auto"/>
                <w:sz w:val="21"/>
                <w:szCs w:val="21"/>
              </w:rPr>
              <w:t>2019.6</w:t>
            </w:r>
          </w:p>
        </w:tc>
        <w:tc>
          <w:tcPr>
            <w:tcW w:w="1534" w:type="dxa"/>
            <w:tcBorders>
              <w:top w:val="single" w:color="auto" w:sz="4" w:space="0"/>
              <w:left w:val="single" w:color="auto" w:sz="4" w:space="0"/>
              <w:bottom w:val="single" w:color="auto" w:sz="4" w:space="0"/>
              <w:right w:val="single" w:color="auto" w:sz="4" w:space="0"/>
            </w:tcBorders>
            <w:vAlign w:val="center"/>
          </w:tcPr>
          <w:p w14:paraId="2B6FBB12">
            <w:pPr>
              <w:spacing w:line="300" w:lineRule="exact"/>
              <w:ind w:firstLine="0" w:firstLineChars="0"/>
              <w:jc w:val="both"/>
              <w:rPr>
                <w:color w:val="auto"/>
                <w:sz w:val="21"/>
                <w:szCs w:val="21"/>
              </w:rPr>
            </w:pPr>
            <w:r>
              <w:rPr>
                <w:color w:val="auto"/>
                <w:sz w:val="21"/>
                <w:szCs w:val="21"/>
              </w:rPr>
              <w:t>无积水</w:t>
            </w:r>
          </w:p>
        </w:tc>
        <w:tc>
          <w:tcPr>
            <w:tcW w:w="747" w:type="dxa"/>
            <w:tcBorders>
              <w:top w:val="single" w:color="auto" w:sz="4" w:space="0"/>
              <w:left w:val="single" w:color="auto" w:sz="4" w:space="0"/>
              <w:bottom w:val="single" w:color="auto" w:sz="4" w:space="0"/>
              <w:right w:val="single" w:color="auto" w:sz="4" w:space="0"/>
            </w:tcBorders>
            <w:vAlign w:val="center"/>
          </w:tcPr>
          <w:p w14:paraId="0A74A843">
            <w:pPr>
              <w:spacing w:line="300" w:lineRule="exact"/>
              <w:jc w:val="center"/>
              <w:rPr>
                <w:color w:val="auto"/>
                <w:sz w:val="21"/>
                <w:szCs w:val="21"/>
              </w:rPr>
            </w:pPr>
          </w:p>
        </w:tc>
      </w:tr>
      <w:tr w14:paraId="0A1F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2C0D6DDE">
            <w:pPr>
              <w:widowControl/>
              <w:spacing w:line="300" w:lineRule="exact"/>
              <w:jc w:val="left"/>
              <w:rPr>
                <w:color w:val="auto"/>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1B679253">
            <w:pPr>
              <w:spacing w:line="300" w:lineRule="exact"/>
              <w:ind w:firstLine="0" w:firstLineChars="0"/>
              <w:jc w:val="both"/>
              <w:rPr>
                <w:color w:val="auto"/>
                <w:sz w:val="21"/>
                <w:szCs w:val="21"/>
              </w:rPr>
            </w:pPr>
            <w:r>
              <w:rPr>
                <w:color w:val="auto"/>
                <w:sz w:val="21"/>
                <w:szCs w:val="21"/>
              </w:rPr>
              <w:t>4线回风井（+320m~地表）</w:t>
            </w:r>
          </w:p>
        </w:tc>
        <w:tc>
          <w:tcPr>
            <w:tcW w:w="1110" w:type="dxa"/>
            <w:tcBorders>
              <w:top w:val="single" w:color="auto" w:sz="4" w:space="0"/>
              <w:left w:val="single" w:color="auto" w:sz="4" w:space="0"/>
              <w:bottom w:val="single" w:color="auto" w:sz="4" w:space="0"/>
              <w:right w:val="single" w:color="auto" w:sz="4" w:space="0"/>
            </w:tcBorders>
            <w:vAlign w:val="center"/>
          </w:tcPr>
          <w:p w14:paraId="213AF07A">
            <w:pPr>
              <w:spacing w:line="300" w:lineRule="exact"/>
              <w:ind w:firstLine="0" w:firstLineChars="0"/>
              <w:jc w:val="both"/>
              <w:rPr>
                <w:color w:val="auto"/>
                <w:sz w:val="21"/>
                <w:szCs w:val="21"/>
              </w:rPr>
            </w:pPr>
            <w:r>
              <w:rPr>
                <w:color w:val="auto"/>
                <w:sz w:val="21"/>
                <w:szCs w:val="21"/>
              </w:rPr>
              <w:t>已封闭</w:t>
            </w:r>
          </w:p>
        </w:tc>
        <w:tc>
          <w:tcPr>
            <w:tcW w:w="1260" w:type="dxa"/>
            <w:tcBorders>
              <w:top w:val="single" w:color="auto" w:sz="4" w:space="0"/>
              <w:left w:val="single" w:color="auto" w:sz="4" w:space="0"/>
              <w:bottom w:val="single" w:color="auto" w:sz="4" w:space="0"/>
              <w:right w:val="single" w:color="auto" w:sz="4" w:space="0"/>
            </w:tcBorders>
            <w:vAlign w:val="center"/>
          </w:tcPr>
          <w:p w14:paraId="5303CFB8">
            <w:pPr>
              <w:spacing w:line="300" w:lineRule="exact"/>
              <w:ind w:firstLine="0" w:firstLineChars="0"/>
              <w:jc w:val="both"/>
              <w:rPr>
                <w:color w:val="auto"/>
                <w:sz w:val="21"/>
                <w:szCs w:val="21"/>
              </w:rPr>
            </w:pPr>
            <w:r>
              <w:rPr>
                <w:color w:val="auto"/>
                <w:sz w:val="21"/>
                <w:szCs w:val="21"/>
              </w:rPr>
              <w:t>废石封堵</w:t>
            </w:r>
          </w:p>
        </w:tc>
        <w:tc>
          <w:tcPr>
            <w:tcW w:w="1230" w:type="dxa"/>
            <w:tcBorders>
              <w:top w:val="single" w:color="auto" w:sz="4" w:space="0"/>
              <w:left w:val="single" w:color="auto" w:sz="4" w:space="0"/>
              <w:bottom w:val="single" w:color="auto" w:sz="4" w:space="0"/>
              <w:right w:val="single" w:color="auto" w:sz="4" w:space="0"/>
            </w:tcBorders>
            <w:vAlign w:val="center"/>
          </w:tcPr>
          <w:p w14:paraId="50C9EF1A">
            <w:pPr>
              <w:spacing w:line="300" w:lineRule="exact"/>
              <w:ind w:firstLine="0" w:firstLineChars="0"/>
              <w:jc w:val="both"/>
              <w:rPr>
                <w:color w:val="auto"/>
                <w:sz w:val="21"/>
                <w:szCs w:val="21"/>
              </w:rPr>
            </w:pPr>
            <w:r>
              <w:rPr>
                <w:color w:val="auto"/>
                <w:sz w:val="21"/>
                <w:szCs w:val="21"/>
              </w:rPr>
              <w:t>2012.8</w:t>
            </w:r>
          </w:p>
        </w:tc>
        <w:tc>
          <w:tcPr>
            <w:tcW w:w="1534" w:type="dxa"/>
            <w:tcBorders>
              <w:top w:val="single" w:color="auto" w:sz="4" w:space="0"/>
              <w:left w:val="single" w:color="auto" w:sz="4" w:space="0"/>
              <w:bottom w:val="single" w:color="auto" w:sz="4" w:space="0"/>
              <w:right w:val="single" w:color="auto" w:sz="4" w:space="0"/>
            </w:tcBorders>
            <w:vAlign w:val="center"/>
          </w:tcPr>
          <w:p w14:paraId="6B58BE53">
            <w:pPr>
              <w:spacing w:line="300" w:lineRule="exact"/>
              <w:ind w:firstLine="0" w:firstLineChars="0"/>
              <w:jc w:val="both"/>
              <w:rPr>
                <w:color w:val="auto"/>
                <w:sz w:val="21"/>
                <w:szCs w:val="21"/>
              </w:rPr>
            </w:pPr>
            <w:r>
              <w:rPr>
                <w:color w:val="auto"/>
                <w:sz w:val="21"/>
                <w:szCs w:val="21"/>
              </w:rPr>
              <w:t>无积水</w:t>
            </w:r>
          </w:p>
        </w:tc>
        <w:tc>
          <w:tcPr>
            <w:tcW w:w="747" w:type="dxa"/>
            <w:tcBorders>
              <w:top w:val="single" w:color="auto" w:sz="4" w:space="0"/>
              <w:left w:val="single" w:color="auto" w:sz="4" w:space="0"/>
              <w:bottom w:val="single" w:color="auto" w:sz="4" w:space="0"/>
              <w:right w:val="single" w:color="auto" w:sz="4" w:space="0"/>
            </w:tcBorders>
            <w:vAlign w:val="center"/>
          </w:tcPr>
          <w:p w14:paraId="37AB93AE">
            <w:pPr>
              <w:spacing w:line="300" w:lineRule="exact"/>
              <w:jc w:val="center"/>
              <w:rPr>
                <w:color w:val="auto"/>
                <w:sz w:val="21"/>
                <w:szCs w:val="21"/>
              </w:rPr>
            </w:pPr>
          </w:p>
        </w:tc>
      </w:tr>
      <w:tr w14:paraId="13CE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5859531F">
            <w:pPr>
              <w:spacing w:line="300" w:lineRule="exact"/>
              <w:ind w:firstLine="0" w:firstLineChars="0"/>
              <w:jc w:val="both"/>
              <w:rPr>
                <w:color w:val="auto"/>
                <w:sz w:val="21"/>
                <w:szCs w:val="21"/>
              </w:rPr>
            </w:pPr>
            <w:r>
              <w:rPr>
                <w:color w:val="auto"/>
                <w:sz w:val="21"/>
                <w:szCs w:val="21"/>
              </w:rPr>
              <w:t>废弃巷道</w:t>
            </w:r>
          </w:p>
        </w:tc>
        <w:tc>
          <w:tcPr>
            <w:tcW w:w="1812" w:type="dxa"/>
            <w:tcBorders>
              <w:top w:val="single" w:color="auto" w:sz="4" w:space="0"/>
              <w:left w:val="single" w:color="auto" w:sz="4" w:space="0"/>
              <w:bottom w:val="single" w:color="auto" w:sz="4" w:space="0"/>
              <w:right w:val="single" w:color="auto" w:sz="4" w:space="0"/>
            </w:tcBorders>
            <w:vAlign w:val="center"/>
          </w:tcPr>
          <w:p w14:paraId="4087D5C3">
            <w:pPr>
              <w:spacing w:line="300" w:lineRule="exact"/>
              <w:ind w:firstLine="0" w:firstLineChars="0"/>
              <w:jc w:val="both"/>
              <w:rPr>
                <w:color w:val="auto"/>
                <w:sz w:val="21"/>
                <w:szCs w:val="21"/>
              </w:rPr>
            </w:pPr>
            <w:r>
              <w:rPr>
                <w:color w:val="auto"/>
                <w:sz w:val="21"/>
                <w:szCs w:val="21"/>
              </w:rPr>
              <w:t>+390m平硐</w:t>
            </w:r>
          </w:p>
        </w:tc>
        <w:tc>
          <w:tcPr>
            <w:tcW w:w="1110" w:type="dxa"/>
            <w:tcBorders>
              <w:top w:val="single" w:color="auto" w:sz="4" w:space="0"/>
              <w:left w:val="single" w:color="auto" w:sz="4" w:space="0"/>
              <w:bottom w:val="single" w:color="auto" w:sz="4" w:space="0"/>
              <w:right w:val="single" w:color="auto" w:sz="4" w:space="0"/>
            </w:tcBorders>
            <w:vAlign w:val="center"/>
          </w:tcPr>
          <w:p w14:paraId="01E38A08">
            <w:pPr>
              <w:spacing w:line="300" w:lineRule="exact"/>
              <w:ind w:firstLine="0" w:firstLineChars="0"/>
              <w:jc w:val="both"/>
              <w:rPr>
                <w:color w:val="auto"/>
                <w:sz w:val="21"/>
                <w:szCs w:val="21"/>
              </w:rPr>
            </w:pPr>
            <w:r>
              <w:rPr>
                <w:color w:val="auto"/>
                <w:sz w:val="21"/>
                <w:szCs w:val="21"/>
              </w:rPr>
              <w:t>已封闭</w:t>
            </w:r>
          </w:p>
        </w:tc>
        <w:tc>
          <w:tcPr>
            <w:tcW w:w="1260" w:type="dxa"/>
            <w:tcBorders>
              <w:top w:val="single" w:color="auto" w:sz="4" w:space="0"/>
              <w:left w:val="single" w:color="auto" w:sz="4" w:space="0"/>
              <w:bottom w:val="single" w:color="auto" w:sz="4" w:space="0"/>
              <w:right w:val="single" w:color="auto" w:sz="4" w:space="0"/>
            </w:tcBorders>
            <w:vAlign w:val="center"/>
          </w:tcPr>
          <w:p w14:paraId="3D77DEE7">
            <w:pPr>
              <w:spacing w:line="300" w:lineRule="exact"/>
              <w:ind w:firstLine="0" w:firstLineChars="0"/>
              <w:jc w:val="both"/>
              <w:rPr>
                <w:color w:val="auto"/>
                <w:sz w:val="21"/>
                <w:szCs w:val="21"/>
              </w:rPr>
            </w:pPr>
            <w:r>
              <w:rPr>
                <w:color w:val="auto"/>
                <w:sz w:val="21"/>
                <w:szCs w:val="21"/>
              </w:rPr>
              <w:t>封闭墙</w:t>
            </w:r>
          </w:p>
        </w:tc>
        <w:tc>
          <w:tcPr>
            <w:tcW w:w="1230" w:type="dxa"/>
            <w:tcBorders>
              <w:top w:val="single" w:color="auto" w:sz="4" w:space="0"/>
              <w:left w:val="single" w:color="auto" w:sz="4" w:space="0"/>
              <w:bottom w:val="single" w:color="auto" w:sz="4" w:space="0"/>
              <w:right w:val="single" w:color="auto" w:sz="4" w:space="0"/>
            </w:tcBorders>
            <w:vAlign w:val="center"/>
          </w:tcPr>
          <w:p w14:paraId="5AA12025">
            <w:pPr>
              <w:spacing w:line="300" w:lineRule="exact"/>
              <w:ind w:firstLine="0" w:firstLineChars="0"/>
              <w:jc w:val="both"/>
              <w:rPr>
                <w:color w:val="auto"/>
                <w:sz w:val="21"/>
                <w:szCs w:val="21"/>
              </w:rPr>
            </w:pPr>
            <w:r>
              <w:rPr>
                <w:color w:val="auto"/>
                <w:sz w:val="21"/>
                <w:szCs w:val="21"/>
              </w:rPr>
              <w:t>2014.5</w:t>
            </w:r>
          </w:p>
        </w:tc>
        <w:tc>
          <w:tcPr>
            <w:tcW w:w="1534" w:type="dxa"/>
            <w:tcBorders>
              <w:top w:val="single" w:color="auto" w:sz="4" w:space="0"/>
              <w:left w:val="single" w:color="auto" w:sz="4" w:space="0"/>
              <w:bottom w:val="single" w:color="auto" w:sz="4" w:space="0"/>
              <w:right w:val="single" w:color="auto" w:sz="4" w:space="0"/>
            </w:tcBorders>
            <w:vAlign w:val="center"/>
          </w:tcPr>
          <w:p w14:paraId="5236A0EE">
            <w:pPr>
              <w:spacing w:line="300" w:lineRule="exact"/>
              <w:ind w:firstLine="0" w:firstLineChars="0"/>
              <w:jc w:val="both"/>
              <w:rPr>
                <w:color w:val="auto"/>
                <w:sz w:val="21"/>
                <w:szCs w:val="21"/>
              </w:rPr>
            </w:pPr>
            <w:r>
              <w:rPr>
                <w:color w:val="auto"/>
                <w:sz w:val="21"/>
                <w:szCs w:val="21"/>
              </w:rPr>
              <w:t>有少量积水，经自流排出</w:t>
            </w:r>
          </w:p>
        </w:tc>
        <w:tc>
          <w:tcPr>
            <w:tcW w:w="747" w:type="dxa"/>
            <w:tcBorders>
              <w:top w:val="single" w:color="auto" w:sz="4" w:space="0"/>
              <w:left w:val="single" w:color="auto" w:sz="4" w:space="0"/>
              <w:bottom w:val="single" w:color="auto" w:sz="4" w:space="0"/>
              <w:right w:val="single" w:color="auto" w:sz="4" w:space="0"/>
            </w:tcBorders>
            <w:vAlign w:val="center"/>
          </w:tcPr>
          <w:p w14:paraId="4F2AD6AA">
            <w:pPr>
              <w:spacing w:line="300" w:lineRule="exact"/>
              <w:jc w:val="center"/>
              <w:rPr>
                <w:color w:val="auto"/>
                <w:sz w:val="21"/>
                <w:szCs w:val="21"/>
              </w:rPr>
            </w:pPr>
          </w:p>
        </w:tc>
      </w:tr>
    </w:tbl>
    <w:p w14:paraId="1E962DC2">
      <w:pPr>
        <w:bidi w:val="0"/>
        <w:rPr>
          <w:color w:val="auto"/>
        </w:rPr>
      </w:pPr>
      <w:r>
        <w:rPr>
          <w:color w:val="auto"/>
        </w:rPr>
        <w:t>（</w:t>
      </w:r>
      <w:r>
        <w:rPr>
          <w:rFonts w:hint="default"/>
          <w:color w:val="auto"/>
          <w:lang w:val="en-US" w:eastAsia="zh-CN"/>
        </w:rPr>
        <w:t>3</w:t>
      </w:r>
      <w:r>
        <w:rPr>
          <w:color w:val="auto"/>
        </w:rPr>
        <w:t>）普查结论</w:t>
      </w:r>
    </w:p>
    <w:p w14:paraId="4854AF93">
      <w:pPr>
        <w:bidi w:val="0"/>
        <w:rPr>
          <w:color w:val="auto"/>
        </w:rPr>
      </w:pPr>
      <w:r>
        <w:rPr>
          <w:color w:val="auto"/>
        </w:rPr>
        <w:t>据早期资料显示本矿区存在106处民采坑道，经2009年储量核实报告勘探工作现已探明27处民采坑道和3处露采区，形成时间距今不少于20年，并未出现相关不良地质灾害；矿区生产期的废弃矿井均已得到有效的封闭措施，效果良好。但是仍存在来自于地表塌陷、裂隙水汇聚等安全隐患，矿山应加强这些方面的防治措施。</w:t>
      </w:r>
    </w:p>
    <w:p w14:paraId="2378AAA1">
      <w:pPr>
        <w:bidi w:val="0"/>
        <w:rPr>
          <w:color w:val="auto"/>
        </w:rPr>
      </w:pPr>
      <w:r>
        <w:rPr>
          <w:rFonts w:hint="default"/>
          <w:color w:val="auto"/>
          <w:lang w:val="en-US" w:eastAsia="zh-CN"/>
        </w:rPr>
        <w:t>3）</w:t>
      </w:r>
      <w:r>
        <w:rPr>
          <w:color w:val="auto"/>
        </w:rPr>
        <w:t>采空区风险分析与评估</w:t>
      </w:r>
    </w:p>
    <w:p w14:paraId="475C4ECE">
      <w:pPr>
        <w:bidi w:val="0"/>
        <w:rPr>
          <w:color w:val="auto"/>
        </w:rPr>
      </w:pPr>
      <w:r>
        <w:rPr>
          <w:rFonts w:hint="default"/>
          <w:color w:val="auto"/>
          <w:lang w:eastAsia="zh-CN"/>
        </w:rPr>
        <w:t>（</w:t>
      </w:r>
      <w:r>
        <w:rPr>
          <w:rFonts w:hint="default"/>
          <w:color w:val="auto"/>
          <w:lang w:val="en-US" w:eastAsia="zh-CN"/>
        </w:rPr>
        <w:t>1</w:t>
      </w:r>
      <w:r>
        <w:rPr>
          <w:rFonts w:hint="default"/>
          <w:color w:val="auto"/>
          <w:lang w:eastAsia="zh-CN"/>
        </w:rPr>
        <w:t>）</w:t>
      </w:r>
      <w:r>
        <w:rPr>
          <w:color w:val="auto"/>
        </w:rPr>
        <w:t>采空区风险分析与评估</w:t>
      </w:r>
    </w:p>
    <w:p w14:paraId="17A63C86">
      <w:pPr>
        <w:keepNext w:val="0"/>
        <w:keepLines w:val="0"/>
        <w:pageBreakBefore w:val="0"/>
        <w:widowControl w:val="0"/>
        <w:kinsoku w:val="0"/>
        <w:wordWrap/>
        <w:overflowPunct/>
        <w:topLinePunct w:val="0"/>
        <w:autoSpaceDE/>
        <w:autoSpaceDN/>
        <w:bidi w:val="0"/>
        <w:adjustRightInd w:val="0"/>
        <w:snapToGrid w:val="0"/>
        <w:textAlignment w:val="baseline"/>
        <w:rPr>
          <w:color w:val="auto"/>
        </w:rPr>
      </w:pPr>
      <w:r>
        <w:rPr>
          <w:color w:val="auto"/>
        </w:rPr>
        <w:t>该矿山为急倾斜矿体，矿体倾角在56°~65°间，矿体平均厚度1.12m，实测范围内的采空区距离地表均在50m以上，矿山开采后对矿区的地表环境影响不大；采空区地压活动不明显，对矿井安全生产影响较小。且该矿山地表主要为林地，地表错动范围之内无需要保护的重要建筑物，地表允许一定范围内的塌陷。</w:t>
      </w:r>
    </w:p>
    <w:p w14:paraId="479FFD0F">
      <w:pPr>
        <w:keepNext w:val="0"/>
        <w:keepLines w:val="0"/>
        <w:pageBreakBefore w:val="0"/>
        <w:widowControl w:val="0"/>
        <w:kinsoku w:val="0"/>
        <w:wordWrap/>
        <w:overflowPunct/>
        <w:topLinePunct w:val="0"/>
        <w:autoSpaceDE/>
        <w:autoSpaceDN/>
        <w:bidi w:val="0"/>
        <w:adjustRightInd w:val="0"/>
        <w:snapToGrid w:val="0"/>
        <w:textAlignment w:val="baseline"/>
        <w:rPr>
          <w:rFonts w:hint="default"/>
          <w:color w:val="auto"/>
        </w:rPr>
      </w:pPr>
      <w:r>
        <w:rPr>
          <w:color w:val="auto"/>
        </w:rPr>
        <w:t>估算整体采空区总体积约为4.83万m³，岩石稳定性较好。据开采现状及开采技术条件，结合矿山现阶段的技术经济力量，矿山采用封闭隔离法处理采空区，采取的措施基本安全可靠，能够满足安全生产的要求。</w:t>
      </w:r>
    </w:p>
    <w:p w14:paraId="69E6AA46">
      <w:pPr>
        <w:keepNext w:val="0"/>
        <w:keepLines w:val="0"/>
        <w:pageBreakBefore w:val="0"/>
        <w:widowControl w:val="0"/>
        <w:kinsoku w:val="0"/>
        <w:wordWrap/>
        <w:overflowPunct/>
        <w:topLinePunct w:val="0"/>
        <w:autoSpaceDE/>
        <w:autoSpaceDN/>
        <w:bidi w:val="0"/>
        <w:adjustRightInd w:val="0"/>
        <w:snapToGrid w:val="0"/>
        <w:textAlignment w:val="baseline"/>
        <w:rPr>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color w:val="auto"/>
        </w:rPr>
        <w:t>废弃矿井（井筒）风险分析与评估</w:t>
      </w:r>
    </w:p>
    <w:p w14:paraId="5757FAF9">
      <w:pPr>
        <w:bidi w:val="0"/>
        <w:rPr>
          <w:color w:val="auto"/>
        </w:rPr>
      </w:pPr>
      <w:r>
        <w:rPr>
          <w:color w:val="auto"/>
        </w:rPr>
        <w:t>废弃民采坑道因历史久远、早已形成塌陷和植被覆盖等原因，仅根据矿山提供的有限资料和实地调查作为风险分析评估，民采坑道及露采采区已恢复治理，未发现相关地质灾害；废弃矿井封闭处理情况较好，经实地观察发现并无积水，也未发现有毒气体泄露情况；标高+370m及以上残留矿体全部作为保安矿柱用以支撑地压，且支撑作用良好，暂未出现地表塌陷、冒顶片帮等现象。</w:t>
      </w:r>
    </w:p>
    <w:p w14:paraId="1F0C6295">
      <w:pPr>
        <w:bidi w:val="0"/>
        <w:rPr>
          <w:color w:val="auto"/>
        </w:rPr>
      </w:pPr>
      <w:r>
        <w:rPr>
          <w:rFonts w:hint="default"/>
          <w:color w:val="auto"/>
          <w:lang w:val="en-US" w:eastAsia="zh-CN"/>
        </w:rPr>
        <w:t>4）</w:t>
      </w:r>
      <w:r>
        <w:rPr>
          <w:color w:val="auto"/>
        </w:rPr>
        <w:t>采空区致灾因素治理措施</w:t>
      </w:r>
    </w:p>
    <w:p w14:paraId="59E7E895">
      <w:pPr>
        <w:bidi w:val="0"/>
        <w:rPr>
          <w:color w:val="auto"/>
        </w:rPr>
      </w:pPr>
      <w:r>
        <w:rPr>
          <w:rFonts w:hint="default"/>
          <w:color w:val="auto"/>
          <w:lang w:eastAsia="zh-CN"/>
        </w:rPr>
        <w:t>（</w:t>
      </w:r>
      <w:r>
        <w:rPr>
          <w:rFonts w:hint="default"/>
          <w:color w:val="auto"/>
          <w:lang w:val="en-US" w:eastAsia="zh-CN"/>
        </w:rPr>
        <w:t>1</w:t>
      </w:r>
      <w:r>
        <w:rPr>
          <w:rFonts w:hint="default"/>
          <w:color w:val="auto"/>
          <w:lang w:eastAsia="zh-CN"/>
        </w:rPr>
        <w:t>）</w:t>
      </w:r>
      <w:r>
        <w:rPr>
          <w:color w:val="auto"/>
        </w:rPr>
        <w:t>采空区治理措施</w:t>
      </w:r>
    </w:p>
    <w:p w14:paraId="1DBB4B3B">
      <w:pPr>
        <w:bidi w:val="0"/>
        <w:rPr>
          <w:rFonts w:hint="eastAsia"/>
          <w:color w:val="auto"/>
          <w:lang w:eastAsia="zh-CN"/>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永久性矿柱或人工矿柱支护采空区</w:t>
      </w:r>
      <w:r>
        <w:rPr>
          <w:rFonts w:hint="eastAsia"/>
          <w:color w:val="auto"/>
          <w:lang w:eastAsia="zh-CN"/>
        </w:rPr>
        <w:t>。</w:t>
      </w:r>
    </w:p>
    <w:p w14:paraId="197F7701">
      <w:pPr>
        <w:bidi w:val="0"/>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封闭和隔离采空区</w:t>
      </w:r>
      <w:r>
        <w:rPr>
          <w:rFonts w:hint="default"/>
          <w:color w:val="auto"/>
          <w:lang w:eastAsia="zh-CN"/>
        </w:rPr>
        <w:t>，</w:t>
      </w:r>
      <w:r>
        <w:rPr>
          <w:color w:val="auto"/>
        </w:rPr>
        <w:t>井下在通往采空区废弃巷道设置密闭墙和警示牌，防止人员误入采空区，减少安全隐患。</w:t>
      </w:r>
    </w:p>
    <w:p w14:paraId="44EA416E">
      <w:pPr>
        <w:bidi w:val="0"/>
        <w:rPr>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color w:val="auto"/>
        </w:rPr>
        <w:t>废弃矿井（井筒）治理措施</w:t>
      </w:r>
    </w:p>
    <w:p w14:paraId="3658BABD">
      <w:pPr>
        <w:bidi w:val="0"/>
        <w:rPr>
          <w:rFonts w:hint="eastAsia"/>
          <w:color w:val="auto"/>
          <w:lang w:eastAsia="zh-CN"/>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茅排金矿民采较多，且在矿体留下较多老窿，为保证矿区下部开采安全，将+370m标高以上留做保安矿柱，保安矿柱矿石量约15.28kt</w:t>
      </w:r>
      <w:r>
        <w:rPr>
          <w:rFonts w:hint="eastAsia"/>
          <w:color w:val="auto"/>
          <w:lang w:eastAsia="zh-CN"/>
        </w:rPr>
        <w:t>。</w:t>
      </w:r>
    </w:p>
    <w:p w14:paraId="6B35A3B9">
      <w:pPr>
        <w:bidi w:val="0"/>
        <w:rPr>
          <w:rFonts w:hint="eastAsia"/>
          <w:color w:val="auto"/>
          <w:lang w:eastAsia="zh-CN"/>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对民采区进行定期观测，对可能出现塌陷的区域设警界圈，警界圈用钢丝网围栏围护，围栏高度1200mm</w:t>
      </w:r>
      <w:r>
        <w:rPr>
          <w:rFonts w:hint="default"/>
          <w:color w:val="auto"/>
          <w:lang w:eastAsia="zh-CN"/>
        </w:rPr>
        <w:t>。</w:t>
      </w:r>
    </w:p>
    <w:p w14:paraId="69F9B626">
      <w:pPr>
        <w:bidi w:val="0"/>
        <w:rPr>
          <w:color w:val="auto"/>
        </w:rPr>
      </w:pP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r>
        <w:rPr>
          <w:color w:val="auto"/>
        </w:rPr>
        <w:t>定期观测已封闭的废弃矿井（井筒），雨季维护排水系统，防止出现大面积积水的现象。</w:t>
      </w:r>
    </w:p>
    <w:p w14:paraId="7A5106B5">
      <w:pPr>
        <w:pStyle w:val="4"/>
        <w:bidi w:val="0"/>
        <w:rPr>
          <w:rFonts w:hint="eastAsia"/>
          <w:color w:val="auto"/>
        </w:rPr>
      </w:pPr>
      <w:bookmarkStart w:id="502" w:name="_Toc28220"/>
      <w:r>
        <w:rPr>
          <w:rFonts w:hint="eastAsia"/>
          <w:color w:val="auto"/>
          <w:lang w:val="en-US" w:eastAsia="zh-CN"/>
        </w:rPr>
        <w:t xml:space="preserve">2.12.3 </w:t>
      </w:r>
      <w:r>
        <w:rPr>
          <w:rFonts w:hint="eastAsia"/>
          <w:color w:val="auto"/>
        </w:rPr>
        <w:t>水文地质致灾因素普查治理</w:t>
      </w:r>
      <w:bookmarkEnd w:id="502"/>
    </w:p>
    <w:p w14:paraId="078EE26B">
      <w:pPr>
        <w:bidi w:val="0"/>
        <w:rPr>
          <w:color w:val="auto"/>
        </w:rPr>
      </w:pPr>
      <w:r>
        <w:rPr>
          <w:rFonts w:hint="default"/>
          <w:color w:val="auto"/>
          <w:lang w:val="en-US" w:eastAsia="zh-CN"/>
        </w:rPr>
        <w:t>1）</w:t>
      </w:r>
      <w:r>
        <w:rPr>
          <w:color w:val="auto"/>
        </w:rPr>
        <w:t>水文地质致灾因素普查</w:t>
      </w:r>
    </w:p>
    <w:p w14:paraId="577F12BB">
      <w:pPr>
        <w:bidi w:val="0"/>
        <w:rPr>
          <w:color w:val="auto"/>
        </w:rPr>
      </w:pPr>
      <w:r>
        <w:rPr>
          <w:rFonts w:hint="default"/>
          <w:color w:val="auto"/>
          <w:lang w:eastAsia="zh-CN"/>
        </w:rPr>
        <w:t>（</w:t>
      </w:r>
      <w:r>
        <w:rPr>
          <w:rFonts w:hint="default"/>
          <w:color w:val="auto"/>
          <w:lang w:val="en-US" w:eastAsia="zh-CN"/>
        </w:rPr>
        <w:t>1</w:t>
      </w:r>
      <w:r>
        <w:rPr>
          <w:rFonts w:hint="default"/>
          <w:color w:val="auto"/>
          <w:lang w:eastAsia="zh-CN"/>
        </w:rPr>
        <w:t>）</w:t>
      </w:r>
      <w:r>
        <w:rPr>
          <w:color w:val="auto"/>
        </w:rPr>
        <w:t>地下含水体</w:t>
      </w:r>
    </w:p>
    <w:p w14:paraId="6214629B">
      <w:pPr>
        <w:bidi w:val="0"/>
        <w:rPr>
          <w:color w:val="auto"/>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含水层</w:t>
      </w:r>
    </w:p>
    <w:p w14:paraId="738D3A08">
      <w:pPr>
        <w:bidi w:val="0"/>
        <w:rPr>
          <w:color w:val="auto"/>
        </w:rPr>
      </w:pPr>
      <w:r>
        <w:rPr>
          <w:color w:val="auto"/>
        </w:rPr>
        <w:t>矿区地下含水层可分为第四系坡、冲积孔隙含水层，周潭群变质岩类风化裂隙及构造裂隙含水层，侵入岩类风化裂隙含水层。风化裂隙含水层含水性既受岩石风化程度、裂隙发育程度及充填情况影响，又受季节影响，总体富水性是弱的。</w:t>
      </w:r>
    </w:p>
    <w:p w14:paraId="578EEFD0">
      <w:pPr>
        <w:bidi w:val="0"/>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隔水层</w:t>
      </w:r>
    </w:p>
    <w:p w14:paraId="35D8F7DA">
      <w:pPr>
        <w:bidi w:val="0"/>
        <w:rPr>
          <w:color w:val="auto"/>
        </w:rPr>
      </w:pPr>
      <w:r>
        <w:rPr>
          <w:color w:val="auto"/>
        </w:rPr>
        <w:t>震旦系周潭群变质岩类风化裂隙及构造裂隙含水层、侵入岩类风化裂隙含水层，其隔水底板主要为新鲜云母片岩、变质岩、混合岩、侵入岩脉等，裂隙极不以育，联通性极差，隔水性及稳定性好。构造裂隙含水层（段）其隔水层为不含水的顶、底板，岩性为云母岩、片麻岩、混合岩及侵入岩脉，产状与含水层产状基本一致，隔水性能良好，稳定性也较好。</w:t>
      </w:r>
    </w:p>
    <w:p w14:paraId="5B9D6CC7">
      <w:pPr>
        <w:bidi w:val="0"/>
        <w:rPr>
          <w:color w:val="auto"/>
        </w:rPr>
      </w:pP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r>
        <w:rPr>
          <w:color w:val="auto"/>
        </w:rPr>
        <w:t>含水层与矿层关系</w:t>
      </w:r>
    </w:p>
    <w:p w14:paraId="24025581">
      <w:pPr>
        <w:bidi w:val="0"/>
        <w:rPr>
          <w:color w:val="auto"/>
        </w:rPr>
      </w:pPr>
      <w:r>
        <w:rPr>
          <w:color w:val="auto"/>
        </w:rPr>
        <w:t>矿区风化裂隙含水层发育于近地表，与矿层关系不大。空间上，两者相互交错，无明确上、下关系，形态呈脉状、透镜状。</w:t>
      </w:r>
    </w:p>
    <w:p w14:paraId="55189151">
      <w:pPr>
        <w:bidi w:val="0"/>
        <w:rPr>
          <w:color w:val="auto"/>
        </w:rPr>
      </w:pPr>
      <w:r>
        <w:rPr>
          <w:color w:val="auto"/>
        </w:rPr>
        <w:fldChar w:fldCharType="begin"/>
      </w:r>
      <w:r>
        <w:rPr>
          <w:color w:val="auto"/>
        </w:rPr>
        <w:instrText xml:space="preserve"> = 4 \* GB3 \* MERGEFORMAT </w:instrText>
      </w:r>
      <w:r>
        <w:rPr>
          <w:color w:val="auto"/>
        </w:rPr>
        <w:fldChar w:fldCharType="separate"/>
      </w:r>
      <w:r>
        <w:rPr>
          <w:color w:val="auto"/>
        </w:rPr>
        <w:t>④</w:t>
      </w:r>
      <w:r>
        <w:rPr>
          <w:color w:val="auto"/>
        </w:rPr>
        <w:fldChar w:fldCharType="end"/>
      </w:r>
      <w:r>
        <w:rPr>
          <w:color w:val="auto"/>
        </w:rPr>
        <w:t>矿区地下水补给、迳流、排泄条件</w:t>
      </w:r>
    </w:p>
    <w:p w14:paraId="0679F064">
      <w:pPr>
        <w:bidi w:val="0"/>
        <w:rPr>
          <w:color w:val="auto"/>
        </w:rPr>
      </w:pPr>
      <w:r>
        <w:rPr>
          <w:color w:val="auto"/>
        </w:rPr>
        <w:t>矿区为丘陵地貌，北东—南西走向，中间高两侧低，最高点474.9m，相对高差约300m，山势较陡，坡度35°-50°。水文地质单元为补给区。大气降水为地表水、地下水主要补给源，并以矿床所在位置为轴线向两侧分流，其中地下水在山脚或沟谷低洼部位，多以泉水形式出路地表，向东向西分别汇入茅排小溪和梨溪。总体看，地下水迳流距离短，排泄快，不利于地下水富集为其特征点。</w:t>
      </w:r>
    </w:p>
    <w:p w14:paraId="77884211">
      <w:pPr>
        <w:bidi w:val="0"/>
        <w:rPr>
          <w:color w:val="auto"/>
        </w:rPr>
      </w:pPr>
      <w:r>
        <w:rPr>
          <w:color w:val="auto"/>
        </w:rPr>
        <w:fldChar w:fldCharType="begin"/>
      </w:r>
      <w:r>
        <w:rPr>
          <w:color w:val="auto"/>
        </w:rPr>
        <w:instrText xml:space="preserve"> = 5 \* GB3 \* MERGEFORMAT </w:instrText>
      </w:r>
      <w:r>
        <w:rPr>
          <w:color w:val="auto"/>
        </w:rPr>
        <w:fldChar w:fldCharType="separate"/>
      </w:r>
      <w:r>
        <w:rPr>
          <w:color w:val="auto"/>
        </w:rPr>
        <w:t>⑤</w:t>
      </w:r>
      <w:r>
        <w:rPr>
          <w:color w:val="auto"/>
        </w:rPr>
        <w:fldChar w:fldCharType="end"/>
      </w:r>
      <w:r>
        <w:rPr>
          <w:color w:val="auto"/>
        </w:rPr>
        <w:t>岩溶</w:t>
      </w:r>
    </w:p>
    <w:p w14:paraId="276197D1">
      <w:pPr>
        <w:bidi w:val="0"/>
        <w:rPr>
          <w:color w:val="auto"/>
        </w:rPr>
      </w:pPr>
      <w:r>
        <w:rPr>
          <w:color w:val="auto"/>
        </w:rPr>
        <w:t>地层岩性较复杂，构造较发育岩体风化弱至中等，岩溶不发育。</w:t>
      </w:r>
    </w:p>
    <w:p w14:paraId="23111F58">
      <w:pPr>
        <w:bidi w:val="0"/>
        <w:rPr>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color w:val="auto"/>
        </w:rPr>
        <w:t>地表水体</w:t>
      </w:r>
    </w:p>
    <w:p w14:paraId="411FF3E4">
      <w:pPr>
        <w:bidi w:val="0"/>
        <w:rPr>
          <w:color w:val="auto"/>
        </w:rPr>
      </w:pPr>
      <w:r>
        <w:rPr>
          <w:color w:val="auto"/>
        </w:rPr>
        <w:t>矿区范围内无地表水体。</w:t>
      </w:r>
    </w:p>
    <w:p w14:paraId="1EC423AB">
      <w:pPr>
        <w:bidi w:val="0"/>
        <w:rPr>
          <w:color w:val="auto"/>
        </w:rPr>
      </w:pPr>
      <w:r>
        <w:rPr>
          <w:rFonts w:hint="default"/>
          <w:color w:val="auto"/>
          <w:lang w:eastAsia="zh-CN"/>
        </w:rPr>
        <w:t>（</w:t>
      </w:r>
      <w:r>
        <w:rPr>
          <w:rFonts w:hint="default"/>
          <w:color w:val="auto"/>
          <w:lang w:val="en-US" w:eastAsia="zh-CN"/>
        </w:rPr>
        <w:t>3</w:t>
      </w:r>
      <w:r>
        <w:rPr>
          <w:rFonts w:hint="default"/>
          <w:color w:val="auto"/>
          <w:lang w:eastAsia="zh-CN"/>
        </w:rPr>
        <w:t>）</w:t>
      </w:r>
      <w:r>
        <w:rPr>
          <w:color w:val="auto"/>
        </w:rPr>
        <w:t>封闭不良钻孔</w:t>
      </w:r>
    </w:p>
    <w:p w14:paraId="0A0A75B0">
      <w:pPr>
        <w:bidi w:val="0"/>
        <w:rPr>
          <w:color w:val="auto"/>
        </w:rPr>
      </w:pPr>
      <w:r>
        <w:rPr>
          <w:color w:val="auto"/>
        </w:rPr>
        <w:t>钻孔来源均来自于地质勘探钻取，根据核工业华东地质勘探局二六五大队于1991年12月~1993年8月对茅排金矿20~55号勘探线40m标高以上地段进行勘查工作，勘察过程中共施工132个机械钻孔以及40个水文地质抽水试验钻孔。</w:t>
      </w:r>
    </w:p>
    <w:p w14:paraId="64B70D01">
      <w:pPr>
        <w:bidi w:val="0"/>
        <w:rPr>
          <w:color w:val="auto"/>
        </w:rPr>
      </w:pPr>
      <w:r>
        <w:rPr>
          <w:color w:val="auto"/>
        </w:rPr>
        <w:t>由于钻孔形成时间太久，现场已不可查，根据物探报告显示，浅层矿部并无显现大区域的含水裂隙带，仅27号勘探线上标高在332.1m～343.6m之间</w:t>
      </w:r>
      <w:r>
        <w:rPr>
          <w:rFonts w:hint="eastAsia"/>
          <w:color w:val="auto"/>
          <w:lang w:val="en-US" w:eastAsia="zh-CN"/>
        </w:rPr>
        <w:t>小范围</w:t>
      </w:r>
      <w:r>
        <w:rPr>
          <w:color w:val="auto"/>
        </w:rPr>
        <w:t>采空区富水性一般，其余区域富水性弱。</w:t>
      </w:r>
    </w:p>
    <w:p w14:paraId="4B239F9C">
      <w:pPr>
        <w:bidi w:val="0"/>
        <w:rPr>
          <w:color w:val="auto"/>
        </w:rPr>
      </w:pPr>
      <w:r>
        <w:rPr>
          <w:rFonts w:hint="default"/>
          <w:color w:val="auto"/>
          <w:lang w:val="en-US" w:eastAsia="zh-CN"/>
        </w:rPr>
        <w:t>2）</w:t>
      </w:r>
      <w:r>
        <w:rPr>
          <w:color w:val="auto"/>
        </w:rPr>
        <w:t>地下含水体治理措施</w:t>
      </w:r>
    </w:p>
    <w:p w14:paraId="43C81999">
      <w:pPr>
        <w:bidi w:val="0"/>
        <w:rPr>
          <w:color w:val="auto"/>
        </w:rPr>
      </w:pPr>
      <w:r>
        <w:rPr>
          <w:color w:val="auto"/>
        </w:rPr>
        <w:t>（1）矿井防水措施</w:t>
      </w:r>
    </w:p>
    <w:p w14:paraId="4BD2AC87">
      <w:pPr>
        <w:bidi w:val="0"/>
        <w:rPr>
          <w:color w:val="auto"/>
        </w:rPr>
      </w:pPr>
      <w:r>
        <w:rPr>
          <w:color w:val="auto"/>
        </w:rPr>
        <w:t>井下水防治措施可概括为6个字，即“查、测、探、放、截、堵”。应坚持先易后难先近后远、先地面后井下、先重点后一般、地面与井下相结合、重点与一般相结合的原则。</w:t>
      </w:r>
    </w:p>
    <w:p w14:paraId="5548C4C7">
      <w:pPr>
        <w:bidi w:val="0"/>
        <w:rPr>
          <w:color w:val="auto"/>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查，即查明水源和通道。</w:t>
      </w:r>
    </w:p>
    <w:p w14:paraId="7D3F14A6">
      <w:pPr>
        <w:bidi w:val="0"/>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测，即做好水文观测工作。</w:t>
      </w:r>
    </w:p>
    <w:p w14:paraId="3A29E816">
      <w:pPr>
        <w:bidi w:val="0"/>
        <w:rPr>
          <w:color w:val="auto"/>
        </w:rPr>
      </w:pP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r>
        <w:rPr>
          <w:color w:val="auto"/>
        </w:rPr>
        <w:t>探，即井下探水。坚持“有疑必探，先探后掘”的探防水原则。</w:t>
      </w:r>
    </w:p>
    <w:p w14:paraId="2BCE5EB6">
      <w:pPr>
        <w:bidi w:val="0"/>
        <w:rPr>
          <w:color w:val="auto"/>
        </w:rPr>
      </w:pPr>
      <w:r>
        <w:rPr>
          <w:color w:val="auto"/>
        </w:rPr>
        <w:fldChar w:fldCharType="begin"/>
      </w:r>
      <w:r>
        <w:rPr>
          <w:color w:val="auto"/>
        </w:rPr>
        <w:instrText xml:space="preserve"> = 4 \* GB3 \* MERGEFORMAT </w:instrText>
      </w:r>
      <w:r>
        <w:rPr>
          <w:color w:val="auto"/>
        </w:rPr>
        <w:fldChar w:fldCharType="separate"/>
      </w:r>
      <w:r>
        <w:rPr>
          <w:color w:val="auto"/>
        </w:rPr>
        <w:t>④</w:t>
      </w:r>
      <w:r>
        <w:rPr>
          <w:color w:val="auto"/>
        </w:rPr>
        <w:fldChar w:fldCharType="end"/>
      </w:r>
      <w:r>
        <w:rPr>
          <w:color w:val="auto"/>
        </w:rPr>
        <w:t>放，即疏放水。疏放水就是在探明矿井水源之后，根据水源类型采取不同的疏放水方法，有计划、有准备地将威胁矿井安全生产的水源疏放干，它是防止矿井水灾最积极、最有效的措施之一。</w:t>
      </w:r>
    </w:p>
    <w:p w14:paraId="020D9C88">
      <w:pPr>
        <w:bidi w:val="0"/>
        <w:rPr>
          <w:color w:val="auto"/>
        </w:rPr>
      </w:pPr>
      <w:r>
        <w:rPr>
          <w:color w:val="auto"/>
        </w:rPr>
        <w:fldChar w:fldCharType="begin"/>
      </w:r>
      <w:r>
        <w:rPr>
          <w:color w:val="auto"/>
        </w:rPr>
        <w:instrText xml:space="preserve"> = 5 \* GB3 \* MERGEFORMAT </w:instrText>
      </w:r>
      <w:r>
        <w:rPr>
          <w:color w:val="auto"/>
        </w:rPr>
        <w:fldChar w:fldCharType="separate"/>
      </w:r>
      <w:r>
        <w:rPr>
          <w:color w:val="auto"/>
        </w:rPr>
        <w:t>⑤</w:t>
      </w:r>
      <w:r>
        <w:rPr>
          <w:color w:val="auto"/>
        </w:rPr>
        <w:fldChar w:fldCharType="end"/>
      </w:r>
      <w:r>
        <w:rPr>
          <w:color w:val="auto"/>
        </w:rPr>
        <w:t>截，即截水。在探到水源后，由于条件限制无法放水，或者虽能放水但不合理时，便利用防水墙、防水闸门、防水岩柱等设施，永久地或临时地截住水源，将采掘区与水源隔开，使局部地点涌水不至于威胁区域。</w:t>
      </w:r>
    </w:p>
    <w:p w14:paraId="12E263CD">
      <w:pPr>
        <w:bidi w:val="0"/>
        <w:rPr>
          <w:color w:val="auto"/>
        </w:rPr>
      </w:pPr>
      <w:r>
        <w:rPr>
          <w:color w:val="auto"/>
        </w:rPr>
        <w:fldChar w:fldCharType="begin"/>
      </w:r>
      <w:r>
        <w:rPr>
          <w:color w:val="auto"/>
        </w:rPr>
        <w:instrText xml:space="preserve"> = 6 \* GB3 \* MERGEFORMAT </w:instrText>
      </w:r>
      <w:r>
        <w:rPr>
          <w:color w:val="auto"/>
        </w:rPr>
        <w:fldChar w:fldCharType="separate"/>
      </w:r>
      <w:r>
        <w:rPr>
          <w:color w:val="auto"/>
        </w:rPr>
        <w:t>⑥</w:t>
      </w:r>
      <w:r>
        <w:rPr>
          <w:color w:val="auto"/>
        </w:rPr>
        <w:fldChar w:fldCharType="end"/>
      </w:r>
      <w:r>
        <w:rPr>
          <w:color w:val="auto"/>
        </w:rPr>
        <w:t>堵，即注浆堵水。</w:t>
      </w:r>
    </w:p>
    <w:p w14:paraId="0D312637">
      <w:pPr>
        <w:bidi w:val="0"/>
        <w:rPr>
          <w:color w:val="auto"/>
        </w:rPr>
      </w:pPr>
      <w:r>
        <w:rPr>
          <w:color w:val="auto"/>
        </w:rPr>
        <w:fldChar w:fldCharType="begin"/>
      </w:r>
      <w:r>
        <w:rPr>
          <w:color w:val="auto"/>
        </w:rPr>
        <w:instrText xml:space="preserve"> = 7 \* GB3 \* MERGEFORMAT </w:instrText>
      </w:r>
      <w:r>
        <w:rPr>
          <w:color w:val="auto"/>
        </w:rPr>
        <w:fldChar w:fldCharType="separate"/>
      </w:r>
      <w:r>
        <w:rPr>
          <w:color w:val="auto"/>
        </w:rPr>
        <w:t>⑦</w:t>
      </w:r>
      <w:r>
        <w:rPr>
          <w:color w:val="auto"/>
        </w:rPr>
        <w:fldChar w:fldCharType="end"/>
      </w:r>
      <w:r>
        <w:rPr>
          <w:color w:val="auto"/>
        </w:rPr>
        <w:t>制定</w:t>
      </w:r>
      <w:r>
        <w:rPr>
          <w:rFonts w:hint="eastAsia"/>
          <w:color w:val="auto"/>
          <w:lang w:val="en-US" w:eastAsia="zh-CN"/>
        </w:rPr>
        <w:t>水害</w:t>
      </w:r>
      <w:r>
        <w:rPr>
          <w:color w:val="auto"/>
        </w:rPr>
        <w:t>事故应急救预案，配备必要的应急设备，并定期进行演练。</w:t>
      </w:r>
    </w:p>
    <w:p w14:paraId="606C4AD6">
      <w:pPr>
        <w:bidi w:val="0"/>
        <w:rPr>
          <w:color w:val="auto"/>
        </w:rPr>
      </w:pPr>
      <w:r>
        <w:rPr>
          <w:color w:val="auto"/>
        </w:rPr>
        <w:t>（</w:t>
      </w:r>
      <w:r>
        <w:rPr>
          <w:rFonts w:hint="default"/>
          <w:color w:val="auto"/>
          <w:lang w:val="en-US" w:eastAsia="zh-CN"/>
        </w:rPr>
        <w:t>2</w:t>
      </w:r>
      <w:r>
        <w:rPr>
          <w:color w:val="auto"/>
        </w:rPr>
        <w:t>）岩溶治理措施</w:t>
      </w:r>
    </w:p>
    <w:p w14:paraId="40C31B11">
      <w:pPr>
        <w:bidi w:val="0"/>
        <w:rPr>
          <w:color w:val="auto"/>
        </w:rPr>
      </w:pPr>
      <w:r>
        <w:rPr>
          <w:color w:val="auto"/>
        </w:rPr>
        <w:t>矿岩稳定性较好，本矿区岩溶裂隙不发育，岩溶风险较小。</w:t>
      </w:r>
    </w:p>
    <w:p w14:paraId="33A8C5A3">
      <w:pPr>
        <w:bidi w:val="0"/>
        <w:rPr>
          <w:color w:val="auto"/>
        </w:rPr>
      </w:pPr>
      <w:r>
        <w:rPr>
          <w:rFonts w:hint="default"/>
          <w:color w:val="auto"/>
          <w:lang w:eastAsia="zh-CN"/>
        </w:rPr>
        <w:t>（</w:t>
      </w:r>
      <w:r>
        <w:rPr>
          <w:rFonts w:hint="default"/>
          <w:color w:val="auto"/>
          <w:lang w:val="en-US" w:eastAsia="zh-CN"/>
        </w:rPr>
        <w:t>3</w:t>
      </w:r>
      <w:r>
        <w:rPr>
          <w:rFonts w:hint="default"/>
          <w:color w:val="auto"/>
          <w:lang w:eastAsia="zh-CN"/>
        </w:rPr>
        <w:t>）</w:t>
      </w:r>
      <w:r>
        <w:rPr>
          <w:color w:val="auto"/>
        </w:rPr>
        <w:t>地表水体治理措施</w:t>
      </w:r>
    </w:p>
    <w:p w14:paraId="38644385">
      <w:pPr>
        <w:bidi w:val="0"/>
        <w:rPr>
          <w:color w:val="auto"/>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每年雨季前，组织防水检查，并编制防水计划，防水工程均在雨季前竣工。</w:t>
      </w:r>
    </w:p>
    <w:p w14:paraId="6BFA6F87">
      <w:pPr>
        <w:bidi w:val="0"/>
        <w:rPr>
          <w:color w:val="auto"/>
        </w:rPr>
      </w:pPr>
      <w:r>
        <w:rPr>
          <w:color w:val="auto"/>
          <w:spacing w:val="-6"/>
          <w:sz w:val="28"/>
        </w:rPr>
        <w:fldChar w:fldCharType="begin"/>
      </w:r>
      <w:r>
        <w:rPr>
          <w:color w:val="auto"/>
          <w:spacing w:val="-6"/>
          <w:sz w:val="28"/>
        </w:rPr>
        <w:instrText xml:space="preserve"> = 2 \* GB3 \* MERGEFORMAT </w:instrText>
      </w:r>
      <w:r>
        <w:rPr>
          <w:color w:val="auto"/>
          <w:spacing w:val="-6"/>
          <w:sz w:val="28"/>
        </w:rPr>
        <w:fldChar w:fldCharType="separate"/>
      </w:r>
      <w:r>
        <w:rPr>
          <w:color w:val="auto"/>
          <w:spacing w:val="-6"/>
          <w:sz w:val="28"/>
        </w:rPr>
        <w:t>②</w:t>
      </w:r>
      <w:r>
        <w:rPr>
          <w:color w:val="auto"/>
          <w:spacing w:val="-6"/>
          <w:sz w:val="28"/>
        </w:rPr>
        <w:fldChar w:fldCharType="end"/>
      </w:r>
      <w:r>
        <w:rPr>
          <w:color w:val="auto"/>
          <w:spacing w:val="-6"/>
          <w:sz w:val="28"/>
        </w:rPr>
        <w:t>矿区及其附近的地表水或大气降水有可能危及井下安全时，及时采取撤人措施，避免下暴雨、阴雨时汇集成水流直接灌入井下，发生安全事故；</w:t>
      </w:r>
    </w:p>
    <w:p w14:paraId="0037499A">
      <w:pPr>
        <w:bidi w:val="0"/>
        <w:rPr>
          <w:color w:val="auto"/>
        </w:rPr>
      </w:pP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r>
        <w:rPr>
          <w:color w:val="auto"/>
        </w:rPr>
        <w:t>确保矿石、废石和其他堆积物没有堵塞山洪通道，没有淤塞沟渠和河道。</w:t>
      </w:r>
    </w:p>
    <w:p w14:paraId="0FCCA6D9">
      <w:pPr>
        <w:numPr>
          <w:ilvl w:val="0"/>
          <w:numId w:val="1"/>
        </w:numPr>
        <w:bidi w:val="0"/>
        <w:rPr>
          <w:color w:val="auto"/>
        </w:rPr>
      </w:pPr>
      <w:r>
        <w:rPr>
          <w:color w:val="auto"/>
        </w:rPr>
        <w:t>封闭不良钻孔治理措施</w:t>
      </w:r>
    </w:p>
    <w:p w14:paraId="3BC77672">
      <w:pPr>
        <w:bidi w:val="0"/>
        <w:rPr>
          <w:rFonts w:hint="default" w:eastAsia="宋体"/>
          <w:color w:val="auto"/>
          <w:lang w:val="en-US" w:eastAsia="zh-CN"/>
        </w:rPr>
      </w:pPr>
      <w:r>
        <w:rPr>
          <w:rFonts w:hint="eastAsia"/>
          <w:color w:val="auto"/>
          <w:lang w:val="en-US" w:eastAsia="zh-CN"/>
        </w:rPr>
        <w:t>根据</w:t>
      </w:r>
      <w:r>
        <w:rPr>
          <w:rFonts w:hint="eastAsia"/>
          <w:color w:val="auto"/>
          <w:lang w:val="zh-CN" w:eastAsia="zh-CN"/>
        </w:rPr>
        <w:t>江西省勘察设计研究院有限公司</w:t>
      </w:r>
      <w:r>
        <w:rPr>
          <w:rFonts w:hint="eastAsia"/>
          <w:color w:val="auto"/>
          <w:lang w:val="en-US" w:eastAsia="zh-CN"/>
        </w:rPr>
        <w:t>2024年3月编制的</w:t>
      </w:r>
      <w:r>
        <w:rPr>
          <w:rFonts w:hint="eastAsia"/>
          <w:color w:val="auto"/>
          <w:lang w:val="zh-CN" w:eastAsia="zh-CN"/>
        </w:rPr>
        <w:t>《江西临川鲁金铁业有限公司茅排金矿物探勘查</w:t>
      </w:r>
      <w:r>
        <w:rPr>
          <w:rFonts w:hint="eastAsia"/>
          <w:color w:val="auto"/>
          <w:lang w:val="en-US" w:eastAsia="zh-CN"/>
        </w:rPr>
        <w:t>成果报告》，未见</w:t>
      </w:r>
      <w:r>
        <w:rPr>
          <w:color w:val="auto"/>
        </w:rPr>
        <w:t>封闭不良钻孔</w:t>
      </w:r>
      <w:r>
        <w:rPr>
          <w:rFonts w:hint="eastAsia"/>
          <w:color w:val="auto"/>
          <w:lang w:val="en-US" w:eastAsia="zh-CN"/>
        </w:rPr>
        <w:t>形成的含水裂隙较大发育异常，由此可以推测该区域不存在未封闭不良钻孔。</w:t>
      </w:r>
    </w:p>
    <w:p w14:paraId="637394AC">
      <w:pPr>
        <w:pStyle w:val="4"/>
        <w:bidi w:val="0"/>
        <w:rPr>
          <w:rFonts w:hint="eastAsia"/>
          <w:color w:val="auto"/>
        </w:rPr>
      </w:pPr>
      <w:bookmarkStart w:id="503" w:name="_Toc1883"/>
      <w:r>
        <w:rPr>
          <w:rFonts w:hint="eastAsia"/>
          <w:color w:val="auto"/>
          <w:lang w:val="en-US" w:eastAsia="zh-CN"/>
        </w:rPr>
        <w:t xml:space="preserve">2.12.4 </w:t>
      </w:r>
      <w:r>
        <w:rPr>
          <w:rFonts w:hint="eastAsia"/>
          <w:color w:val="auto"/>
        </w:rPr>
        <w:t>地压致灾因素普查治理</w:t>
      </w:r>
      <w:bookmarkEnd w:id="503"/>
    </w:p>
    <w:p w14:paraId="5C025885">
      <w:pPr>
        <w:bidi w:val="0"/>
        <w:rPr>
          <w:color w:val="auto"/>
        </w:rPr>
      </w:pPr>
      <w:r>
        <w:rPr>
          <w:rFonts w:hint="default"/>
          <w:color w:val="auto"/>
          <w:lang w:eastAsia="zh-CN"/>
        </w:rPr>
        <w:t>1）</w:t>
      </w:r>
      <w:r>
        <w:rPr>
          <w:color w:val="auto"/>
        </w:rPr>
        <w:t>地压致灾因素普查</w:t>
      </w:r>
    </w:p>
    <w:p w14:paraId="444BE4B2">
      <w:pPr>
        <w:bidi w:val="0"/>
        <w:rPr>
          <w:color w:val="auto"/>
        </w:rPr>
      </w:pPr>
      <w:r>
        <w:rPr>
          <w:rFonts w:hint="default"/>
          <w:color w:val="auto"/>
          <w:lang w:eastAsia="zh-CN"/>
        </w:rPr>
        <w:t>（</w:t>
      </w:r>
      <w:r>
        <w:rPr>
          <w:rFonts w:hint="default"/>
          <w:color w:val="auto"/>
          <w:lang w:val="en-US" w:eastAsia="zh-CN"/>
        </w:rPr>
        <w:t>1</w:t>
      </w:r>
      <w:r>
        <w:rPr>
          <w:rFonts w:hint="default"/>
          <w:color w:val="auto"/>
          <w:lang w:eastAsia="zh-CN"/>
        </w:rPr>
        <w:t>）</w:t>
      </w:r>
      <w:r>
        <w:rPr>
          <w:color w:val="auto"/>
        </w:rPr>
        <w:t>主要构造</w:t>
      </w:r>
    </w:p>
    <w:p w14:paraId="3F171B74">
      <w:pPr>
        <w:bidi w:val="0"/>
        <w:rPr>
          <w:color w:val="auto"/>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褶皱</w:t>
      </w:r>
    </w:p>
    <w:p w14:paraId="2FA25A5F">
      <w:pPr>
        <w:bidi w:val="0"/>
        <w:rPr>
          <w:color w:val="auto"/>
        </w:rPr>
      </w:pPr>
      <w:r>
        <w:rPr>
          <w:color w:val="auto"/>
        </w:rPr>
        <w:t>褶皱构造主要是百药湖同斜倒转背斜，核部地层为周潭群下段（Z1zh1），翼部为上段（Z1zh2），轴面走向在百药湖一带为北东40°左右，往南西逐渐变为北东60°—70°，呈一弧形弯曲，这一褶皱构造是加里东运动早期近南北向挤压形成的；其后由于近南北向力偶的作用，致使百药湖一带的地层由北东东向转变为北东向，同时在该处发育一组断裂密集的荷田——徐坊剪切挤压带。</w:t>
      </w:r>
    </w:p>
    <w:p w14:paraId="2E09FE12">
      <w:pPr>
        <w:bidi w:val="0"/>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断裂</w:t>
      </w:r>
    </w:p>
    <w:p w14:paraId="1E33F082">
      <w:pPr>
        <w:bidi w:val="0"/>
        <w:rPr>
          <w:color w:val="auto"/>
        </w:rPr>
      </w:pPr>
      <w:r>
        <w:rPr>
          <w:color w:val="auto"/>
        </w:rPr>
        <w:t>断裂以北东向为主，北西向次之。北东向断裂主要是荷田——徐坊剪切挤压带，其它断裂分布稀疏，规模不大；北西向断裂主要是东源排——百药湖张性断裂。</w:t>
      </w:r>
    </w:p>
    <w:p w14:paraId="77A4EF92">
      <w:pPr>
        <w:bidi w:val="0"/>
        <w:rPr>
          <w:color w:val="auto"/>
        </w:rPr>
      </w:pPr>
      <w:r>
        <w:rPr>
          <w:color w:val="auto"/>
        </w:rPr>
        <w:t>荷田——徐坊剪切挤压带，是矿区最主要的控矿构造。位于百药湖倒转背斜核部，区内长约6.5km，宽约300—500m，走向35°—40°，倾向北西，倾角50°—65°，它不仅控制了条带状混合岩带的空间展布，而且成为含矿热液的通道和贮矿物所。本构造带的产物主要为碎裂岩和花岗岩、伟晶岩、长英质脉体、石英脉等充填物。石英脉、长英质脉沿走向，倾向具有分枝，膨胀收缩，尖灭再现等现象。碎裂岩原成分为硅线石石英云母片岩、变质砂岩及长英质脉体等，挤压片理发育，部分碎裂岩中硅线石含量很高，呈扁豆状、米粒状、镜下为毛发状和束状，定向排列。碎裂岩蚀变较强烈，主要有硅化、黑云母化、绢云母化、绿泥石化、黄铁矿化等；在碎裂岩中常见有后期的梳状石英脉和黄绿色糜棱岩，反映断裂具有多期活动的特征。</w:t>
      </w:r>
    </w:p>
    <w:p w14:paraId="260C8004">
      <w:pPr>
        <w:bidi w:val="0"/>
        <w:rPr>
          <w:color w:val="auto"/>
        </w:rPr>
      </w:pPr>
      <w:r>
        <w:rPr>
          <w:color w:val="auto"/>
        </w:rPr>
        <w:t>东源排——百药湖张性断裂分布于矿区北部，斜切荷田——徐坊剪切挤压带，走向320°—330°，倾向北东，倾向67°—85°；断裂长约4km，宽2—5m；该构造具有多期活动特点，晚期常利用并改造早期的断裂，构造岩为糜棱岩、浑园状角砾岩，局部仅见北西向裂隙，有煌斑岩等基性脉岩充填，构造面平直，有左行平移的水平擦痕，说明北西断裂在晚期形成左行平移断裂。该断裂在地貌上形成明显的断层三角面沟谷。</w:t>
      </w:r>
    </w:p>
    <w:p w14:paraId="3E7B10B1">
      <w:pPr>
        <w:bidi w:val="0"/>
        <w:rPr>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color w:val="auto"/>
        </w:rPr>
        <w:t>地压活动</w:t>
      </w:r>
    </w:p>
    <w:p w14:paraId="6A4208A5">
      <w:pPr>
        <w:bidi w:val="0"/>
        <w:rPr>
          <w:color w:val="auto"/>
        </w:rPr>
      </w:pPr>
      <w:r>
        <w:rPr>
          <w:color w:val="auto"/>
        </w:rPr>
        <w:t>矿山不涉及重要建筑物、构筑物、铁路、水体下开采，采区与地表民采坑见设有保安矿柱，采场内留设有顶底柱、间柱，部分采空区采用封堵等办法处理。采空区目前未对地表造成开裂、下沉或塌陷现象，采空区和巷道也未发生过坍塌、冒顶等情况，未发现明显地压活动现象。</w:t>
      </w:r>
    </w:p>
    <w:p w14:paraId="145DF275">
      <w:pPr>
        <w:bidi w:val="0"/>
        <w:rPr>
          <w:color w:val="auto"/>
        </w:rPr>
      </w:pPr>
      <w:r>
        <w:rPr>
          <w:rFonts w:hint="default"/>
          <w:color w:val="auto"/>
          <w:lang w:val="en-US" w:eastAsia="zh-CN"/>
        </w:rPr>
        <w:t>2）</w:t>
      </w:r>
      <w:r>
        <w:rPr>
          <w:color w:val="auto"/>
        </w:rPr>
        <w:t>地压致灾因素治理</w:t>
      </w:r>
      <w:r>
        <w:rPr>
          <w:rFonts w:hint="eastAsia"/>
          <w:color w:val="auto"/>
          <w:lang w:val="en-US" w:eastAsia="zh-CN"/>
        </w:rPr>
        <w:t>主要</w:t>
      </w:r>
      <w:r>
        <w:rPr>
          <w:color w:val="auto"/>
        </w:rPr>
        <w:t>措施</w:t>
      </w:r>
    </w:p>
    <w:p w14:paraId="1251C789">
      <w:pPr>
        <w:bidi w:val="0"/>
        <w:rPr>
          <w:color w:val="auto"/>
        </w:rPr>
      </w:pPr>
      <w:r>
        <w:rPr>
          <w:rFonts w:hint="default"/>
          <w:color w:val="auto"/>
          <w:lang w:eastAsia="zh-CN"/>
        </w:rPr>
        <w:t>（</w:t>
      </w:r>
      <w:r>
        <w:rPr>
          <w:rFonts w:hint="default"/>
          <w:color w:val="auto"/>
          <w:lang w:val="en-US" w:eastAsia="zh-CN"/>
        </w:rPr>
        <w:t>1</w:t>
      </w:r>
      <w:r>
        <w:rPr>
          <w:rFonts w:hint="default"/>
          <w:color w:val="auto"/>
          <w:lang w:eastAsia="zh-CN"/>
        </w:rPr>
        <w:t>）</w:t>
      </w:r>
      <w:r>
        <w:rPr>
          <w:color w:val="auto"/>
        </w:rPr>
        <w:t>主要构造治理措施</w:t>
      </w:r>
    </w:p>
    <w:p w14:paraId="36C54FE6">
      <w:pPr>
        <w:bidi w:val="0"/>
        <w:rPr>
          <w:color w:val="auto"/>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在今后的坑道施工和开采过程中对所揭露的地质构造产状等特征及时进行素描，并及时补充完善矿区主要地质构造图，以便能准确掌握矿山地质构造实际情况。</w:t>
      </w:r>
    </w:p>
    <w:p w14:paraId="78F9F23A">
      <w:pPr>
        <w:bidi w:val="0"/>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构造破碎带稳定性较差，坑道遇破碎带或风化带时，则需进行支护；当出现碎裂、坍塌、软化等不良工程地质现象，需及时支撑和被覆。</w:t>
      </w:r>
    </w:p>
    <w:p w14:paraId="5667665E">
      <w:pPr>
        <w:bidi w:val="0"/>
        <w:rPr>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color w:val="auto"/>
        </w:rPr>
        <w:t>地压活动治理措施</w:t>
      </w:r>
    </w:p>
    <w:p w14:paraId="4E8CE832">
      <w:pPr>
        <w:bidi w:val="0"/>
        <w:rPr>
          <w:color w:val="auto"/>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井巷设计充分了解周围地区工程地质、水文地质情况，避开构造破碎带。根据井巷的性质和用途合理确定巷道断面形状及规格，根据围岩的稳定情况选择合适的支护方式。</w:t>
      </w:r>
    </w:p>
    <w:p w14:paraId="76FD0402">
      <w:pPr>
        <w:bidi w:val="0"/>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坚持敲帮问顶制度，进入工作面首先要检查和清理巷道</w:t>
      </w:r>
      <w:r>
        <w:rPr>
          <w:rFonts w:hint="eastAsia"/>
          <w:color w:val="auto"/>
          <w:lang w:eastAsia="zh-CN"/>
        </w:rPr>
        <w:t>、</w:t>
      </w:r>
      <w:r>
        <w:rPr>
          <w:rFonts w:hint="eastAsia"/>
          <w:color w:val="auto"/>
          <w:lang w:val="en-US" w:eastAsia="zh-CN"/>
        </w:rPr>
        <w:t>采场</w:t>
      </w:r>
      <w:r>
        <w:rPr>
          <w:color w:val="auto"/>
        </w:rPr>
        <w:t>顶板和两帮的松动岩石。</w:t>
      </w:r>
    </w:p>
    <w:p w14:paraId="5CBDE79A">
      <w:pPr>
        <w:bidi w:val="0"/>
        <w:rPr>
          <w:color w:val="auto"/>
        </w:rPr>
      </w:pPr>
      <w:r>
        <w:rPr>
          <w:color w:val="auto"/>
          <w:spacing w:val="-6"/>
          <w:sz w:val="28"/>
        </w:rPr>
        <w:fldChar w:fldCharType="begin"/>
      </w:r>
      <w:r>
        <w:rPr>
          <w:color w:val="auto"/>
          <w:spacing w:val="-6"/>
          <w:sz w:val="28"/>
        </w:rPr>
        <w:instrText xml:space="preserve"> = 3 \* GB3 \* MERGEFORMAT </w:instrText>
      </w:r>
      <w:r>
        <w:rPr>
          <w:color w:val="auto"/>
          <w:spacing w:val="-6"/>
          <w:sz w:val="28"/>
        </w:rPr>
        <w:fldChar w:fldCharType="separate"/>
      </w:r>
      <w:r>
        <w:rPr>
          <w:color w:val="auto"/>
          <w:spacing w:val="-6"/>
          <w:sz w:val="28"/>
        </w:rPr>
        <w:t>③</w:t>
      </w:r>
      <w:r>
        <w:rPr>
          <w:color w:val="auto"/>
          <w:spacing w:val="-6"/>
          <w:sz w:val="28"/>
        </w:rPr>
        <w:fldChar w:fldCharType="end"/>
      </w:r>
      <w:r>
        <w:rPr>
          <w:rFonts w:hint="eastAsia"/>
          <w:color w:val="auto"/>
          <w:spacing w:val="-6"/>
          <w:sz w:val="28"/>
          <w:lang w:val="en-US" w:eastAsia="zh-CN"/>
        </w:rPr>
        <w:t>井下作业人员</w:t>
      </w:r>
      <w:r>
        <w:rPr>
          <w:color w:val="auto"/>
          <w:spacing w:val="-6"/>
          <w:sz w:val="28"/>
        </w:rPr>
        <w:t>如发现有地压活动预兆，立即停止作业、撤离井下人员。</w:t>
      </w:r>
    </w:p>
    <w:p w14:paraId="50E22CC5">
      <w:pPr>
        <w:pStyle w:val="4"/>
        <w:bidi w:val="0"/>
        <w:rPr>
          <w:rFonts w:hint="eastAsia"/>
          <w:color w:val="auto"/>
          <w:lang w:val="en-US" w:eastAsia="zh-CN"/>
        </w:rPr>
      </w:pPr>
      <w:bookmarkStart w:id="504" w:name="_Toc4374"/>
      <w:r>
        <w:rPr>
          <w:rFonts w:hint="eastAsia"/>
          <w:color w:val="auto"/>
          <w:lang w:val="en-US" w:eastAsia="zh-CN"/>
        </w:rPr>
        <w:t>2.11.5 火灾致灾因素普查治理</w:t>
      </w:r>
      <w:bookmarkEnd w:id="504"/>
    </w:p>
    <w:p w14:paraId="423522BC">
      <w:pPr>
        <w:bidi w:val="0"/>
        <w:rPr>
          <w:color w:val="auto"/>
        </w:rPr>
      </w:pPr>
      <w:r>
        <w:rPr>
          <w:rFonts w:hint="eastAsia"/>
          <w:color w:val="auto"/>
          <w:lang w:val="en-US" w:eastAsia="zh-CN"/>
        </w:rPr>
        <w:t>该</w:t>
      </w:r>
      <w:r>
        <w:rPr>
          <w:color w:val="auto"/>
        </w:rPr>
        <w:t>矿山矿石、围岩均不存在硫、磷及页岩等具有氧化自热和发火倾向情况的矿物，也无瓦斯、硫化氢等易燃易爆物质；所开采矿石不结块、无地热、无放射性，矿山地质条件较好，多年开采也未发现高温异常。</w:t>
      </w:r>
    </w:p>
    <w:p w14:paraId="73BBCA6F">
      <w:pPr>
        <w:bidi w:val="0"/>
        <w:rPr>
          <w:rFonts w:hint="default"/>
          <w:color w:val="auto"/>
          <w:lang w:val="en-US" w:eastAsia="zh-CN"/>
        </w:rPr>
      </w:pPr>
      <w:r>
        <w:rPr>
          <w:rFonts w:hint="default"/>
          <w:color w:val="auto"/>
          <w:lang w:val="en-US" w:eastAsia="zh-CN"/>
        </w:rPr>
        <w:t>外因火灾治理</w:t>
      </w:r>
      <w:r>
        <w:rPr>
          <w:rFonts w:hint="eastAsia"/>
          <w:color w:val="auto"/>
          <w:lang w:val="en-US" w:eastAsia="zh-CN"/>
        </w:rPr>
        <w:t>主要</w:t>
      </w:r>
      <w:r>
        <w:rPr>
          <w:rFonts w:hint="default"/>
          <w:color w:val="auto"/>
          <w:lang w:val="en-US" w:eastAsia="zh-CN"/>
        </w:rPr>
        <w:t>措施：</w:t>
      </w:r>
    </w:p>
    <w:p w14:paraId="3CE3925C">
      <w:pPr>
        <w:bidi w:val="0"/>
        <w:rPr>
          <w:rFonts w:hint="default"/>
          <w:color w:val="auto"/>
          <w:lang w:val="en-US" w:eastAsia="zh-CN"/>
        </w:rPr>
      </w:pPr>
      <w:r>
        <w:rPr>
          <w:rFonts w:hint="default"/>
          <w:color w:val="auto"/>
          <w:lang w:val="en-US" w:eastAsia="zh-CN"/>
        </w:rPr>
        <w:t>①矿山企业每年应编制防火计划。</w:t>
      </w:r>
    </w:p>
    <w:p w14:paraId="4F3D6AFD">
      <w:pPr>
        <w:bidi w:val="0"/>
        <w:rPr>
          <w:rFonts w:hint="default"/>
          <w:color w:val="auto"/>
          <w:lang w:val="en-US" w:eastAsia="zh-CN"/>
        </w:rPr>
      </w:pPr>
      <w:r>
        <w:rPr>
          <w:rFonts w:hint="default"/>
          <w:color w:val="auto"/>
          <w:lang w:val="en-US" w:eastAsia="zh-CN"/>
        </w:rPr>
        <w:t>②当井下发生火灾主要通风机能根据需要反风。</w:t>
      </w:r>
    </w:p>
    <w:p w14:paraId="6D12A10F">
      <w:pPr>
        <w:bidi w:val="0"/>
        <w:rPr>
          <w:rFonts w:hint="default"/>
          <w:color w:val="auto"/>
          <w:lang w:val="en-US" w:eastAsia="zh-CN"/>
        </w:rPr>
      </w:pPr>
      <w:r>
        <w:rPr>
          <w:rFonts w:hint="default"/>
          <w:color w:val="auto"/>
          <w:lang w:val="en-US" w:eastAsia="zh-CN"/>
        </w:rPr>
        <w:t>③结合湿式作业供水管道，在井口房、主要运输巷道、井底车场硐室等主要硐室设计井下消防水管系统。</w:t>
      </w:r>
    </w:p>
    <w:p w14:paraId="69F0CA3A">
      <w:pPr>
        <w:bidi w:val="0"/>
        <w:rPr>
          <w:color w:val="auto"/>
        </w:rPr>
      </w:pPr>
      <w:r>
        <w:rPr>
          <w:rFonts w:hint="default"/>
          <w:color w:val="auto"/>
          <w:lang w:val="en-US" w:eastAsia="zh-CN"/>
        </w:rPr>
        <w:t>④做好预防明火、爆破、电气</w:t>
      </w:r>
      <w:r>
        <w:rPr>
          <w:rFonts w:hint="eastAsia"/>
          <w:color w:val="auto"/>
          <w:lang w:val="en-US" w:eastAsia="zh-CN"/>
        </w:rPr>
        <w:t>、车辆</w:t>
      </w:r>
      <w:r>
        <w:rPr>
          <w:rFonts w:hint="default"/>
          <w:color w:val="auto"/>
          <w:lang w:val="en-US" w:eastAsia="zh-CN"/>
        </w:rPr>
        <w:t>引起火灾的措施。</w:t>
      </w:r>
    </w:p>
    <w:p w14:paraId="0ED27C78">
      <w:pPr>
        <w:bidi w:val="0"/>
        <w:rPr>
          <w:color w:val="auto"/>
        </w:rPr>
      </w:pPr>
      <w:r>
        <w:rPr>
          <w:rFonts w:hint="default"/>
          <w:color w:val="auto"/>
          <w:lang w:val="en-US" w:eastAsia="zh-CN"/>
        </w:rPr>
        <w:t>⑤</w:t>
      </w:r>
      <w:r>
        <w:rPr>
          <w:rFonts w:hint="eastAsia"/>
          <w:color w:val="auto"/>
          <w:lang w:val="en-US" w:eastAsia="zh-CN"/>
        </w:rPr>
        <w:t>做好井下动火作业管理。</w:t>
      </w:r>
    </w:p>
    <w:p w14:paraId="7D7E4F80">
      <w:pPr>
        <w:pStyle w:val="26"/>
        <w:rPr>
          <w:rFonts w:hint="eastAsia" w:ascii="宋体" w:hAnsi="宋体" w:eastAsia="宋体" w:cs="宋体"/>
          <w:color w:val="auto"/>
          <w:spacing w:val="6"/>
          <w:sz w:val="28"/>
          <w:szCs w:val="28"/>
          <w:lang w:eastAsia="zh-CN"/>
        </w:rPr>
      </w:pPr>
    </w:p>
    <w:p w14:paraId="53B8743B">
      <w:pPr>
        <w:keepNext w:val="0"/>
        <w:keepLines w:val="0"/>
        <w:pageBreakBefore w:val="0"/>
        <w:widowControl/>
        <w:kinsoku w:val="0"/>
        <w:wordWrap/>
        <w:overflowPunct/>
        <w:topLinePunct w:val="0"/>
        <w:autoSpaceDE w:val="0"/>
        <w:autoSpaceDN w:val="0"/>
        <w:bidi w:val="0"/>
        <w:adjustRightInd w:val="0"/>
        <w:snapToGrid w:val="0"/>
        <w:spacing w:line="560" w:lineRule="exact"/>
        <w:ind w:left="32" w:right="86" w:firstLine="584" w:firstLineChars="200"/>
        <w:textAlignment w:val="baseline"/>
        <w:rPr>
          <w:rFonts w:hint="eastAsia" w:ascii="宋体" w:hAnsi="宋体" w:eastAsia="宋体" w:cs="宋体"/>
          <w:color w:val="auto"/>
          <w:spacing w:val="6"/>
          <w:sz w:val="28"/>
          <w:szCs w:val="28"/>
          <w:lang w:eastAsia="zh-CN"/>
        </w:rPr>
        <w:sectPr>
          <w:pgSz w:w="11906" w:h="16839"/>
          <w:pgMar w:top="1417" w:right="1417" w:bottom="1417" w:left="1417" w:header="850" w:footer="964" w:gutter="0"/>
          <w:pgBorders>
            <w:top w:val="none" w:sz="0" w:space="0"/>
            <w:left w:val="none" w:sz="0" w:space="0"/>
            <w:bottom w:val="none" w:sz="0" w:space="0"/>
            <w:right w:val="none" w:sz="0" w:space="0"/>
          </w:pgBorders>
          <w:pgNumType w:fmt="decimal" w:start="1"/>
          <w:cols w:space="0" w:num="1"/>
          <w:rtlGutter w:val="0"/>
          <w:docGrid w:linePitch="0" w:charSpace="0"/>
        </w:sectPr>
      </w:pPr>
    </w:p>
    <w:p w14:paraId="0BA05D39">
      <w:pPr>
        <w:pStyle w:val="2"/>
        <w:bidi w:val="0"/>
        <w:rPr>
          <w:rFonts w:hint="eastAsia"/>
          <w:color w:val="auto"/>
          <w:lang w:val="en-US" w:eastAsia="zh-CN"/>
        </w:rPr>
      </w:pPr>
      <w:bookmarkStart w:id="505" w:name="_Toc29154"/>
      <w:bookmarkStart w:id="506" w:name="_Toc4517"/>
      <w:bookmarkStart w:id="507" w:name="_Toc11660"/>
      <w:bookmarkStart w:id="508" w:name="_Toc4781"/>
      <w:bookmarkStart w:id="509" w:name="_Toc27022"/>
      <w:bookmarkStart w:id="510" w:name="_Toc2832"/>
      <w:bookmarkStart w:id="511" w:name="_Toc25371"/>
      <w:bookmarkStart w:id="512" w:name="_Toc3009"/>
      <w:bookmarkStart w:id="513" w:name="_Toc9616"/>
      <w:bookmarkStart w:id="514" w:name="_Toc15502"/>
      <w:r>
        <w:rPr>
          <w:rFonts w:hint="eastAsia"/>
          <w:color w:val="auto"/>
          <w:lang w:val="en-US" w:eastAsia="zh-CN"/>
        </w:rPr>
        <w:t>3 危险、有害因素辨识与分析</w:t>
      </w:r>
      <w:bookmarkEnd w:id="505"/>
      <w:bookmarkEnd w:id="506"/>
      <w:bookmarkEnd w:id="507"/>
      <w:bookmarkEnd w:id="508"/>
      <w:bookmarkEnd w:id="509"/>
      <w:bookmarkEnd w:id="510"/>
      <w:bookmarkEnd w:id="511"/>
      <w:bookmarkEnd w:id="512"/>
      <w:bookmarkEnd w:id="513"/>
      <w:bookmarkEnd w:id="514"/>
    </w:p>
    <w:p w14:paraId="19F08CA2">
      <w:pPr>
        <w:bidi w:val="0"/>
        <w:rPr>
          <w:rFonts w:hint="eastAsia"/>
          <w:color w:val="auto"/>
        </w:rPr>
      </w:pPr>
      <w:r>
        <w:rPr>
          <w:rFonts w:hint="eastAsia"/>
          <w:color w:val="auto"/>
        </w:rPr>
        <w:t>危险因素是指能对人造成伤亡或对物造成突发性损坏的因素。有害因素是指 能影响人的身体健康、导致疾病、或对物造成慢性损害的因素。所有的危险、有害因素尽管其表现形式不同</w:t>
      </w:r>
      <w:r>
        <w:rPr>
          <w:rFonts w:hint="eastAsia"/>
          <w:color w:val="auto"/>
          <w:lang w:eastAsia="zh-CN"/>
        </w:rPr>
        <w:t>，</w:t>
      </w:r>
      <w:r>
        <w:rPr>
          <w:rFonts w:hint="eastAsia"/>
          <w:color w:val="auto"/>
        </w:rPr>
        <w:t>但从本质上讲</w:t>
      </w:r>
      <w:r>
        <w:rPr>
          <w:rFonts w:hint="eastAsia"/>
          <w:color w:val="auto"/>
          <w:lang w:eastAsia="zh-CN"/>
        </w:rPr>
        <w:t>，</w:t>
      </w:r>
      <w:r>
        <w:rPr>
          <w:rFonts w:hint="eastAsia"/>
          <w:color w:val="auto"/>
        </w:rPr>
        <w:t>之所以能造成危险、有害的后果，都归结为存在危险有害物质、能量和危险有害物质、能量失去控制两方面因素的综合作用，并导致危险有害物质的泄漏、散发和能量的意外释放。因此，存在危险有害物质，能量和危险有害物质、能量失去控制是危险、有害因素转为事故的根本原因。</w:t>
      </w:r>
    </w:p>
    <w:p w14:paraId="33D11D83">
      <w:pPr>
        <w:bidi w:val="0"/>
        <w:rPr>
          <w:rFonts w:hint="eastAsia"/>
          <w:color w:val="auto"/>
        </w:rPr>
      </w:pPr>
      <w:r>
        <w:rPr>
          <w:rFonts w:hint="eastAsia"/>
          <w:color w:val="auto"/>
        </w:rPr>
        <w:t>危险有害物质和能量失控主要体现在人的不安全行为、物的不安全状态和管理缺陷等三个方面。</w:t>
      </w:r>
    </w:p>
    <w:p w14:paraId="1368219C">
      <w:pPr>
        <w:bidi w:val="0"/>
        <w:rPr>
          <w:rFonts w:hint="eastAsia"/>
          <w:color w:val="auto"/>
        </w:rPr>
      </w:pPr>
      <w:r>
        <w:rPr>
          <w:rFonts w:hint="eastAsia"/>
          <w:color w:val="auto"/>
          <w:spacing w:val="-6"/>
          <w:sz w:val="28"/>
        </w:rPr>
        <w:t>根据事故致因理论，按导致事故的直接原因《生产过程危险和有害因素分类与代码》(GB/T13861-20</w:t>
      </w:r>
      <w:r>
        <w:rPr>
          <w:rFonts w:hint="eastAsia"/>
          <w:color w:val="auto"/>
          <w:spacing w:val="-6"/>
          <w:sz w:val="28"/>
          <w:lang w:val="en-US" w:eastAsia="zh-CN"/>
        </w:rPr>
        <w:t>22</w:t>
      </w:r>
      <w:r>
        <w:rPr>
          <w:rFonts w:hint="eastAsia"/>
          <w:color w:val="auto"/>
          <w:spacing w:val="-6"/>
          <w:sz w:val="28"/>
        </w:rPr>
        <w:t>)和《</w:t>
      </w:r>
      <w:r>
        <w:rPr>
          <w:rFonts w:hint="eastAsia"/>
          <w:color w:val="auto"/>
          <w:spacing w:val="-6"/>
          <w:sz w:val="28"/>
          <w:lang w:val="en-US" w:eastAsia="zh-CN"/>
        </w:rPr>
        <w:t>生产安全事故分类与编码</w:t>
      </w:r>
      <w:r>
        <w:rPr>
          <w:rFonts w:hint="eastAsia"/>
          <w:color w:val="auto"/>
          <w:spacing w:val="-6"/>
          <w:sz w:val="28"/>
        </w:rPr>
        <w:t>》  (</w:t>
      </w:r>
      <w:r>
        <w:rPr>
          <w:rFonts w:hint="eastAsia"/>
          <w:color w:val="auto"/>
          <w:spacing w:val="-6"/>
          <w:sz w:val="28"/>
          <w:lang w:val="en-US" w:eastAsia="zh-CN"/>
        </w:rPr>
        <w:t>GB6441—2025</w:t>
      </w:r>
      <w:r>
        <w:rPr>
          <w:rFonts w:hint="eastAsia"/>
          <w:color w:val="auto"/>
          <w:spacing w:val="-6"/>
          <w:sz w:val="28"/>
        </w:rPr>
        <w:t>)以及工业卫生要求，综合考虑起因物、引起事故先发的诱导原因、致害物、伤害方式等；结合矿山生产过程中的生产工艺流程、作业环境条件、作业方式、运输过程、使用的主要设备或装置、原材料、产品物质特性及周围环境、水文地质</w:t>
      </w:r>
      <w:r>
        <w:rPr>
          <w:rFonts w:hint="eastAsia"/>
          <w:color w:val="auto"/>
          <w:spacing w:val="-6"/>
          <w:sz w:val="28"/>
          <w:lang w:eastAsia="zh-CN"/>
        </w:rPr>
        <w:t>、</w:t>
      </w:r>
      <w:r>
        <w:rPr>
          <w:rFonts w:hint="eastAsia"/>
          <w:color w:val="auto"/>
          <w:spacing w:val="-6"/>
          <w:sz w:val="28"/>
        </w:rPr>
        <w:t>工程地质等存在的危险、有害因素进行识别；通过对该评价项目的现场调查和资料收集，分析研究矿山提供的相关资料及图纸，现对茅排金矿</w:t>
      </w:r>
      <w:r>
        <w:rPr>
          <w:rFonts w:hint="eastAsia"/>
          <w:color w:val="auto"/>
          <w:spacing w:val="-6"/>
          <w:sz w:val="28"/>
          <w:lang w:val="en-US" w:eastAsia="zh-CN"/>
        </w:rPr>
        <w:t>地下开采</w:t>
      </w:r>
      <w:r>
        <w:rPr>
          <w:rFonts w:hint="eastAsia"/>
          <w:color w:val="auto"/>
          <w:spacing w:val="-6"/>
          <w:sz w:val="28"/>
        </w:rPr>
        <w:t>存在的主要危险、有害因素进行辩识与分析。</w:t>
      </w:r>
    </w:p>
    <w:p w14:paraId="4F9288AB">
      <w:pPr>
        <w:pStyle w:val="3"/>
        <w:bidi w:val="0"/>
        <w:rPr>
          <w:rFonts w:hint="eastAsia"/>
          <w:color w:val="auto"/>
          <w:lang w:val="en-US" w:eastAsia="zh-CN"/>
        </w:rPr>
      </w:pPr>
      <w:bookmarkStart w:id="515" w:name="_Toc5874"/>
      <w:bookmarkStart w:id="516" w:name="_Toc26995"/>
      <w:bookmarkStart w:id="517" w:name="_Toc876"/>
      <w:bookmarkStart w:id="518" w:name="_Toc84"/>
      <w:bookmarkStart w:id="519" w:name="_Toc1770"/>
      <w:bookmarkStart w:id="520" w:name="_Toc23884"/>
      <w:bookmarkStart w:id="521" w:name="_Toc4828"/>
      <w:bookmarkStart w:id="522" w:name="_Toc32542"/>
      <w:bookmarkStart w:id="523" w:name="_Toc5690"/>
      <w:bookmarkStart w:id="524" w:name="_Toc32705"/>
      <w:bookmarkStart w:id="525" w:name="_Toc5703"/>
      <w:r>
        <w:rPr>
          <w:rFonts w:hint="eastAsia"/>
          <w:color w:val="auto"/>
          <w:lang w:val="en-US" w:eastAsia="zh-CN"/>
        </w:rPr>
        <w:t>3.1 危险因素分析</w:t>
      </w:r>
      <w:bookmarkEnd w:id="515"/>
      <w:bookmarkEnd w:id="516"/>
      <w:bookmarkEnd w:id="517"/>
      <w:bookmarkEnd w:id="518"/>
      <w:bookmarkEnd w:id="519"/>
      <w:bookmarkEnd w:id="520"/>
      <w:bookmarkEnd w:id="521"/>
      <w:bookmarkEnd w:id="522"/>
      <w:bookmarkEnd w:id="523"/>
      <w:bookmarkEnd w:id="524"/>
      <w:bookmarkEnd w:id="525"/>
    </w:p>
    <w:p w14:paraId="69F98EA6">
      <w:pPr>
        <w:pStyle w:val="4"/>
        <w:bidi w:val="0"/>
        <w:rPr>
          <w:rFonts w:hint="eastAsia"/>
          <w:color w:val="auto"/>
        </w:rPr>
      </w:pPr>
      <w:bookmarkStart w:id="526" w:name="_Toc24541"/>
      <w:bookmarkStart w:id="527" w:name="_Toc31967"/>
      <w:bookmarkStart w:id="528" w:name="_Toc19575"/>
      <w:bookmarkStart w:id="529" w:name="_Toc18680"/>
      <w:bookmarkStart w:id="530" w:name="_Toc16367"/>
      <w:r>
        <w:rPr>
          <w:rFonts w:hint="eastAsia"/>
          <w:color w:val="auto"/>
          <w:lang w:val="en-US" w:eastAsia="zh-CN"/>
        </w:rPr>
        <w:t>3.1.1 民用爆炸物品爆炸</w:t>
      </w:r>
      <w:bookmarkEnd w:id="526"/>
    </w:p>
    <w:bookmarkEnd w:id="527"/>
    <w:bookmarkEnd w:id="528"/>
    <w:bookmarkEnd w:id="529"/>
    <w:bookmarkEnd w:id="530"/>
    <w:p w14:paraId="27D65F2C">
      <w:pPr>
        <w:bidi w:val="0"/>
        <w:rPr>
          <w:rFonts w:hint="eastAsia"/>
          <w:color w:val="auto"/>
        </w:rPr>
      </w:pPr>
      <w:r>
        <w:rPr>
          <w:rFonts w:hint="eastAsia"/>
          <w:color w:val="auto"/>
          <w:lang w:val="en-US" w:eastAsia="zh-CN"/>
        </w:rPr>
        <w:t>民用爆炸物品爆炸是指民用爆炸物品在生产、经营、存储、运输或使用过程中发生爆炸造成的事故。</w:t>
      </w:r>
    </w:p>
    <w:p w14:paraId="22D59D2F">
      <w:pPr>
        <w:bidi w:val="0"/>
        <w:rPr>
          <w:rFonts w:hint="eastAsia"/>
          <w:color w:val="auto"/>
        </w:rPr>
      </w:pPr>
      <w:r>
        <w:rPr>
          <w:rFonts w:hint="default"/>
          <w:color w:val="auto"/>
        </w:rPr>
        <w:t>茅排金矿</w:t>
      </w:r>
      <w:r>
        <w:rPr>
          <w:rFonts w:hint="eastAsia"/>
          <w:color w:val="auto"/>
          <w:lang w:val="en-US" w:eastAsia="zh-CN"/>
        </w:rPr>
        <w:t>地</w:t>
      </w:r>
      <w:r>
        <w:rPr>
          <w:rFonts w:hint="eastAsia"/>
          <w:color w:val="auto"/>
        </w:rPr>
        <w:t>下开采过程中掘进和采矿作业需要使用大量的硝铵类工业炸药和起爆器材，在炸药库</w:t>
      </w:r>
      <w:r>
        <w:rPr>
          <w:rFonts w:hint="eastAsia"/>
          <w:color w:val="auto"/>
          <w:lang w:eastAsia="zh-CN"/>
        </w:rPr>
        <w:t>、</w:t>
      </w:r>
      <w:r>
        <w:rPr>
          <w:rFonts w:hint="eastAsia"/>
          <w:color w:val="auto"/>
        </w:rPr>
        <w:t>井下运输</w:t>
      </w:r>
      <w:r>
        <w:rPr>
          <w:rFonts w:hint="eastAsia"/>
          <w:color w:val="auto"/>
          <w:lang w:eastAsia="zh-CN"/>
        </w:rPr>
        <w:t>、</w:t>
      </w:r>
      <w:r>
        <w:rPr>
          <w:rFonts w:hint="eastAsia"/>
          <w:color w:val="auto"/>
        </w:rPr>
        <w:t>炸药领用、装药和起爆、未爆炸或未爆炸完全的炸药在凿岩</w:t>
      </w:r>
      <w:r>
        <w:rPr>
          <w:rFonts w:hint="eastAsia"/>
          <w:color w:val="auto"/>
          <w:lang w:val="en-US" w:eastAsia="zh-CN"/>
        </w:rPr>
        <w:t>和</w:t>
      </w:r>
      <w:r>
        <w:rPr>
          <w:rFonts w:hint="eastAsia"/>
          <w:color w:val="auto"/>
        </w:rPr>
        <w:t>装卸矿岩的过程</w:t>
      </w:r>
      <w:r>
        <w:rPr>
          <w:rFonts w:hint="eastAsia"/>
          <w:color w:val="auto"/>
          <w:lang w:val="en-US" w:eastAsia="zh-CN"/>
        </w:rPr>
        <w:t>中</w:t>
      </w:r>
      <w:r>
        <w:rPr>
          <w:rFonts w:hint="eastAsia"/>
          <w:color w:val="auto"/>
        </w:rPr>
        <w:t>，均有发生爆炸的可能，从而导致放炮事故的发生。</w:t>
      </w:r>
    </w:p>
    <w:p w14:paraId="042997E9">
      <w:pPr>
        <w:bidi w:val="0"/>
        <w:rPr>
          <w:rFonts w:hint="eastAsia"/>
          <w:color w:val="auto"/>
        </w:rPr>
      </w:pPr>
      <w:r>
        <w:rPr>
          <w:rFonts w:hint="eastAsia"/>
          <w:color w:val="auto"/>
        </w:rPr>
        <w:t>1</w:t>
      </w:r>
      <w:r>
        <w:rPr>
          <w:rFonts w:hint="eastAsia"/>
          <w:color w:val="auto"/>
          <w:lang w:eastAsia="zh-CN"/>
        </w:rPr>
        <w:t>）</w:t>
      </w:r>
      <w:r>
        <w:rPr>
          <w:rFonts w:hint="eastAsia"/>
          <w:color w:val="auto"/>
        </w:rPr>
        <w:t>几种爆破危害的分析</w:t>
      </w:r>
    </w:p>
    <w:p w14:paraId="0FA71BF6">
      <w:pPr>
        <w:bidi w:val="0"/>
        <w:rPr>
          <w:rFonts w:hint="eastAsia"/>
          <w:color w:val="auto"/>
        </w:rPr>
      </w:pPr>
      <w:r>
        <w:rPr>
          <w:rFonts w:hint="eastAsia"/>
          <w:color w:val="auto"/>
          <w:lang w:eastAsia="zh-CN"/>
        </w:rPr>
        <w:t>（</w:t>
      </w:r>
      <w:r>
        <w:rPr>
          <w:rFonts w:hint="eastAsia"/>
          <w:color w:val="auto"/>
        </w:rPr>
        <w:t>1</w:t>
      </w:r>
      <w:r>
        <w:rPr>
          <w:rFonts w:hint="eastAsia"/>
          <w:color w:val="auto"/>
          <w:lang w:eastAsia="zh-CN"/>
        </w:rPr>
        <w:t>）</w:t>
      </w:r>
      <w:r>
        <w:rPr>
          <w:rFonts w:hint="eastAsia"/>
          <w:color w:val="auto"/>
        </w:rPr>
        <w:t>拒爆危害</w:t>
      </w:r>
    </w:p>
    <w:p w14:paraId="4AB56B81">
      <w:pPr>
        <w:bidi w:val="0"/>
        <w:rPr>
          <w:rFonts w:hint="eastAsia"/>
          <w:color w:val="auto"/>
        </w:rPr>
      </w:pPr>
      <w:r>
        <w:rPr>
          <w:rFonts w:hint="eastAsia"/>
          <w:color w:val="auto"/>
        </w:rPr>
        <w:t>爆破作业中，由于各种原因造成起爆药包（雷管或导爆索）瞎火和炸药的部分或全部未爆的现象称为拒爆。爆破中产生拒爆不仅影响爆破效果，而且处理时有较大的危险性，如果未能及时预防发现或处理不当，将会造成人员伤亡。</w:t>
      </w:r>
    </w:p>
    <w:p w14:paraId="44B1BF26">
      <w:pPr>
        <w:bidi w:val="0"/>
        <w:rPr>
          <w:rFonts w:hint="eastAsia"/>
          <w:color w:val="auto"/>
        </w:rPr>
      </w:pPr>
      <w:r>
        <w:rPr>
          <w:rFonts w:hint="eastAsia"/>
          <w:color w:val="auto"/>
        </w:rPr>
        <w:t>炸药拒爆，在处理过程中发生对人员和设备的伤害和损坏，可能成为事故的隐患。</w:t>
      </w:r>
    </w:p>
    <w:p w14:paraId="218EFC94">
      <w:pPr>
        <w:bidi w:val="0"/>
        <w:rPr>
          <w:rFonts w:hint="eastAsia"/>
          <w:color w:val="auto"/>
        </w:rPr>
      </w:pPr>
      <w:r>
        <w:rPr>
          <w:rFonts w:hint="eastAsia"/>
          <w:color w:val="auto"/>
          <w:lang w:eastAsia="zh-CN"/>
        </w:rPr>
        <w:t>（</w:t>
      </w:r>
      <w:r>
        <w:rPr>
          <w:rFonts w:hint="eastAsia"/>
          <w:color w:val="auto"/>
        </w:rPr>
        <w:t>2</w:t>
      </w:r>
      <w:r>
        <w:rPr>
          <w:rFonts w:hint="eastAsia"/>
          <w:color w:val="auto"/>
          <w:lang w:eastAsia="zh-CN"/>
        </w:rPr>
        <w:t>）</w:t>
      </w:r>
      <w:r>
        <w:rPr>
          <w:rFonts w:hint="eastAsia"/>
          <w:color w:val="auto"/>
        </w:rPr>
        <w:t>早爆危害</w:t>
      </w:r>
    </w:p>
    <w:p w14:paraId="4ED4C1A2">
      <w:pPr>
        <w:bidi w:val="0"/>
        <w:rPr>
          <w:rFonts w:hint="eastAsia"/>
          <w:color w:val="auto"/>
        </w:rPr>
      </w:pPr>
      <w:r>
        <w:rPr>
          <w:rFonts w:hint="eastAsia"/>
          <w:color w:val="auto"/>
        </w:rPr>
        <w:t>早爆是指在爆破作业中未按规定的时间提前引爆的现象。如果不能及时发现和预防早爆，将对人员和设备造成极大的危害，酿成重大安全事故。</w:t>
      </w:r>
    </w:p>
    <w:p w14:paraId="50E85563">
      <w:pPr>
        <w:bidi w:val="0"/>
        <w:rPr>
          <w:rFonts w:hint="eastAsia"/>
          <w:color w:val="auto"/>
        </w:rPr>
      </w:pPr>
      <w:r>
        <w:rPr>
          <w:rFonts w:hint="eastAsia"/>
          <w:color w:val="auto"/>
        </w:rPr>
        <w:t>各种原因引起的炸药早爆对人员和设备造成的伤害和损坏，可能成为事故的隐患。</w:t>
      </w:r>
    </w:p>
    <w:p w14:paraId="55E9353D">
      <w:pPr>
        <w:bidi w:val="0"/>
        <w:rPr>
          <w:rFonts w:hint="eastAsia"/>
          <w:color w:val="auto"/>
        </w:rPr>
      </w:pPr>
      <w:r>
        <w:rPr>
          <w:rFonts w:hint="eastAsia"/>
          <w:color w:val="auto"/>
          <w:lang w:eastAsia="zh-CN"/>
        </w:rPr>
        <w:t>（</w:t>
      </w:r>
      <w:r>
        <w:rPr>
          <w:rFonts w:hint="eastAsia"/>
          <w:color w:val="auto"/>
        </w:rPr>
        <w:t>3</w:t>
      </w:r>
      <w:r>
        <w:rPr>
          <w:rFonts w:hint="eastAsia"/>
          <w:color w:val="auto"/>
          <w:lang w:eastAsia="zh-CN"/>
        </w:rPr>
        <w:t>）</w:t>
      </w:r>
      <w:r>
        <w:rPr>
          <w:rFonts w:hint="eastAsia"/>
          <w:color w:val="auto"/>
        </w:rPr>
        <w:t>爆破震动危害</w:t>
      </w:r>
    </w:p>
    <w:p w14:paraId="5E3044E2">
      <w:pPr>
        <w:bidi w:val="0"/>
        <w:rPr>
          <w:rFonts w:hint="eastAsia"/>
          <w:color w:val="auto"/>
        </w:rPr>
      </w:pPr>
      <w:r>
        <w:rPr>
          <w:rFonts w:hint="eastAsia"/>
          <w:color w:val="auto"/>
        </w:rPr>
        <w:t>炸药在岩土体中爆炸后，在距爆源的一定范围内，岩土体中产生弹性震动波，即是爆破地震。</w:t>
      </w:r>
      <w:r>
        <w:rPr>
          <w:rFonts w:hint="eastAsia"/>
          <w:color w:val="auto"/>
          <w:lang w:eastAsia="zh-CN"/>
        </w:rPr>
        <w:t>硐</w:t>
      </w:r>
      <w:r>
        <w:rPr>
          <w:rFonts w:hint="eastAsia"/>
          <w:color w:val="auto"/>
        </w:rPr>
        <w:t>室爆破，因一次炸药量较大，爆破地震也比较强烈，对附近的构筑物，设备设施和岩体等会有所影响，特别可能引起大范围的冒顶片帮事故，造成人员伤亡、财产损失。</w:t>
      </w:r>
    </w:p>
    <w:p w14:paraId="1E317183">
      <w:pPr>
        <w:bidi w:val="0"/>
        <w:rPr>
          <w:rFonts w:hint="eastAsia"/>
          <w:color w:val="auto"/>
        </w:rPr>
      </w:pPr>
      <w:r>
        <w:rPr>
          <w:rFonts w:hint="eastAsia"/>
          <w:color w:val="auto"/>
          <w:lang w:eastAsia="zh-CN"/>
        </w:rPr>
        <w:t>（</w:t>
      </w:r>
      <w:r>
        <w:rPr>
          <w:rFonts w:hint="eastAsia"/>
          <w:color w:val="auto"/>
        </w:rPr>
        <w:t>4</w:t>
      </w:r>
      <w:r>
        <w:rPr>
          <w:rFonts w:hint="eastAsia"/>
          <w:color w:val="auto"/>
          <w:lang w:eastAsia="zh-CN"/>
        </w:rPr>
        <w:t>）</w:t>
      </w:r>
      <w:r>
        <w:rPr>
          <w:rFonts w:hint="eastAsia"/>
          <w:color w:val="auto"/>
        </w:rPr>
        <w:t>爆破冲击波危害</w:t>
      </w:r>
    </w:p>
    <w:p w14:paraId="6500B852">
      <w:pPr>
        <w:bidi w:val="0"/>
        <w:rPr>
          <w:rFonts w:hint="eastAsia"/>
          <w:color w:val="auto"/>
        </w:rPr>
      </w:pPr>
      <w:r>
        <w:rPr>
          <w:rFonts w:hint="eastAsia"/>
          <w:color w:val="auto"/>
        </w:rPr>
        <w:t>爆破时，部分爆炸气体产物随崩落的岩土冲出，在空气中形成冲击波，可能危害附近的构筑物、设备设施和岩体等。</w:t>
      </w:r>
    </w:p>
    <w:p w14:paraId="66F67A83">
      <w:pPr>
        <w:bidi w:val="0"/>
        <w:rPr>
          <w:rFonts w:hint="eastAsia"/>
          <w:color w:val="auto"/>
        </w:rPr>
      </w:pPr>
      <w:r>
        <w:rPr>
          <w:rFonts w:hint="eastAsia"/>
          <w:color w:val="auto"/>
        </w:rPr>
        <w:t>因此爆破危害是采场的主要危险有害因素之一。</w:t>
      </w:r>
    </w:p>
    <w:p w14:paraId="7AF11864">
      <w:pPr>
        <w:bidi w:val="0"/>
        <w:rPr>
          <w:rFonts w:hint="eastAsia"/>
          <w:color w:val="auto"/>
        </w:rPr>
      </w:pPr>
      <w:r>
        <w:rPr>
          <w:rFonts w:hint="eastAsia"/>
          <w:color w:val="auto"/>
        </w:rPr>
        <w:t>2</w:t>
      </w:r>
      <w:r>
        <w:rPr>
          <w:rFonts w:hint="eastAsia"/>
          <w:color w:val="auto"/>
          <w:lang w:eastAsia="zh-CN"/>
        </w:rPr>
        <w:t>）</w:t>
      </w:r>
      <w:r>
        <w:rPr>
          <w:rFonts w:hint="eastAsia"/>
          <w:color w:val="auto"/>
        </w:rPr>
        <w:t>引起爆破事故的主要原因</w:t>
      </w:r>
    </w:p>
    <w:p w14:paraId="1328053F">
      <w:pPr>
        <w:bidi w:val="0"/>
        <w:rPr>
          <w:rFonts w:hint="eastAsia"/>
          <w:color w:val="auto"/>
        </w:rPr>
      </w:pPr>
      <w:r>
        <w:rPr>
          <w:rFonts w:hint="eastAsia"/>
          <w:color w:val="auto"/>
          <w:lang w:eastAsia="zh-CN"/>
        </w:rPr>
        <w:t>（</w:t>
      </w:r>
      <w:r>
        <w:rPr>
          <w:rFonts w:hint="eastAsia"/>
          <w:color w:val="auto"/>
        </w:rPr>
        <w:t>1</w:t>
      </w:r>
      <w:r>
        <w:rPr>
          <w:rFonts w:hint="eastAsia"/>
          <w:color w:val="auto"/>
          <w:lang w:eastAsia="zh-CN"/>
        </w:rPr>
        <w:t>）</w:t>
      </w:r>
      <w:r>
        <w:rPr>
          <w:rFonts w:hint="eastAsia"/>
          <w:color w:val="auto"/>
        </w:rPr>
        <w:t>炸药量控制不合格；</w:t>
      </w:r>
    </w:p>
    <w:p w14:paraId="1A49149B">
      <w:pPr>
        <w:bidi w:val="0"/>
        <w:rPr>
          <w:rFonts w:hint="eastAsia"/>
          <w:color w:val="auto"/>
        </w:rPr>
      </w:pPr>
      <w:r>
        <w:rPr>
          <w:rFonts w:hint="eastAsia"/>
          <w:color w:val="auto"/>
          <w:lang w:eastAsia="zh-CN"/>
        </w:rPr>
        <w:t>（</w:t>
      </w:r>
      <w:r>
        <w:rPr>
          <w:rFonts w:hint="eastAsia"/>
          <w:color w:val="auto"/>
        </w:rPr>
        <w:t>2</w:t>
      </w:r>
      <w:r>
        <w:rPr>
          <w:rFonts w:hint="eastAsia"/>
          <w:color w:val="auto"/>
          <w:lang w:eastAsia="zh-CN"/>
        </w:rPr>
        <w:t>）</w:t>
      </w:r>
      <w:r>
        <w:rPr>
          <w:rFonts w:hint="eastAsia"/>
          <w:color w:val="auto"/>
        </w:rPr>
        <w:t>炸药性质不合格；</w:t>
      </w:r>
    </w:p>
    <w:p w14:paraId="7286B609">
      <w:pPr>
        <w:bidi w:val="0"/>
        <w:rPr>
          <w:rFonts w:hint="eastAsia"/>
          <w:color w:val="auto"/>
        </w:rPr>
      </w:pPr>
      <w:r>
        <w:rPr>
          <w:rFonts w:hint="eastAsia"/>
          <w:color w:val="auto"/>
          <w:spacing w:val="-11"/>
          <w:sz w:val="28"/>
          <w:lang w:eastAsia="zh-CN"/>
        </w:rPr>
        <w:t>（</w:t>
      </w:r>
      <w:r>
        <w:rPr>
          <w:rFonts w:hint="eastAsia"/>
          <w:color w:val="auto"/>
          <w:spacing w:val="-11"/>
          <w:sz w:val="28"/>
        </w:rPr>
        <w:t>3</w:t>
      </w:r>
      <w:r>
        <w:rPr>
          <w:rFonts w:hint="eastAsia"/>
          <w:color w:val="auto"/>
          <w:spacing w:val="-11"/>
          <w:sz w:val="28"/>
          <w:lang w:eastAsia="zh-CN"/>
        </w:rPr>
        <w:t>）</w:t>
      </w:r>
      <w:r>
        <w:rPr>
          <w:rFonts w:hint="eastAsia"/>
          <w:color w:val="auto"/>
          <w:spacing w:val="-11"/>
          <w:sz w:val="28"/>
        </w:rPr>
        <w:t>爆破作业后，没有检查或检查不彻底，未清理出未爆炸的残余炸药；</w:t>
      </w:r>
    </w:p>
    <w:p w14:paraId="5012D8BF">
      <w:pPr>
        <w:bidi w:val="0"/>
        <w:rPr>
          <w:rFonts w:hint="eastAsia"/>
          <w:color w:val="auto"/>
        </w:rPr>
      </w:pPr>
      <w:r>
        <w:rPr>
          <w:rFonts w:hint="eastAsia"/>
          <w:color w:val="auto"/>
          <w:lang w:eastAsia="zh-CN"/>
        </w:rPr>
        <w:t>（</w:t>
      </w:r>
      <w:r>
        <w:rPr>
          <w:rFonts w:hint="eastAsia"/>
          <w:color w:val="auto"/>
        </w:rPr>
        <w:t>4</w:t>
      </w:r>
      <w:r>
        <w:rPr>
          <w:rFonts w:hint="eastAsia"/>
          <w:color w:val="auto"/>
          <w:lang w:eastAsia="zh-CN"/>
        </w:rPr>
        <w:t>）</w:t>
      </w:r>
      <w:r>
        <w:rPr>
          <w:rFonts w:hint="eastAsia"/>
          <w:color w:val="auto"/>
        </w:rPr>
        <w:t>盲炮处理不当或打残眼；</w:t>
      </w:r>
    </w:p>
    <w:p w14:paraId="21F528BC">
      <w:pPr>
        <w:bidi w:val="0"/>
        <w:rPr>
          <w:rFonts w:hint="eastAsia"/>
          <w:color w:val="auto"/>
        </w:rPr>
      </w:pPr>
      <w:r>
        <w:rPr>
          <w:rFonts w:hint="eastAsia"/>
          <w:color w:val="auto"/>
          <w:lang w:eastAsia="zh-CN"/>
        </w:rPr>
        <w:t>（</w:t>
      </w:r>
      <w:r>
        <w:rPr>
          <w:rFonts w:hint="eastAsia"/>
          <w:color w:val="auto"/>
        </w:rPr>
        <w:t>5</w:t>
      </w:r>
      <w:r>
        <w:rPr>
          <w:rFonts w:hint="eastAsia"/>
          <w:color w:val="auto"/>
          <w:lang w:eastAsia="zh-CN"/>
        </w:rPr>
        <w:t>）</w:t>
      </w:r>
      <w:r>
        <w:rPr>
          <w:rFonts w:hint="eastAsia"/>
          <w:color w:val="auto"/>
        </w:rPr>
        <w:t>炸药运输过程中强烈振动或摩擦；</w:t>
      </w:r>
    </w:p>
    <w:p w14:paraId="797DE366">
      <w:pPr>
        <w:bidi w:val="0"/>
        <w:rPr>
          <w:rFonts w:hint="eastAsia"/>
          <w:color w:val="auto"/>
        </w:rPr>
      </w:pPr>
      <w:r>
        <w:rPr>
          <w:rFonts w:hint="eastAsia"/>
          <w:color w:val="auto"/>
          <w:lang w:eastAsia="zh-CN"/>
        </w:rPr>
        <w:t>（</w:t>
      </w:r>
      <w:r>
        <w:rPr>
          <w:rFonts w:hint="eastAsia"/>
          <w:color w:val="auto"/>
        </w:rPr>
        <w:t>6</w:t>
      </w:r>
      <w:r>
        <w:rPr>
          <w:rFonts w:hint="eastAsia"/>
          <w:color w:val="auto"/>
          <w:lang w:eastAsia="zh-CN"/>
        </w:rPr>
        <w:t>）</w:t>
      </w:r>
      <w:r>
        <w:rPr>
          <w:rFonts w:hint="eastAsia"/>
          <w:color w:val="auto"/>
        </w:rPr>
        <w:t>装药工艺不合理或违章作业；</w:t>
      </w:r>
    </w:p>
    <w:p w14:paraId="7BCC2DA1">
      <w:pPr>
        <w:bidi w:val="0"/>
        <w:rPr>
          <w:rFonts w:hint="eastAsia"/>
          <w:color w:val="auto"/>
        </w:rPr>
      </w:pPr>
      <w:r>
        <w:rPr>
          <w:rFonts w:hint="eastAsia"/>
          <w:color w:val="auto"/>
          <w:lang w:eastAsia="zh-CN"/>
        </w:rPr>
        <w:t>（</w:t>
      </w:r>
      <w:r>
        <w:rPr>
          <w:rFonts w:hint="eastAsia"/>
          <w:color w:val="auto"/>
        </w:rPr>
        <w:t>7</w:t>
      </w:r>
      <w:r>
        <w:rPr>
          <w:rFonts w:hint="eastAsia"/>
          <w:color w:val="auto"/>
          <w:lang w:eastAsia="zh-CN"/>
        </w:rPr>
        <w:t>）</w:t>
      </w:r>
      <w:r>
        <w:rPr>
          <w:rFonts w:hint="eastAsia"/>
          <w:color w:val="auto"/>
        </w:rPr>
        <w:t>起爆工艺不合理或违章作业；</w:t>
      </w:r>
    </w:p>
    <w:p w14:paraId="5749DAC9">
      <w:pPr>
        <w:bidi w:val="0"/>
        <w:rPr>
          <w:rFonts w:hint="eastAsia"/>
          <w:color w:val="auto"/>
        </w:rPr>
      </w:pPr>
      <w:r>
        <w:rPr>
          <w:rFonts w:hint="eastAsia"/>
          <w:color w:val="auto"/>
          <w:lang w:eastAsia="zh-CN"/>
        </w:rPr>
        <w:t>（</w:t>
      </w:r>
      <w:r>
        <w:rPr>
          <w:rFonts w:hint="eastAsia"/>
          <w:color w:val="auto"/>
        </w:rPr>
        <w:t>8</w:t>
      </w:r>
      <w:r>
        <w:rPr>
          <w:rFonts w:hint="eastAsia"/>
          <w:color w:val="auto"/>
          <w:lang w:eastAsia="zh-CN"/>
        </w:rPr>
        <w:t>）</w:t>
      </w:r>
      <w:r>
        <w:rPr>
          <w:rFonts w:hint="eastAsia"/>
          <w:color w:val="auto"/>
        </w:rPr>
        <w:t>警戒不到位，信号不完善，安全距离不够长；</w:t>
      </w:r>
    </w:p>
    <w:p w14:paraId="3B0CC3CD">
      <w:pPr>
        <w:bidi w:val="0"/>
        <w:rPr>
          <w:rFonts w:hint="eastAsia"/>
          <w:color w:val="auto"/>
        </w:rPr>
      </w:pPr>
      <w:r>
        <w:rPr>
          <w:rFonts w:hint="eastAsia"/>
          <w:color w:val="auto"/>
          <w:lang w:eastAsia="zh-CN"/>
        </w:rPr>
        <w:t>（</w:t>
      </w:r>
      <w:r>
        <w:rPr>
          <w:rFonts w:hint="eastAsia"/>
          <w:color w:val="auto"/>
        </w:rPr>
        <w:t>9</w:t>
      </w:r>
      <w:r>
        <w:rPr>
          <w:rFonts w:hint="eastAsia"/>
          <w:color w:val="auto"/>
          <w:lang w:eastAsia="zh-CN"/>
        </w:rPr>
        <w:t>）</w:t>
      </w:r>
      <w:r>
        <w:rPr>
          <w:rFonts w:hint="eastAsia"/>
          <w:color w:val="auto"/>
        </w:rPr>
        <w:t>爆破器材质量不好；</w:t>
      </w:r>
    </w:p>
    <w:p w14:paraId="041D23CA">
      <w:pPr>
        <w:bidi w:val="0"/>
        <w:rPr>
          <w:rFonts w:hint="eastAsia"/>
          <w:color w:val="auto"/>
        </w:rPr>
      </w:pPr>
      <w:r>
        <w:rPr>
          <w:rFonts w:hint="eastAsia"/>
          <w:color w:val="auto"/>
          <w:lang w:eastAsia="zh-CN"/>
        </w:rPr>
        <w:t>（</w:t>
      </w:r>
      <w:r>
        <w:rPr>
          <w:rFonts w:hint="eastAsia"/>
          <w:color w:val="auto"/>
        </w:rPr>
        <w:t>10</w:t>
      </w:r>
      <w:r>
        <w:rPr>
          <w:rFonts w:hint="eastAsia"/>
          <w:color w:val="auto"/>
          <w:lang w:eastAsia="zh-CN"/>
        </w:rPr>
        <w:t>）</w:t>
      </w:r>
      <w:r>
        <w:rPr>
          <w:rFonts w:hint="eastAsia"/>
          <w:color w:val="auto"/>
        </w:rPr>
        <w:t>非爆破专业人员作业，爆破作业人员违章；</w:t>
      </w:r>
    </w:p>
    <w:p w14:paraId="33E1CCBF">
      <w:pPr>
        <w:bidi w:val="0"/>
        <w:rPr>
          <w:rFonts w:hint="eastAsia"/>
          <w:color w:val="auto"/>
        </w:rPr>
      </w:pPr>
      <w:r>
        <w:rPr>
          <w:rFonts w:hint="eastAsia"/>
          <w:color w:val="auto"/>
          <w:lang w:eastAsia="zh-CN"/>
        </w:rPr>
        <w:t>（</w:t>
      </w:r>
      <w:r>
        <w:rPr>
          <w:rFonts w:hint="eastAsia"/>
          <w:color w:val="auto"/>
        </w:rPr>
        <w:t>11</w:t>
      </w:r>
      <w:r>
        <w:rPr>
          <w:rFonts w:hint="eastAsia"/>
          <w:color w:val="auto"/>
          <w:lang w:eastAsia="zh-CN"/>
        </w:rPr>
        <w:t>）</w:t>
      </w:r>
      <w:r>
        <w:rPr>
          <w:rFonts w:hint="eastAsia"/>
          <w:color w:val="auto"/>
        </w:rPr>
        <w:t>运送炸药过程中出现意外；</w:t>
      </w:r>
    </w:p>
    <w:p w14:paraId="7818007C">
      <w:pPr>
        <w:bidi w:val="0"/>
        <w:rPr>
          <w:rFonts w:hint="eastAsia"/>
          <w:color w:val="auto"/>
        </w:rPr>
      </w:pPr>
      <w:r>
        <w:rPr>
          <w:rFonts w:hint="eastAsia"/>
          <w:color w:val="auto"/>
        </w:rPr>
        <w:t>3</w:t>
      </w:r>
      <w:r>
        <w:rPr>
          <w:rFonts w:hint="eastAsia"/>
          <w:color w:val="auto"/>
          <w:lang w:eastAsia="zh-CN"/>
        </w:rPr>
        <w:t>）</w:t>
      </w:r>
      <w:r>
        <w:rPr>
          <w:rFonts w:hint="eastAsia"/>
          <w:color w:val="auto"/>
        </w:rPr>
        <w:t>容易发生爆炸事故的场所</w:t>
      </w:r>
    </w:p>
    <w:p w14:paraId="46A46C9C">
      <w:pPr>
        <w:bidi w:val="0"/>
        <w:rPr>
          <w:rFonts w:hint="eastAsia"/>
          <w:color w:val="auto"/>
        </w:rPr>
      </w:pPr>
      <w:r>
        <w:rPr>
          <w:rFonts w:hint="eastAsia"/>
          <w:color w:val="auto"/>
        </w:rPr>
        <w:t>在开采过程中，可能发生爆炸的场所主要有：</w:t>
      </w:r>
    </w:p>
    <w:p w14:paraId="1EE302EC">
      <w:pPr>
        <w:bidi w:val="0"/>
        <w:rPr>
          <w:rFonts w:hint="eastAsia"/>
          <w:color w:val="auto"/>
        </w:rPr>
      </w:pPr>
      <w:r>
        <w:rPr>
          <w:rFonts w:hint="eastAsia"/>
          <w:color w:val="auto"/>
          <w:lang w:eastAsia="zh-CN"/>
        </w:rPr>
        <w:t>（</w:t>
      </w:r>
      <w:r>
        <w:rPr>
          <w:rFonts w:hint="eastAsia"/>
          <w:color w:val="auto"/>
        </w:rPr>
        <w:t>1</w:t>
      </w:r>
      <w:r>
        <w:rPr>
          <w:rFonts w:hint="eastAsia"/>
          <w:color w:val="auto"/>
          <w:lang w:eastAsia="zh-CN"/>
        </w:rPr>
        <w:t>）</w:t>
      </w:r>
      <w:r>
        <w:rPr>
          <w:rFonts w:hint="eastAsia"/>
          <w:color w:val="auto"/>
          <w:lang w:val="en-US" w:eastAsia="zh-CN"/>
        </w:rPr>
        <w:t>炸药库、</w:t>
      </w:r>
      <w:r>
        <w:rPr>
          <w:rFonts w:hint="eastAsia"/>
          <w:color w:val="auto"/>
        </w:rPr>
        <w:t>炸药临时存放点和丢弃点；</w:t>
      </w:r>
    </w:p>
    <w:p w14:paraId="21A60A3F">
      <w:pPr>
        <w:bidi w:val="0"/>
        <w:rPr>
          <w:rFonts w:hint="eastAsia"/>
          <w:color w:val="auto"/>
        </w:rPr>
      </w:pPr>
      <w:r>
        <w:rPr>
          <w:rFonts w:hint="eastAsia"/>
          <w:color w:val="auto"/>
          <w:lang w:eastAsia="zh-CN"/>
        </w:rPr>
        <w:t>（</w:t>
      </w:r>
      <w:r>
        <w:rPr>
          <w:rFonts w:hint="eastAsia"/>
          <w:color w:val="auto"/>
        </w:rPr>
        <w:t>2</w:t>
      </w:r>
      <w:r>
        <w:rPr>
          <w:rFonts w:hint="eastAsia"/>
          <w:color w:val="auto"/>
          <w:lang w:eastAsia="zh-CN"/>
        </w:rPr>
        <w:t>）</w:t>
      </w:r>
      <w:r>
        <w:rPr>
          <w:rFonts w:hint="eastAsia"/>
          <w:color w:val="auto"/>
        </w:rPr>
        <w:t>运送炸药的巷道；</w:t>
      </w:r>
    </w:p>
    <w:p w14:paraId="2A16255C">
      <w:pPr>
        <w:bidi w:val="0"/>
        <w:rPr>
          <w:rFonts w:hint="eastAsia"/>
          <w:color w:val="auto"/>
        </w:rPr>
      </w:pPr>
      <w:r>
        <w:rPr>
          <w:rFonts w:hint="eastAsia"/>
          <w:color w:val="auto"/>
          <w:lang w:eastAsia="zh-CN"/>
        </w:rPr>
        <w:t>（</w:t>
      </w:r>
      <w:r>
        <w:rPr>
          <w:rFonts w:hint="eastAsia"/>
          <w:color w:val="auto"/>
        </w:rPr>
        <w:t>3</w:t>
      </w:r>
      <w:r>
        <w:rPr>
          <w:rFonts w:hint="eastAsia"/>
          <w:color w:val="auto"/>
          <w:lang w:eastAsia="zh-CN"/>
        </w:rPr>
        <w:t>）</w:t>
      </w:r>
      <w:r>
        <w:rPr>
          <w:rFonts w:hint="eastAsia"/>
          <w:color w:val="auto"/>
        </w:rPr>
        <w:t>爆破作业的工作面；</w:t>
      </w:r>
    </w:p>
    <w:p w14:paraId="1E35041A">
      <w:pPr>
        <w:bidi w:val="0"/>
        <w:rPr>
          <w:rFonts w:hint="eastAsia"/>
          <w:color w:val="auto"/>
        </w:rPr>
      </w:pPr>
      <w:r>
        <w:rPr>
          <w:rFonts w:hint="eastAsia"/>
          <w:color w:val="auto"/>
          <w:lang w:eastAsia="zh-CN"/>
        </w:rPr>
        <w:t>（</w:t>
      </w:r>
      <w:r>
        <w:rPr>
          <w:rFonts w:hint="eastAsia"/>
          <w:color w:val="auto"/>
        </w:rPr>
        <w:t>4</w:t>
      </w:r>
      <w:r>
        <w:rPr>
          <w:rFonts w:hint="eastAsia"/>
          <w:color w:val="auto"/>
          <w:lang w:eastAsia="zh-CN"/>
        </w:rPr>
        <w:t>）</w:t>
      </w:r>
      <w:r>
        <w:rPr>
          <w:rFonts w:hint="eastAsia"/>
          <w:color w:val="auto"/>
        </w:rPr>
        <w:t>盲炮处理和凿岩作业处；</w:t>
      </w:r>
    </w:p>
    <w:p w14:paraId="30C69B2F">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rPr>
        <w:t>5</w:t>
      </w:r>
      <w:r>
        <w:rPr>
          <w:rFonts w:hint="eastAsia"/>
          <w:color w:val="auto"/>
          <w:lang w:eastAsia="zh-CN"/>
        </w:rPr>
        <w:t>）</w:t>
      </w:r>
      <w:r>
        <w:rPr>
          <w:rFonts w:hint="eastAsia"/>
          <w:color w:val="auto"/>
        </w:rPr>
        <w:t>爆破后的工作面；</w:t>
      </w:r>
    </w:p>
    <w:p w14:paraId="3E90B250">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rPr>
        <w:t>6</w:t>
      </w:r>
      <w:r>
        <w:rPr>
          <w:rFonts w:hint="eastAsia"/>
          <w:color w:val="auto"/>
          <w:lang w:eastAsia="zh-CN"/>
        </w:rPr>
        <w:t>）</w:t>
      </w:r>
      <w:r>
        <w:rPr>
          <w:rFonts w:hint="eastAsia"/>
          <w:color w:val="auto"/>
        </w:rPr>
        <w:t>劣质爆破器材处理地点等。</w:t>
      </w:r>
    </w:p>
    <w:p w14:paraId="6DFDFCC3">
      <w:pPr>
        <w:pStyle w:val="4"/>
        <w:keepNext w:val="0"/>
        <w:keepLines w:val="0"/>
        <w:pageBreakBefore w:val="0"/>
        <w:widowControl w:val="0"/>
        <w:wordWrap/>
        <w:overflowPunct/>
        <w:topLinePunct w:val="0"/>
        <w:bidi w:val="0"/>
        <w:rPr>
          <w:rFonts w:hint="eastAsia"/>
          <w:color w:val="auto"/>
        </w:rPr>
      </w:pPr>
      <w:bookmarkStart w:id="531" w:name="_Toc2160"/>
      <w:bookmarkStart w:id="532" w:name="_Toc25843"/>
      <w:bookmarkStart w:id="533" w:name="_Toc22120"/>
      <w:bookmarkStart w:id="534" w:name="_Toc20657"/>
      <w:bookmarkStart w:id="535" w:name="_Toc15129"/>
      <w:bookmarkStart w:id="536" w:name="_Toc28"/>
      <w:r>
        <w:rPr>
          <w:rFonts w:hint="eastAsia"/>
          <w:color w:val="auto"/>
          <w:lang w:val="en-US" w:eastAsia="zh-CN"/>
        </w:rPr>
        <w:t>3.1.2 坍塌</w:t>
      </w:r>
      <w:bookmarkEnd w:id="531"/>
    </w:p>
    <w:p w14:paraId="4332E4C0">
      <w:pPr>
        <w:keepNext w:val="0"/>
        <w:keepLines w:val="0"/>
        <w:pageBreakBefore w:val="0"/>
        <w:widowControl w:val="0"/>
        <w:wordWrap/>
        <w:overflowPunct/>
        <w:topLinePunct w:val="0"/>
        <w:bidi w:val="0"/>
        <w:rPr>
          <w:rFonts w:hint="eastAsia"/>
          <w:color w:val="auto"/>
        </w:rPr>
      </w:pPr>
      <w:r>
        <w:rPr>
          <w:rFonts w:hint="eastAsia"/>
          <w:color w:val="auto"/>
          <w:lang w:val="en-US" w:eastAsia="zh-CN"/>
        </w:rPr>
        <w:t>坍塌是指建筑物、构筑物或堆置物等在外力、重力或环境作用下超过自身的强度极限或因结构稳定性破坏发生塌落、倾倒造成的事故。</w:t>
      </w:r>
    </w:p>
    <w:bookmarkEnd w:id="532"/>
    <w:bookmarkEnd w:id="533"/>
    <w:bookmarkEnd w:id="534"/>
    <w:bookmarkEnd w:id="535"/>
    <w:bookmarkEnd w:id="536"/>
    <w:p w14:paraId="4097A780">
      <w:pPr>
        <w:keepNext w:val="0"/>
        <w:keepLines w:val="0"/>
        <w:pageBreakBefore w:val="0"/>
        <w:widowControl w:val="0"/>
        <w:wordWrap/>
        <w:overflowPunct/>
        <w:topLinePunct w:val="0"/>
        <w:bidi w:val="0"/>
        <w:rPr>
          <w:rFonts w:hint="default"/>
          <w:color w:val="auto"/>
          <w:lang w:val="en-US" w:eastAsia="zh-CN"/>
        </w:rPr>
      </w:pPr>
      <w:r>
        <w:rPr>
          <w:rFonts w:hint="eastAsia"/>
          <w:color w:val="auto"/>
          <w:lang w:val="en-US" w:eastAsia="zh-CN"/>
        </w:rPr>
        <w:t>1）井下坍塌危险因素分析</w:t>
      </w:r>
    </w:p>
    <w:p w14:paraId="430A3EBB">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该矿矿体及围岩开挖后，破坏了原岩石应力的平衡，岩体中应力重新分布，产生次生应力场，使矿柱、工作面顶板和围岩发生产变形、移动和破坏，如顶板塌落、矿柱压裂或塌落、围岩开裂和塌落等现象。</w:t>
      </w:r>
    </w:p>
    <w:p w14:paraId="3D2E18E4">
      <w:pPr>
        <w:keepNext w:val="0"/>
        <w:keepLines w:val="0"/>
        <w:pageBreakBefore w:val="0"/>
        <w:widowControl w:val="0"/>
        <w:wordWrap/>
        <w:overflowPunct/>
        <w:topLinePunct w:val="0"/>
        <w:bidi w:val="0"/>
        <w:rPr>
          <w:rFonts w:hint="eastAsia"/>
          <w:color w:val="auto"/>
          <w:spacing w:val="-6"/>
          <w:sz w:val="28"/>
        </w:rPr>
      </w:pPr>
      <w:r>
        <w:rPr>
          <w:rFonts w:hint="eastAsia"/>
          <w:color w:val="auto"/>
          <w:spacing w:val="-6"/>
          <w:sz w:val="28"/>
          <w:lang w:val="en-US" w:eastAsia="zh-CN"/>
        </w:rPr>
        <w:t>（1）</w:t>
      </w:r>
      <w:r>
        <w:rPr>
          <w:rFonts w:hint="eastAsia"/>
          <w:color w:val="auto"/>
          <w:spacing w:val="-6"/>
          <w:sz w:val="28"/>
        </w:rPr>
        <w:t>引起</w:t>
      </w:r>
      <w:r>
        <w:rPr>
          <w:rFonts w:hint="eastAsia"/>
          <w:color w:val="auto"/>
          <w:spacing w:val="-6"/>
          <w:sz w:val="28"/>
          <w:lang w:val="en-US" w:eastAsia="zh-CN"/>
        </w:rPr>
        <w:t>坍塌</w:t>
      </w:r>
      <w:r>
        <w:rPr>
          <w:rFonts w:hint="eastAsia"/>
          <w:color w:val="auto"/>
          <w:spacing w:val="-6"/>
          <w:sz w:val="28"/>
        </w:rPr>
        <w:t>的原因：采矿方法不合理；穿越地压活动区域；穿越地质构造区域；矿柱被破坏；采场矿柱设计不合理或未保护完好；在应该进行支护的井巷没有支护或支护设计不合理；遇到新的地质构造而没有及时采取措施；采场或巷道施工工艺不合理；采场或巷道施工时违章作业；遇到新的岩石而没有按岩性进行施工；爆破参数设计不合理；爆破工序不合理；爆破施工时违章作业；地下水作用、岩石风化等其他地压活动的影响和破坏。</w:t>
      </w:r>
    </w:p>
    <w:p w14:paraId="0B5A0CAA">
      <w:pPr>
        <w:bidi w:val="0"/>
        <w:rPr>
          <w:rFonts w:hint="eastAsia"/>
          <w:color w:val="auto"/>
          <w:spacing w:val="-6"/>
          <w:sz w:val="28"/>
        </w:rPr>
      </w:pPr>
      <w:r>
        <w:rPr>
          <w:rFonts w:hint="eastAsia"/>
          <w:color w:val="auto"/>
          <w:spacing w:val="-6"/>
          <w:sz w:val="28"/>
          <w:lang w:val="en-US" w:eastAsia="zh-CN"/>
        </w:rPr>
        <w:t>（2）塌落</w:t>
      </w:r>
      <w:r>
        <w:rPr>
          <w:rFonts w:hint="eastAsia"/>
          <w:color w:val="auto"/>
          <w:spacing w:val="-6"/>
          <w:sz w:val="28"/>
        </w:rPr>
        <w:t>危害</w:t>
      </w:r>
      <w:r>
        <w:rPr>
          <w:rFonts w:hint="eastAsia"/>
          <w:color w:val="auto"/>
          <w:spacing w:val="-6"/>
          <w:sz w:val="28"/>
          <w:lang w:eastAsia="zh-CN"/>
        </w:rPr>
        <w:t>：</w:t>
      </w:r>
      <w:r>
        <w:rPr>
          <w:rFonts w:hint="eastAsia"/>
          <w:color w:val="auto"/>
          <w:spacing w:val="-6"/>
          <w:sz w:val="28"/>
          <w:lang w:val="en-US" w:eastAsia="zh-CN"/>
        </w:rPr>
        <w:t>地下矿山塌落</w:t>
      </w:r>
      <w:r>
        <w:rPr>
          <w:rFonts w:hint="eastAsia"/>
          <w:color w:val="auto"/>
          <w:spacing w:val="-6"/>
          <w:sz w:val="28"/>
        </w:rPr>
        <w:t>通常表现为采场</w:t>
      </w:r>
      <w:r>
        <w:rPr>
          <w:rFonts w:hint="eastAsia"/>
          <w:color w:val="auto"/>
          <w:spacing w:val="-6"/>
          <w:sz w:val="28"/>
          <w:lang w:eastAsia="zh-CN"/>
        </w:rPr>
        <w:t>（</w:t>
      </w:r>
      <w:r>
        <w:rPr>
          <w:rFonts w:hint="eastAsia"/>
          <w:color w:val="auto"/>
          <w:spacing w:val="-6"/>
          <w:sz w:val="28"/>
        </w:rPr>
        <w:t>采掘</w:t>
      </w:r>
      <w:r>
        <w:rPr>
          <w:rFonts w:hint="eastAsia"/>
          <w:color w:val="auto"/>
          <w:spacing w:val="-6"/>
          <w:sz w:val="28"/>
          <w:lang w:eastAsia="zh-CN"/>
        </w:rPr>
        <w:t>）</w:t>
      </w:r>
      <w:r>
        <w:rPr>
          <w:rFonts w:hint="eastAsia"/>
          <w:color w:val="auto"/>
          <w:spacing w:val="-6"/>
          <w:sz w:val="28"/>
        </w:rPr>
        <w:t>工作面</w:t>
      </w:r>
      <w:r>
        <w:rPr>
          <w:rFonts w:hint="eastAsia"/>
          <w:color w:val="auto"/>
          <w:spacing w:val="-6"/>
          <w:sz w:val="28"/>
          <w:lang w:eastAsia="zh-CN"/>
        </w:rPr>
        <w:t>、</w:t>
      </w:r>
      <w:r>
        <w:rPr>
          <w:rFonts w:hint="eastAsia"/>
          <w:color w:val="auto"/>
          <w:spacing w:val="-6"/>
          <w:sz w:val="28"/>
        </w:rPr>
        <w:t>巷道顶板</w:t>
      </w:r>
      <w:r>
        <w:rPr>
          <w:rFonts w:hint="eastAsia"/>
          <w:color w:val="auto"/>
          <w:spacing w:val="-6"/>
          <w:sz w:val="28"/>
          <w:lang w:eastAsia="zh-CN"/>
        </w:rPr>
        <w:t>、</w:t>
      </w:r>
      <w:r>
        <w:rPr>
          <w:rFonts w:hint="eastAsia"/>
          <w:color w:val="auto"/>
          <w:spacing w:val="-6"/>
          <w:sz w:val="28"/>
          <w:lang w:val="en-US" w:eastAsia="zh-CN"/>
        </w:rPr>
        <w:t>边帮塌落</w:t>
      </w:r>
      <w:r>
        <w:rPr>
          <w:rFonts w:hint="eastAsia"/>
          <w:color w:val="auto"/>
          <w:spacing w:val="-6"/>
          <w:sz w:val="28"/>
          <w:lang w:eastAsia="zh-CN"/>
        </w:rPr>
        <w:t>，</w:t>
      </w:r>
      <w:r>
        <w:rPr>
          <w:rFonts w:hint="eastAsia"/>
          <w:color w:val="auto"/>
          <w:spacing w:val="-6"/>
          <w:sz w:val="28"/>
        </w:rPr>
        <w:t>顶板</w:t>
      </w:r>
      <w:r>
        <w:rPr>
          <w:rFonts w:hint="eastAsia"/>
          <w:color w:val="auto"/>
          <w:spacing w:val="-6"/>
          <w:sz w:val="28"/>
          <w:lang w:eastAsia="zh-CN"/>
        </w:rPr>
        <w:t>、</w:t>
      </w:r>
      <w:r>
        <w:rPr>
          <w:rFonts w:hint="eastAsia"/>
          <w:color w:val="auto"/>
          <w:spacing w:val="-6"/>
          <w:sz w:val="28"/>
          <w:lang w:val="en-US" w:eastAsia="zh-CN"/>
        </w:rPr>
        <w:t>边帮塌落后</w:t>
      </w:r>
      <w:r>
        <w:rPr>
          <w:rFonts w:hint="eastAsia"/>
          <w:color w:val="auto"/>
          <w:spacing w:val="-6"/>
          <w:sz w:val="28"/>
        </w:rPr>
        <w:t>主要危害</w:t>
      </w:r>
      <w:r>
        <w:rPr>
          <w:rFonts w:hint="eastAsia"/>
          <w:color w:val="auto"/>
          <w:spacing w:val="-6"/>
          <w:sz w:val="28"/>
          <w:lang w:val="en-US" w:eastAsia="zh-CN"/>
        </w:rPr>
        <w:t>有</w:t>
      </w:r>
      <w:r>
        <w:rPr>
          <w:rFonts w:hint="eastAsia"/>
          <w:color w:val="auto"/>
          <w:spacing w:val="-6"/>
          <w:sz w:val="28"/>
        </w:rPr>
        <w:t>破坏采场和周围的巷道</w:t>
      </w:r>
      <w:r>
        <w:rPr>
          <w:rFonts w:hint="eastAsia"/>
          <w:color w:val="auto"/>
          <w:spacing w:val="-6"/>
          <w:sz w:val="28"/>
          <w:lang w:eastAsia="zh-CN"/>
        </w:rPr>
        <w:t>、</w:t>
      </w:r>
      <w:r>
        <w:rPr>
          <w:rFonts w:hint="eastAsia"/>
          <w:color w:val="auto"/>
          <w:spacing w:val="-6"/>
          <w:sz w:val="28"/>
        </w:rPr>
        <w:t>破坏设备和设施</w:t>
      </w:r>
      <w:r>
        <w:rPr>
          <w:rFonts w:hint="eastAsia"/>
          <w:color w:val="auto"/>
          <w:spacing w:val="-6"/>
          <w:sz w:val="28"/>
          <w:lang w:eastAsia="zh-CN"/>
        </w:rPr>
        <w:t>、</w:t>
      </w:r>
      <w:r>
        <w:rPr>
          <w:rFonts w:hint="eastAsia"/>
          <w:color w:val="auto"/>
          <w:spacing w:val="-6"/>
          <w:sz w:val="28"/>
        </w:rPr>
        <w:t>破坏矿井的正常通风</w:t>
      </w:r>
      <w:r>
        <w:rPr>
          <w:rFonts w:hint="eastAsia"/>
          <w:color w:val="auto"/>
          <w:spacing w:val="-6"/>
          <w:sz w:val="28"/>
          <w:lang w:eastAsia="zh-CN"/>
        </w:rPr>
        <w:t>、</w:t>
      </w:r>
      <w:r>
        <w:rPr>
          <w:rFonts w:hint="eastAsia"/>
          <w:color w:val="auto"/>
          <w:spacing w:val="-6"/>
          <w:sz w:val="28"/>
          <w:lang w:val="en-US" w:eastAsia="zh-CN"/>
        </w:rPr>
        <w:t>扰乱</w:t>
      </w:r>
      <w:r>
        <w:rPr>
          <w:rFonts w:hint="eastAsia"/>
          <w:color w:val="auto"/>
          <w:spacing w:val="-6"/>
          <w:sz w:val="28"/>
        </w:rPr>
        <w:t>生产秩序</w:t>
      </w:r>
      <w:r>
        <w:rPr>
          <w:rFonts w:hint="eastAsia"/>
          <w:color w:val="auto"/>
          <w:spacing w:val="-6"/>
          <w:sz w:val="28"/>
          <w:lang w:eastAsia="zh-CN"/>
        </w:rPr>
        <w:t>、</w:t>
      </w:r>
      <w:r>
        <w:rPr>
          <w:rFonts w:hint="eastAsia"/>
          <w:color w:val="auto"/>
          <w:spacing w:val="-6"/>
          <w:sz w:val="28"/>
          <w:lang w:val="en-US" w:eastAsia="zh-CN"/>
        </w:rPr>
        <w:t>甚至</w:t>
      </w:r>
      <w:r>
        <w:rPr>
          <w:rFonts w:hint="eastAsia"/>
          <w:color w:val="auto"/>
          <w:spacing w:val="-6"/>
          <w:sz w:val="28"/>
        </w:rPr>
        <w:t>造成人员伤亡</w:t>
      </w:r>
      <w:r>
        <w:rPr>
          <w:rFonts w:hint="eastAsia"/>
          <w:color w:val="auto"/>
          <w:spacing w:val="-6"/>
          <w:sz w:val="28"/>
          <w:lang w:val="en-US" w:eastAsia="zh-CN"/>
        </w:rPr>
        <w:t>等</w:t>
      </w:r>
      <w:r>
        <w:rPr>
          <w:rFonts w:hint="eastAsia"/>
          <w:color w:val="auto"/>
          <w:spacing w:val="-6"/>
          <w:sz w:val="28"/>
        </w:rPr>
        <w:t>。</w:t>
      </w:r>
    </w:p>
    <w:p w14:paraId="4E36D8F6">
      <w:pPr>
        <w:bidi w:val="0"/>
        <w:rPr>
          <w:rFonts w:hint="eastAsia"/>
          <w:color w:val="auto"/>
          <w:lang w:val="en-US" w:eastAsia="zh-CN"/>
        </w:rPr>
      </w:pPr>
      <w:bookmarkStart w:id="537" w:name="_Toc14052"/>
      <w:bookmarkStart w:id="538" w:name="_Toc11264"/>
      <w:bookmarkStart w:id="539" w:name="_Toc9731"/>
      <w:bookmarkStart w:id="540" w:name="_Toc17157"/>
      <w:r>
        <w:rPr>
          <w:rFonts w:hint="eastAsia"/>
          <w:color w:val="auto"/>
          <w:lang w:val="en-US" w:eastAsia="zh-CN"/>
        </w:rPr>
        <w:t>（3）塌落可能发生的场所有：采场、采空区、巷道。</w:t>
      </w:r>
      <w:bookmarkEnd w:id="537"/>
      <w:bookmarkEnd w:id="538"/>
      <w:bookmarkEnd w:id="539"/>
      <w:bookmarkEnd w:id="540"/>
    </w:p>
    <w:p w14:paraId="1D1068F9">
      <w:pPr>
        <w:bidi w:val="0"/>
        <w:rPr>
          <w:rFonts w:hint="eastAsia"/>
          <w:color w:val="auto"/>
          <w:lang w:val="en-US" w:eastAsia="zh-CN"/>
        </w:rPr>
      </w:pPr>
      <w:r>
        <w:rPr>
          <w:rFonts w:hint="eastAsia"/>
          <w:color w:val="auto"/>
          <w:lang w:val="en-US" w:eastAsia="zh-CN"/>
        </w:rPr>
        <w:t>2）地表坍塌危险因素分析</w:t>
      </w:r>
    </w:p>
    <w:p w14:paraId="5E25D4ED">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（1）坍塌事故发生的原因：</w:t>
      </w:r>
    </w:p>
    <w:p w14:paraId="4138F185">
      <w:pPr>
        <w:keepNext w:val="0"/>
        <w:keepLines w:val="0"/>
        <w:pageBreakBefore w:val="0"/>
        <w:widowControl w:val="0"/>
        <w:wordWrap/>
        <w:overflowPunct/>
        <w:topLinePunct w:val="0"/>
        <w:bidi w:val="0"/>
        <w:rPr>
          <w:rFonts w:hint="eastAsia"/>
          <w:color w:val="auto"/>
        </w:rPr>
      </w:pPr>
      <w:r>
        <w:rPr>
          <w:rFonts w:hint="eastAsia"/>
          <w:color w:val="auto"/>
          <w:lang w:val="en-US" w:eastAsia="zh-CN"/>
        </w:rPr>
        <w:fldChar w:fldCharType="begin"/>
      </w:r>
      <w:r>
        <w:rPr>
          <w:rFonts w:hint="eastAsia"/>
          <w:color w:val="auto"/>
          <w:lang w:val="en-US" w:eastAsia="zh-CN"/>
        </w:rPr>
        <w:instrText xml:space="preserve"> = 1 \* GB3 \* MERGEFORMAT </w:instrText>
      </w:r>
      <w:r>
        <w:rPr>
          <w:rFonts w:hint="eastAsia"/>
          <w:color w:val="auto"/>
          <w:lang w:val="en-US" w:eastAsia="zh-CN"/>
        </w:rPr>
        <w:fldChar w:fldCharType="separate"/>
      </w:r>
      <w:r>
        <w:rPr>
          <w:rFonts w:hint="eastAsia"/>
          <w:color w:val="auto"/>
        </w:rPr>
        <w:t>①</w:t>
      </w:r>
      <w:r>
        <w:rPr>
          <w:rFonts w:hint="eastAsia"/>
          <w:color w:val="auto"/>
          <w:lang w:val="en-US" w:eastAsia="zh-CN"/>
        </w:rPr>
        <w:fldChar w:fldCharType="end"/>
      </w:r>
      <w:r>
        <w:rPr>
          <w:rFonts w:hint="eastAsia"/>
          <w:color w:val="auto"/>
        </w:rPr>
        <w:t>采场出现空洞或采矿引起地表陷落；</w:t>
      </w:r>
    </w:p>
    <w:p w14:paraId="0CFCA6E7">
      <w:pPr>
        <w:keepNext w:val="0"/>
        <w:keepLines w:val="0"/>
        <w:pageBreakBefore w:val="0"/>
        <w:widowControl w:val="0"/>
        <w:wordWrap/>
        <w:overflowPunct/>
        <w:topLinePunct w:val="0"/>
        <w:bidi w:val="0"/>
        <w:rPr>
          <w:rFonts w:hint="eastAsia"/>
          <w:color w:val="auto"/>
        </w:rPr>
      </w:pPr>
      <w:r>
        <w:rPr>
          <w:rFonts w:hint="eastAsia"/>
          <w:color w:val="auto"/>
          <w:lang w:val="en-US" w:eastAsia="zh-CN"/>
        </w:rPr>
        <w:fldChar w:fldCharType="begin"/>
      </w:r>
      <w:r>
        <w:rPr>
          <w:rFonts w:hint="eastAsia"/>
          <w:color w:val="auto"/>
          <w:lang w:val="en-US" w:eastAsia="zh-CN"/>
        </w:rPr>
        <w:instrText xml:space="preserve"> = 2 \* GB3 \* MERGEFORMAT </w:instrText>
      </w:r>
      <w:r>
        <w:rPr>
          <w:rFonts w:hint="eastAsia"/>
          <w:color w:val="auto"/>
          <w:lang w:val="en-US" w:eastAsia="zh-CN"/>
        </w:rPr>
        <w:fldChar w:fldCharType="separate"/>
      </w:r>
      <w:r>
        <w:rPr>
          <w:rFonts w:hint="eastAsia"/>
          <w:color w:val="auto"/>
        </w:rPr>
        <w:t>②</w:t>
      </w:r>
      <w:r>
        <w:rPr>
          <w:rFonts w:hint="eastAsia"/>
          <w:color w:val="auto"/>
          <w:lang w:val="en-US" w:eastAsia="zh-CN"/>
        </w:rPr>
        <w:fldChar w:fldCharType="end"/>
      </w:r>
      <w:r>
        <w:rPr>
          <w:rFonts w:hint="eastAsia"/>
          <w:color w:val="auto"/>
        </w:rPr>
        <w:t>地面高大建构筑物基础不稳</w:t>
      </w:r>
      <w:r>
        <w:rPr>
          <w:rFonts w:hint="eastAsia"/>
          <w:color w:val="auto"/>
          <w:lang w:eastAsia="zh-CN"/>
        </w:rPr>
        <w:t>，</w:t>
      </w:r>
      <w:r>
        <w:rPr>
          <w:rFonts w:hint="eastAsia"/>
          <w:color w:val="auto"/>
        </w:rPr>
        <w:t>施工质量较差</w:t>
      </w:r>
      <w:r>
        <w:rPr>
          <w:rFonts w:hint="eastAsia"/>
          <w:color w:val="auto"/>
          <w:lang w:eastAsia="zh-CN"/>
        </w:rPr>
        <w:t>，</w:t>
      </w:r>
      <w:r>
        <w:rPr>
          <w:rFonts w:hint="eastAsia"/>
          <w:color w:val="auto"/>
        </w:rPr>
        <w:t>建筑材料选择不当；</w:t>
      </w:r>
    </w:p>
    <w:p w14:paraId="6820084F">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3 \* GB3 \* MERGEFORMAT </w:instrText>
      </w:r>
      <w:r>
        <w:rPr>
          <w:rFonts w:hint="eastAsia"/>
          <w:color w:val="auto"/>
          <w:lang w:val="en-US" w:eastAsia="zh-CN"/>
        </w:rPr>
        <w:fldChar w:fldCharType="separate"/>
      </w:r>
      <w:r>
        <w:rPr>
          <w:rFonts w:hint="eastAsia"/>
          <w:color w:val="auto"/>
        </w:rPr>
        <w:t>③</w:t>
      </w:r>
      <w:r>
        <w:rPr>
          <w:rFonts w:hint="eastAsia"/>
          <w:color w:val="auto"/>
          <w:lang w:val="en-US" w:eastAsia="zh-CN"/>
        </w:rPr>
        <w:fldChar w:fldCharType="end"/>
      </w:r>
      <w:r>
        <w:rPr>
          <w:rFonts w:hint="eastAsia"/>
          <w:color w:val="auto"/>
          <w:lang w:val="en-US" w:eastAsia="zh-CN"/>
        </w:rPr>
        <w:t>各类建筑及施工材料(如木头、钢材、砖块等)堆置不当，发生倾倒现象。</w:t>
      </w:r>
    </w:p>
    <w:p w14:paraId="74B480D3">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（2）该矿区存在的坍塌场所可能有：</w:t>
      </w:r>
    </w:p>
    <w:p w14:paraId="404F6C98">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1 \* GB3 \* MERGEFORMAT </w:instrText>
      </w:r>
      <w:r>
        <w:rPr>
          <w:rFonts w:hint="eastAsia"/>
          <w:color w:val="auto"/>
          <w:lang w:val="en-US" w:eastAsia="zh-CN"/>
        </w:rPr>
        <w:fldChar w:fldCharType="separate"/>
      </w:r>
      <w:r>
        <w:rPr>
          <w:rFonts w:hint="eastAsia"/>
          <w:color w:val="auto"/>
        </w:rPr>
        <w:t>①</w:t>
      </w:r>
      <w:r>
        <w:rPr>
          <w:rFonts w:hint="eastAsia"/>
          <w:color w:val="auto"/>
          <w:lang w:val="en-US" w:eastAsia="zh-CN"/>
        </w:rPr>
        <w:fldChar w:fldCharType="end"/>
      </w:r>
      <w:r>
        <w:rPr>
          <w:rFonts w:hint="eastAsia"/>
          <w:color w:val="auto"/>
          <w:lang w:val="en-US" w:eastAsia="zh-CN"/>
        </w:rPr>
        <w:t>地压活动较剧烈区域，地质构造区域，以及留有采空区的场所；</w:t>
      </w:r>
    </w:p>
    <w:p w14:paraId="2920B2E3">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2 \* GB3 \* MERGEFORMAT </w:instrText>
      </w:r>
      <w:r>
        <w:rPr>
          <w:rFonts w:hint="eastAsia"/>
          <w:color w:val="auto"/>
          <w:lang w:val="en-US" w:eastAsia="zh-CN"/>
        </w:rPr>
        <w:fldChar w:fldCharType="separate"/>
      </w:r>
      <w:r>
        <w:rPr>
          <w:rFonts w:hint="eastAsia"/>
          <w:color w:val="auto"/>
        </w:rPr>
        <w:t>②</w:t>
      </w:r>
      <w:r>
        <w:rPr>
          <w:rFonts w:hint="eastAsia"/>
          <w:color w:val="auto"/>
          <w:lang w:val="en-US" w:eastAsia="zh-CN"/>
        </w:rPr>
        <w:fldChar w:fldCharType="end"/>
      </w:r>
      <w:r>
        <w:rPr>
          <w:rFonts w:hint="eastAsia"/>
          <w:color w:val="auto"/>
          <w:lang w:val="en-US" w:eastAsia="zh-CN"/>
        </w:rPr>
        <w:t>地表错动区；</w:t>
      </w:r>
    </w:p>
    <w:p w14:paraId="22F2A016">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3 \* GB3 \* MERGEFORMAT </w:instrText>
      </w:r>
      <w:r>
        <w:rPr>
          <w:rFonts w:hint="eastAsia"/>
          <w:color w:val="auto"/>
          <w:lang w:val="en-US" w:eastAsia="zh-CN"/>
        </w:rPr>
        <w:fldChar w:fldCharType="separate"/>
      </w:r>
      <w:r>
        <w:rPr>
          <w:rFonts w:hint="eastAsia"/>
          <w:color w:val="auto"/>
        </w:rPr>
        <w:t>③</w:t>
      </w:r>
      <w:r>
        <w:rPr>
          <w:rFonts w:hint="eastAsia"/>
          <w:color w:val="auto"/>
          <w:lang w:val="en-US" w:eastAsia="zh-CN"/>
        </w:rPr>
        <w:fldChar w:fldCharType="end"/>
      </w:r>
      <w:r>
        <w:rPr>
          <w:rFonts w:hint="eastAsia"/>
          <w:color w:val="auto"/>
          <w:lang w:val="en-US" w:eastAsia="zh-CN"/>
        </w:rPr>
        <w:t>地面各类建筑物，如空压机房、井口值班室等工业及民用建筑物；</w:t>
      </w:r>
    </w:p>
    <w:p w14:paraId="6B0D1C9F">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fldChar w:fldCharType="begin"/>
      </w:r>
      <w:r>
        <w:rPr>
          <w:rFonts w:hint="eastAsia"/>
          <w:color w:val="auto"/>
          <w:lang w:val="en-US" w:eastAsia="zh-CN"/>
        </w:rPr>
        <w:instrText xml:space="preserve"> = 4 \* GB3 \* MERGEFORMAT </w:instrText>
      </w:r>
      <w:r>
        <w:rPr>
          <w:rFonts w:hint="eastAsia"/>
          <w:color w:val="auto"/>
          <w:lang w:val="en-US" w:eastAsia="zh-CN"/>
        </w:rPr>
        <w:fldChar w:fldCharType="separate"/>
      </w:r>
      <w:r>
        <w:rPr>
          <w:rFonts w:hint="eastAsia"/>
          <w:color w:val="auto"/>
        </w:rPr>
        <w:t>④</w:t>
      </w:r>
      <w:r>
        <w:rPr>
          <w:rFonts w:hint="eastAsia"/>
          <w:color w:val="auto"/>
          <w:lang w:val="en-US" w:eastAsia="zh-CN"/>
        </w:rPr>
        <w:fldChar w:fldCharType="end"/>
      </w:r>
      <w:r>
        <w:rPr>
          <w:rFonts w:hint="eastAsia"/>
          <w:color w:val="auto"/>
          <w:lang w:val="en-US" w:eastAsia="zh-CN"/>
        </w:rPr>
        <w:t>其它超高堆放物体的场所，如木材、钢材、砖块等基建材料堆放处。</w:t>
      </w:r>
    </w:p>
    <w:p w14:paraId="49FD6030">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541" w:name="_Toc13597"/>
      <w:bookmarkStart w:id="542" w:name="_Toc7771"/>
      <w:bookmarkStart w:id="543" w:name="_Toc27819"/>
      <w:bookmarkStart w:id="544" w:name="_Toc26119"/>
      <w:bookmarkStart w:id="545" w:name="_Toc8157"/>
      <w:bookmarkStart w:id="546" w:name="_Toc6162"/>
      <w:r>
        <w:rPr>
          <w:rFonts w:hint="eastAsia"/>
          <w:color w:val="auto"/>
          <w:lang w:val="en-US" w:eastAsia="zh-CN"/>
        </w:rPr>
        <w:t>3.1.3 机械致害</w:t>
      </w:r>
      <w:bookmarkEnd w:id="541"/>
      <w:bookmarkEnd w:id="542"/>
      <w:bookmarkEnd w:id="543"/>
      <w:bookmarkEnd w:id="544"/>
      <w:bookmarkEnd w:id="545"/>
      <w:bookmarkEnd w:id="546"/>
    </w:p>
    <w:p w14:paraId="335BFFD7">
      <w:pPr>
        <w:keepNext w:val="0"/>
        <w:keepLines w:val="0"/>
        <w:pageBreakBefore w:val="0"/>
        <w:widowControl w:val="0"/>
        <w:wordWrap/>
        <w:overflowPunct/>
        <w:topLinePunct w:val="0"/>
        <w:bidi w:val="0"/>
        <w:rPr>
          <w:rFonts w:hint="eastAsia"/>
          <w:color w:val="auto"/>
        </w:rPr>
      </w:pPr>
      <w:r>
        <w:rPr>
          <w:rFonts w:hint="eastAsia"/>
          <w:color w:val="auto"/>
          <w:lang w:val="en-US" w:eastAsia="zh-CN"/>
        </w:rPr>
        <w:t>机械致害是指机械设备(含部件)或加工件直接与人体或设备设施接触造成的夹击、碾压、绞、剪切、割、刺及物体飞溅等事故。</w:t>
      </w:r>
    </w:p>
    <w:p w14:paraId="0C69E344">
      <w:pPr>
        <w:keepNext w:val="0"/>
        <w:keepLines w:val="0"/>
        <w:pageBreakBefore w:val="0"/>
        <w:widowControl w:val="0"/>
        <w:wordWrap/>
        <w:overflowPunct/>
        <w:topLinePunct w:val="0"/>
        <w:bidi w:val="0"/>
        <w:rPr>
          <w:rFonts w:hint="eastAsia"/>
          <w:color w:val="auto"/>
        </w:rPr>
      </w:pPr>
      <w:r>
        <w:rPr>
          <w:rFonts w:hint="eastAsia"/>
          <w:color w:val="auto"/>
        </w:rPr>
        <w:t>该评价项目易造成机械</w:t>
      </w:r>
      <w:r>
        <w:rPr>
          <w:rFonts w:hint="eastAsia"/>
          <w:color w:val="auto"/>
          <w:lang w:val="en-US" w:eastAsia="zh-CN"/>
        </w:rPr>
        <w:t>致</w:t>
      </w:r>
      <w:r>
        <w:rPr>
          <w:rFonts w:hint="eastAsia"/>
          <w:color w:val="auto"/>
        </w:rPr>
        <w:t>害的机械、设备包括</w:t>
      </w:r>
      <w:r>
        <w:rPr>
          <w:rFonts w:hint="eastAsia"/>
          <w:color w:val="auto"/>
          <w:lang w:eastAsia="zh-CN"/>
        </w:rPr>
        <w:t>：</w:t>
      </w:r>
      <w:r>
        <w:rPr>
          <w:rFonts w:hint="eastAsia"/>
          <w:color w:val="auto"/>
          <w:lang w:val="en-US" w:eastAsia="zh-CN"/>
        </w:rPr>
        <w:t>1）</w:t>
      </w:r>
      <w:r>
        <w:rPr>
          <w:rFonts w:hint="eastAsia"/>
          <w:color w:val="auto"/>
        </w:rPr>
        <w:t>采掘机械；</w:t>
      </w:r>
      <w:r>
        <w:rPr>
          <w:rFonts w:hint="eastAsia"/>
          <w:color w:val="auto"/>
          <w:lang w:val="en-US" w:eastAsia="zh-CN"/>
        </w:rPr>
        <w:t>2）</w:t>
      </w:r>
      <w:r>
        <w:rPr>
          <w:rFonts w:hint="eastAsia"/>
          <w:color w:val="auto"/>
        </w:rPr>
        <w:t>钻探机械；</w:t>
      </w:r>
      <w:r>
        <w:rPr>
          <w:rFonts w:hint="eastAsia"/>
          <w:color w:val="auto"/>
          <w:lang w:val="en-US" w:eastAsia="zh-CN"/>
        </w:rPr>
        <w:t>3）</w:t>
      </w:r>
      <w:r>
        <w:rPr>
          <w:rFonts w:hint="eastAsia"/>
          <w:color w:val="auto"/>
        </w:rPr>
        <w:t>通风设备；</w:t>
      </w:r>
      <w:r>
        <w:rPr>
          <w:rFonts w:hint="eastAsia"/>
          <w:color w:val="auto"/>
          <w:lang w:val="en-US" w:eastAsia="zh-CN"/>
        </w:rPr>
        <w:t>4）装矿（岩）设备；5）</w:t>
      </w:r>
      <w:r>
        <w:rPr>
          <w:rFonts w:hint="eastAsia"/>
          <w:color w:val="auto"/>
        </w:rPr>
        <w:t>其它机械设备和设施。</w:t>
      </w:r>
    </w:p>
    <w:p w14:paraId="61421F40">
      <w:pPr>
        <w:keepNext w:val="0"/>
        <w:keepLines w:val="0"/>
        <w:pageBreakBefore w:val="0"/>
        <w:widowControl w:val="0"/>
        <w:wordWrap/>
        <w:overflowPunct/>
        <w:topLinePunct w:val="0"/>
        <w:bidi w:val="0"/>
        <w:rPr>
          <w:rFonts w:hint="eastAsia"/>
          <w:color w:val="auto"/>
        </w:rPr>
      </w:pPr>
      <w:r>
        <w:rPr>
          <w:rFonts w:hint="eastAsia"/>
          <w:color w:val="auto"/>
        </w:rPr>
        <w:t>引起机械</w:t>
      </w:r>
      <w:r>
        <w:rPr>
          <w:rFonts w:hint="eastAsia"/>
          <w:color w:val="auto"/>
          <w:lang w:val="en-US" w:eastAsia="zh-CN"/>
        </w:rPr>
        <w:t>致</w:t>
      </w:r>
      <w:r>
        <w:rPr>
          <w:rFonts w:hint="eastAsia"/>
          <w:color w:val="auto"/>
        </w:rPr>
        <w:t>害的原因有：</w:t>
      </w:r>
    </w:p>
    <w:p w14:paraId="31F6B642">
      <w:pPr>
        <w:keepNext w:val="0"/>
        <w:keepLines w:val="0"/>
        <w:pageBreakBefore w:val="0"/>
        <w:widowControl w:val="0"/>
        <w:wordWrap/>
        <w:overflowPunct/>
        <w:topLinePunct w:val="0"/>
        <w:bidi w:val="0"/>
        <w:rPr>
          <w:rFonts w:hint="eastAsia"/>
          <w:color w:val="auto"/>
        </w:rPr>
      </w:pPr>
      <w:r>
        <w:rPr>
          <w:rFonts w:hint="eastAsia"/>
          <w:color w:val="auto"/>
        </w:rPr>
        <w:t>1)各类旋转、往复运动部件没有安全防护罩</w:t>
      </w:r>
      <w:r>
        <w:rPr>
          <w:rFonts w:hint="eastAsia"/>
          <w:color w:val="auto"/>
          <w:lang w:eastAsia="zh-CN"/>
        </w:rPr>
        <w:t>，</w:t>
      </w:r>
      <w:r>
        <w:rPr>
          <w:rFonts w:hint="eastAsia"/>
          <w:color w:val="auto"/>
        </w:rPr>
        <w:t>或设置不合理；2)使用机械不当或违犯技术操作规程。</w:t>
      </w:r>
    </w:p>
    <w:p w14:paraId="038A8730">
      <w:pPr>
        <w:keepNext w:val="0"/>
        <w:keepLines w:val="0"/>
        <w:pageBreakBefore w:val="0"/>
        <w:widowControl w:val="0"/>
        <w:wordWrap/>
        <w:overflowPunct/>
        <w:topLinePunct w:val="0"/>
        <w:bidi w:val="0"/>
        <w:rPr>
          <w:color w:val="auto"/>
        </w:rPr>
      </w:pPr>
      <w:r>
        <w:rPr>
          <w:rFonts w:hint="eastAsia"/>
          <w:color w:val="auto"/>
        </w:rPr>
        <w:t>该矿区可能造成机械伤害的场所有：巷道、采场及掘进工作面、装卸场所等</w:t>
      </w:r>
      <w:r>
        <w:rPr>
          <w:color w:val="auto"/>
        </w:rPr>
        <w:t>。</w:t>
      </w:r>
    </w:p>
    <w:p w14:paraId="0C8CDD9F">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547" w:name="_Toc2071"/>
      <w:bookmarkStart w:id="548" w:name="_Toc10445"/>
      <w:bookmarkStart w:id="549" w:name="_Toc29947"/>
      <w:bookmarkStart w:id="550" w:name="_Toc11455"/>
      <w:bookmarkStart w:id="551" w:name="_Toc4405"/>
      <w:bookmarkStart w:id="552" w:name="_Toc29449"/>
      <w:r>
        <w:rPr>
          <w:rFonts w:hint="eastAsia"/>
          <w:color w:val="auto"/>
          <w:lang w:val="en-US" w:eastAsia="zh-CN"/>
        </w:rPr>
        <w:t>3.1.4 触电</w:t>
      </w:r>
      <w:bookmarkEnd w:id="547"/>
      <w:bookmarkEnd w:id="548"/>
      <w:bookmarkEnd w:id="549"/>
      <w:bookmarkEnd w:id="550"/>
      <w:bookmarkEnd w:id="551"/>
      <w:bookmarkEnd w:id="552"/>
    </w:p>
    <w:p w14:paraId="44E9A8BF">
      <w:pPr>
        <w:keepNext w:val="0"/>
        <w:keepLines w:val="0"/>
        <w:pageBreakBefore w:val="0"/>
        <w:widowControl w:val="0"/>
        <w:wordWrap/>
        <w:overflowPunct/>
        <w:topLinePunct w:val="0"/>
        <w:bidi w:val="0"/>
        <w:rPr>
          <w:rFonts w:hint="eastAsia"/>
          <w:color w:val="auto"/>
          <w:lang w:val="en-US" w:eastAsia="zh-CN"/>
        </w:rPr>
      </w:pPr>
      <w:r>
        <w:rPr>
          <w:rFonts w:hint="eastAsia"/>
          <w:color w:val="auto"/>
        </w:rPr>
        <w:t>该矿区工程供电、配电、电气设备、设施较多</w:t>
      </w:r>
      <w:r>
        <w:rPr>
          <w:rFonts w:hint="eastAsia"/>
          <w:color w:val="auto"/>
          <w:lang w:eastAsia="zh-CN"/>
        </w:rPr>
        <w:t>，</w:t>
      </w:r>
      <w:r>
        <w:rPr>
          <w:rFonts w:hint="eastAsia"/>
          <w:color w:val="auto"/>
          <w:lang w:val="en-US" w:eastAsia="zh-CN"/>
        </w:rPr>
        <w:t>根据《江西省雷电易发区域及其防范等级划分》（江西省气象局 2017年9月)，</w:t>
      </w:r>
      <w:r>
        <w:rPr>
          <w:rFonts w:hint="eastAsia"/>
          <w:color w:val="auto"/>
        </w:rPr>
        <w:t>该矿区位于丘陵地区</w:t>
      </w:r>
      <w:r>
        <w:rPr>
          <w:rFonts w:hint="eastAsia"/>
          <w:color w:val="auto"/>
          <w:lang w:eastAsia="zh-CN"/>
        </w:rPr>
        <w:t>，</w:t>
      </w:r>
      <w:r>
        <w:rPr>
          <w:rFonts w:hint="eastAsia"/>
          <w:color w:val="auto"/>
        </w:rPr>
        <w:t>属</w:t>
      </w:r>
      <w:r>
        <w:rPr>
          <w:rFonts w:hint="eastAsia"/>
          <w:color w:val="auto"/>
          <w:lang w:val="en-US" w:eastAsia="zh-CN"/>
        </w:rPr>
        <w:t>雷电较高易发区</w:t>
      </w:r>
      <w:r>
        <w:rPr>
          <w:rFonts w:hint="eastAsia"/>
          <w:color w:val="auto"/>
          <w:lang w:eastAsia="zh-CN"/>
        </w:rPr>
        <w:t>，</w:t>
      </w:r>
      <w:r>
        <w:rPr>
          <w:rFonts w:hint="eastAsia"/>
          <w:color w:val="auto"/>
        </w:rPr>
        <w:t>尤其在春夏两季</w:t>
      </w:r>
      <w:r>
        <w:rPr>
          <w:rFonts w:hint="eastAsia"/>
          <w:color w:val="auto"/>
          <w:lang w:eastAsia="zh-CN"/>
        </w:rPr>
        <w:t>，</w:t>
      </w:r>
      <w:r>
        <w:rPr>
          <w:rFonts w:hint="eastAsia"/>
          <w:color w:val="auto"/>
        </w:rPr>
        <w:t>地面工业设施及建筑物和人员易受雷击</w:t>
      </w:r>
      <w:r>
        <w:rPr>
          <w:rFonts w:hint="eastAsia"/>
          <w:color w:val="auto"/>
          <w:lang w:eastAsia="zh-CN"/>
        </w:rPr>
        <w:t>，</w:t>
      </w:r>
      <w:r>
        <w:rPr>
          <w:rFonts w:hint="eastAsia"/>
          <w:color w:val="auto"/>
          <w:lang w:val="en-US" w:eastAsia="zh-CN"/>
        </w:rPr>
        <w:t>有可能引起人身事故，如跨步电压伤人。地面上可能导致触电的因素还有：1）电气设备或设施漏电、2）进行电气作业时所使用的器具(如绝缘手套、绝缘鞋、绝缘棒、绝缘服等)不合格、3）线路老化或明接头、4）电气设备未设置保护接零系统等。</w:t>
      </w:r>
    </w:p>
    <w:p w14:paraId="52A6D46F">
      <w:pPr>
        <w:keepNext w:val="0"/>
        <w:keepLines w:val="0"/>
        <w:pageBreakBefore w:val="0"/>
        <w:widowControl w:val="0"/>
        <w:wordWrap/>
        <w:overflowPunct/>
        <w:topLinePunct w:val="0"/>
        <w:bidi w:val="0"/>
        <w:rPr>
          <w:rFonts w:hint="eastAsia"/>
          <w:color w:val="auto"/>
        </w:rPr>
      </w:pPr>
      <w:r>
        <w:rPr>
          <w:rFonts w:hint="eastAsia"/>
          <w:color w:val="auto"/>
          <w:spacing w:val="-6"/>
          <w:sz w:val="28"/>
        </w:rPr>
        <w:t>矿山井下有少量机电设备，且井下作业环境空间陕小</w:t>
      </w:r>
      <w:r>
        <w:rPr>
          <w:rFonts w:hint="eastAsia"/>
          <w:color w:val="auto"/>
          <w:spacing w:val="-6"/>
          <w:sz w:val="28"/>
          <w:lang w:eastAsia="zh-CN"/>
        </w:rPr>
        <w:t>、</w:t>
      </w:r>
      <w:r>
        <w:rPr>
          <w:rFonts w:hint="eastAsia"/>
          <w:color w:val="auto"/>
          <w:spacing w:val="-6"/>
          <w:sz w:val="28"/>
        </w:rPr>
        <w:t>潮湿等不利因素</w:t>
      </w:r>
      <w:r>
        <w:rPr>
          <w:rFonts w:hint="eastAsia"/>
          <w:color w:val="auto"/>
          <w:spacing w:val="-6"/>
          <w:sz w:val="28"/>
          <w:lang w:eastAsia="zh-CN"/>
        </w:rPr>
        <w:t>，</w:t>
      </w:r>
      <w:r>
        <w:rPr>
          <w:rFonts w:hint="eastAsia"/>
          <w:color w:val="auto"/>
          <w:spacing w:val="-6"/>
          <w:sz w:val="28"/>
        </w:rPr>
        <w:t>易造成触电伤害。可能导致触电的因素有：1</w:t>
      </w:r>
      <w:r>
        <w:rPr>
          <w:rFonts w:hint="eastAsia"/>
          <w:color w:val="auto"/>
          <w:spacing w:val="-6"/>
          <w:sz w:val="28"/>
          <w:lang w:eastAsia="zh-CN"/>
        </w:rPr>
        <w:t>）</w:t>
      </w:r>
      <w:r>
        <w:rPr>
          <w:rFonts w:hint="eastAsia"/>
          <w:color w:val="auto"/>
          <w:spacing w:val="-6"/>
          <w:sz w:val="28"/>
        </w:rPr>
        <w:t>电气设备</w:t>
      </w:r>
      <w:r>
        <w:rPr>
          <w:rFonts w:hint="eastAsia"/>
          <w:color w:val="auto"/>
          <w:spacing w:val="-6"/>
          <w:sz w:val="28"/>
          <w:lang w:val="en-US" w:eastAsia="zh-CN"/>
        </w:rPr>
        <w:t>或</w:t>
      </w:r>
      <w:r>
        <w:rPr>
          <w:rFonts w:hint="eastAsia"/>
          <w:color w:val="auto"/>
          <w:spacing w:val="-6"/>
          <w:sz w:val="28"/>
        </w:rPr>
        <w:t>设施漏电</w:t>
      </w:r>
      <w:r>
        <w:rPr>
          <w:rFonts w:hint="eastAsia"/>
          <w:color w:val="auto"/>
          <w:spacing w:val="-6"/>
          <w:sz w:val="28"/>
          <w:lang w:eastAsia="zh-CN"/>
        </w:rPr>
        <w:t>、</w:t>
      </w:r>
      <w:r>
        <w:rPr>
          <w:rFonts w:hint="eastAsia"/>
          <w:color w:val="auto"/>
          <w:spacing w:val="-6"/>
          <w:sz w:val="28"/>
          <w:lang w:val="en-US" w:eastAsia="zh-CN"/>
        </w:rPr>
        <w:t>2）</w:t>
      </w:r>
      <w:r>
        <w:rPr>
          <w:rFonts w:hint="eastAsia"/>
          <w:color w:val="auto"/>
          <w:spacing w:val="-6"/>
          <w:sz w:val="28"/>
        </w:rPr>
        <w:t>供电线路绝缘不好或损坏</w:t>
      </w:r>
      <w:r>
        <w:rPr>
          <w:rFonts w:hint="eastAsia"/>
          <w:color w:val="auto"/>
          <w:spacing w:val="-6"/>
          <w:sz w:val="28"/>
          <w:lang w:eastAsia="zh-CN"/>
        </w:rPr>
        <w:t>、</w:t>
      </w:r>
      <w:r>
        <w:rPr>
          <w:rFonts w:hint="eastAsia"/>
          <w:color w:val="auto"/>
          <w:spacing w:val="-6"/>
          <w:sz w:val="28"/>
          <w:lang w:val="en-US" w:eastAsia="zh-CN"/>
        </w:rPr>
        <w:t>3）</w:t>
      </w:r>
      <w:r>
        <w:rPr>
          <w:rFonts w:hint="eastAsia"/>
          <w:color w:val="auto"/>
          <w:spacing w:val="-6"/>
          <w:sz w:val="28"/>
        </w:rPr>
        <w:t>供电线路短路或漏电</w:t>
      </w:r>
      <w:r>
        <w:rPr>
          <w:rFonts w:hint="eastAsia"/>
          <w:color w:val="auto"/>
          <w:spacing w:val="-6"/>
          <w:sz w:val="28"/>
          <w:lang w:eastAsia="zh-CN"/>
        </w:rPr>
        <w:t>、</w:t>
      </w:r>
      <w:r>
        <w:rPr>
          <w:rFonts w:hint="eastAsia"/>
          <w:color w:val="auto"/>
          <w:spacing w:val="-6"/>
          <w:sz w:val="28"/>
          <w:lang w:val="en-US" w:eastAsia="zh-CN"/>
        </w:rPr>
        <w:t>4）</w:t>
      </w:r>
      <w:r>
        <w:rPr>
          <w:rFonts w:hint="eastAsia"/>
          <w:color w:val="auto"/>
          <w:spacing w:val="-6"/>
          <w:sz w:val="28"/>
        </w:rPr>
        <w:t>作业人员误操作</w:t>
      </w:r>
      <w:r>
        <w:rPr>
          <w:rFonts w:hint="eastAsia"/>
          <w:color w:val="auto"/>
          <w:spacing w:val="-6"/>
          <w:sz w:val="28"/>
          <w:lang w:eastAsia="zh-CN"/>
        </w:rPr>
        <w:t>、</w:t>
      </w:r>
      <w:r>
        <w:rPr>
          <w:rFonts w:hint="eastAsia"/>
          <w:color w:val="auto"/>
          <w:spacing w:val="-6"/>
          <w:sz w:val="28"/>
          <w:lang w:val="en-US" w:eastAsia="zh-CN"/>
        </w:rPr>
        <w:t>5）</w:t>
      </w:r>
      <w:r>
        <w:rPr>
          <w:rFonts w:hint="eastAsia"/>
          <w:color w:val="auto"/>
          <w:spacing w:val="-6"/>
          <w:sz w:val="28"/>
        </w:rPr>
        <w:t>电气设备、设施保护装置失效</w:t>
      </w:r>
      <w:r>
        <w:rPr>
          <w:rFonts w:hint="eastAsia"/>
          <w:color w:val="auto"/>
          <w:spacing w:val="-6"/>
          <w:sz w:val="28"/>
          <w:lang w:eastAsia="zh-CN"/>
        </w:rPr>
        <w:t>、</w:t>
      </w:r>
      <w:r>
        <w:rPr>
          <w:rFonts w:hint="eastAsia"/>
          <w:color w:val="auto"/>
          <w:spacing w:val="-6"/>
          <w:sz w:val="28"/>
          <w:lang w:val="en-US" w:eastAsia="zh-CN"/>
        </w:rPr>
        <w:t>6）</w:t>
      </w:r>
      <w:r>
        <w:rPr>
          <w:rFonts w:hint="eastAsia"/>
          <w:color w:val="auto"/>
          <w:spacing w:val="-6"/>
          <w:sz w:val="28"/>
        </w:rPr>
        <w:t>触及供电裸线或供电线路断裂跌落</w:t>
      </w:r>
      <w:r>
        <w:rPr>
          <w:rFonts w:hint="eastAsia"/>
          <w:color w:val="auto"/>
          <w:spacing w:val="-6"/>
          <w:sz w:val="28"/>
          <w:lang w:eastAsia="zh-CN"/>
        </w:rPr>
        <w:t>、</w:t>
      </w:r>
      <w:r>
        <w:rPr>
          <w:rFonts w:hint="eastAsia"/>
          <w:color w:val="auto"/>
          <w:spacing w:val="-6"/>
          <w:sz w:val="28"/>
          <w:lang w:val="en-US" w:eastAsia="zh-CN"/>
        </w:rPr>
        <w:t>7）</w:t>
      </w:r>
      <w:r>
        <w:rPr>
          <w:rFonts w:hint="eastAsia"/>
          <w:color w:val="auto"/>
          <w:spacing w:val="-6"/>
          <w:sz w:val="28"/>
        </w:rPr>
        <w:t>运行设备或人员意外碰伤供电线路</w:t>
      </w:r>
      <w:r>
        <w:rPr>
          <w:rFonts w:hint="eastAsia"/>
          <w:color w:val="auto"/>
          <w:spacing w:val="-6"/>
          <w:sz w:val="28"/>
          <w:lang w:eastAsia="zh-CN"/>
        </w:rPr>
        <w:t>、</w:t>
      </w:r>
      <w:r>
        <w:rPr>
          <w:rFonts w:hint="eastAsia"/>
          <w:color w:val="auto"/>
          <w:spacing w:val="-6"/>
          <w:sz w:val="28"/>
          <w:lang w:val="en-US" w:eastAsia="zh-CN"/>
        </w:rPr>
        <w:t>8）</w:t>
      </w:r>
      <w:r>
        <w:rPr>
          <w:rFonts w:hint="eastAsia"/>
          <w:color w:val="auto"/>
          <w:spacing w:val="-6"/>
          <w:sz w:val="28"/>
        </w:rPr>
        <w:t>未设避雷装置或避雷装置失效等。</w:t>
      </w:r>
    </w:p>
    <w:p w14:paraId="4332C923">
      <w:pPr>
        <w:keepNext w:val="0"/>
        <w:keepLines w:val="0"/>
        <w:pageBreakBefore w:val="0"/>
        <w:widowControl w:val="0"/>
        <w:wordWrap/>
        <w:overflowPunct/>
        <w:topLinePunct w:val="0"/>
        <w:bidi w:val="0"/>
        <w:rPr>
          <w:rFonts w:hint="eastAsia"/>
          <w:color w:val="auto"/>
          <w:lang w:eastAsia="zh-CN"/>
        </w:rPr>
      </w:pPr>
      <w:r>
        <w:rPr>
          <w:rFonts w:hint="eastAsia"/>
          <w:color w:val="auto"/>
        </w:rPr>
        <w:t>该矿区可能造成触电伤害的场所主要有：</w:t>
      </w:r>
      <w:r>
        <w:rPr>
          <w:rFonts w:hint="eastAsia"/>
          <w:color w:val="auto"/>
          <w:lang w:val="en-US" w:eastAsia="zh-CN"/>
        </w:rPr>
        <w:t>1）</w:t>
      </w:r>
      <w:r>
        <w:rPr>
          <w:rFonts w:hint="eastAsia"/>
          <w:color w:val="auto"/>
        </w:rPr>
        <w:t>变、配电所 (室)</w:t>
      </w:r>
      <w:r>
        <w:rPr>
          <w:rFonts w:hint="eastAsia"/>
          <w:color w:val="auto"/>
          <w:lang w:eastAsia="zh-CN"/>
        </w:rPr>
        <w:t>、</w:t>
      </w:r>
      <w:r>
        <w:rPr>
          <w:rFonts w:hint="eastAsia"/>
          <w:color w:val="auto"/>
          <w:lang w:val="en-US" w:eastAsia="zh-CN"/>
        </w:rPr>
        <w:t>2）</w:t>
      </w:r>
      <w:r>
        <w:rPr>
          <w:rFonts w:hint="eastAsia"/>
          <w:color w:val="auto"/>
        </w:rPr>
        <w:t xml:space="preserve"> 电气线路</w:t>
      </w:r>
      <w:r>
        <w:rPr>
          <w:rFonts w:hint="eastAsia"/>
          <w:color w:val="auto"/>
          <w:lang w:eastAsia="zh-CN"/>
        </w:rPr>
        <w:t>、</w:t>
      </w:r>
      <w:r>
        <w:rPr>
          <w:rFonts w:hint="eastAsia"/>
          <w:color w:val="auto"/>
          <w:lang w:val="en-US" w:eastAsia="zh-CN"/>
        </w:rPr>
        <w:t>3）</w:t>
      </w:r>
      <w:r>
        <w:rPr>
          <w:rFonts w:hint="eastAsia"/>
          <w:color w:val="auto"/>
        </w:rPr>
        <w:t>架空线路</w:t>
      </w:r>
      <w:r>
        <w:rPr>
          <w:rFonts w:hint="eastAsia"/>
          <w:color w:val="auto"/>
          <w:lang w:eastAsia="zh-CN"/>
        </w:rPr>
        <w:t>、</w:t>
      </w:r>
      <w:r>
        <w:rPr>
          <w:rFonts w:hint="eastAsia"/>
          <w:color w:val="auto"/>
          <w:lang w:val="en-US" w:eastAsia="zh-CN"/>
        </w:rPr>
        <w:t>4）</w:t>
      </w:r>
      <w:r>
        <w:rPr>
          <w:rFonts w:hint="eastAsia"/>
          <w:color w:val="auto"/>
        </w:rPr>
        <w:t>手持电动工具</w:t>
      </w:r>
      <w:r>
        <w:rPr>
          <w:rFonts w:hint="eastAsia"/>
          <w:color w:val="auto"/>
          <w:lang w:eastAsia="zh-CN"/>
        </w:rPr>
        <w:t>、</w:t>
      </w:r>
      <w:r>
        <w:rPr>
          <w:rFonts w:hint="eastAsia"/>
          <w:color w:val="auto"/>
          <w:lang w:val="en-US" w:eastAsia="zh-CN"/>
        </w:rPr>
        <w:t>5）</w:t>
      </w:r>
      <w:r>
        <w:rPr>
          <w:rFonts w:hint="eastAsia"/>
          <w:color w:val="auto"/>
        </w:rPr>
        <w:t>电力驱动设备</w:t>
      </w:r>
      <w:r>
        <w:rPr>
          <w:rFonts w:hint="eastAsia"/>
          <w:color w:val="auto"/>
          <w:lang w:eastAsia="zh-CN"/>
        </w:rPr>
        <w:t>、</w:t>
      </w:r>
      <w:r>
        <w:rPr>
          <w:rFonts w:hint="eastAsia"/>
          <w:color w:val="auto"/>
          <w:lang w:val="en-US" w:eastAsia="zh-CN"/>
        </w:rPr>
        <w:t>6）</w:t>
      </w:r>
      <w:r>
        <w:rPr>
          <w:rFonts w:hint="eastAsia"/>
          <w:color w:val="auto"/>
        </w:rPr>
        <w:t>雷雨天野外作业</w:t>
      </w:r>
      <w:r>
        <w:rPr>
          <w:rFonts w:hint="eastAsia"/>
          <w:color w:val="auto"/>
          <w:lang w:eastAsia="zh-CN"/>
        </w:rPr>
        <w:t>、</w:t>
      </w:r>
      <w:r>
        <w:rPr>
          <w:rFonts w:hint="eastAsia"/>
          <w:color w:val="auto"/>
          <w:lang w:val="en-US" w:eastAsia="zh-CN"/>
        </w:rPr>
        <w:t>7）维修作业点</w:t>
      </w:r>
      <w:r>
        <w:rPr>
          <w:rFonts w:hint="eastAsia"/>
          <w:color w:val="auto"/>
        </w:rPr>
        <w:t>等</w:t>
      </w:r>
      <w:r>
        <w:rPr>
          <w:rFonts w:hint="eastAsia"/>
          <w:color w:val="auto"/>
          <w:lang w:eastAsia="zh-CN"/>
        </w:rPr>
        <w:t>。</w:t>
      </w:r>
    </w:p>
    <w:p w14:paraId="65A26057">
      <w:pPr>
        <w:pStyle w:val="4"/>
        <w:keepNext w:val="0"/>
        <w:keepLines w:val="0"/>
        <w:pageBreakBefore w:val="0"/>
        <w:widowControl w:val="0"/>
        <w:wordWrap/>
        <w:overflowPunct/>
        <w:topLinePunct w:val="0"/>
        <w:bidi w:val="0"/>
        <w:spacing w:beforeLines="0" w:afterLines="0"/>
        <w:rPr>
          <w:rFonts w:hint="eastAsia"/>
          <w:color w:val="auto"/>
        </w:rPr>
      </w:pPr>
      <w:bookmarkStart w:id="553" w:name="_Toc5493"/>
      <w:bookmarkStart w:id="554" w:name="_Toc17595"/>
      <w:bookmarkStart w:id="555" w:name="_Toc7978"/>
      <w:bookmarkStart w:id="556" w:name="_Toc4627"/>
      <w:bookmarkStart w:id="557" w:name="_Toc30711"/>
      <w:bookmarkStart w:id="558" w:name="_Toc5520"/>
      <w:r>
        <w:rPr>
          <w:rFonts w:hint="eastAsia"/>
          <w:color w:val="auto"/>
          <w:lang w:val="en-US" w:eastAsia="zh-CN"/>
        </w:rPr>
        <w:t>3.1.5 厂(场)内车辆致害</w:t>
      </w:r>
      <w:bookmarkEnd w:id="553"/>
    </w:p>
    <w:bookmarkEnd w:id="554"/>
    <w:bookmarkEnd w:id="555"/>
    <w:bookmarkEnd w:id="556"/>
    <w:bookmarkEnd w:id="557"/>
    <w:bookmarkEnd w:id="558"/>
    <w:p w14:paraId="67645933">
      <w:pPr>
        <w:keepNext w:val="0"/>
        <w:keepLines w:val="0"/>
        <w:pageBreakBefore w:val="0"/>
        <w:widowControl w:val="0"/>
        <w:wordWrap/>
        <w:overflowPunct/>
        <w:topLinePunct w:val="0"/>
        <w:bidi w:val="0"/>
        <w:rPr>
          <w:rFonts w:hint="eastAsia"/>
          <w:color w:val="auto"/>
        </w:rPr>
      </w:pPr>
      <w:r>
        <w:rPr>
          <w:rFonts w:hint="eastAsia"/>
          <w:color w:val="auto"/>
          <w:lang w:val="en-US" w:eastAsia="zh-CN"/>
        </w:rPr>
        <w:t>厂(场)内车辆致害</w:t>
      </w:r>
      <w:r>
        <w:rPr>
          <w:rFonts w:hint="eastAsia"/>
          <w:color w:val="auto"/>
        </w:rPr>
        <w:t>是指</w:t>
      </w:r>
      <w:r>
        <w:rPr>
          <w:rFonts w:hint="eastAsia"/>
          <w:color w:val="auto"/>
          <w:lang w:val="en-US" w:eastAsia="zh-CN"/>
        </w:rPr>
        <w:t>车辆在生产经营单位内部或生产作业场所内进行生产经营活动过程中由于碰撞、刮擦、碾压、挤压、翻车、脱轨等造成的事故。</w:t>
      </w:r>
    </w:p>
    <w:p w14:paraId="34153993">
      <w:pPr>
        <w:keepNext w:val="0"/>
        <w:keepLines w:val="0"/>
        <w:pageBreakBefore w:val="0"/>
        <w:widowControl w:val="0"/>
        <w:wordWrap/>
        <w:overflowPunct/>
        <w:topLinePunct w:val="0"/>
        <w:bidi w:val="0"/>
        <w:rPr>
          <w:rFonts w:hint="eastAsia"/>
          <w:color w:val="auto"/>
        </w:rPr>
      </w:pPr>
      <w:r>
        <w:rPr>
          <w:rFonts w:hint="eastAsia"/>
          <w:color w:val="auto"/>
        </w:rPr>
        <w:t>车辆行驶过程中，如道路狭窄、坡度偏大，弯道半径偏小，行车速度快、弯道超车、超高超载、车辆制动装置失灵、道路泥泞打滑、违章驾驶等，很容易发生车辆倾翻、挤伤、摔伤、撞坏人员和设备等事故。</w:t>
      </w:r>
    </w:p>
    <w:p w14:paraId="263BF50D">
      <w:pPr>
        <w:keepNext w:val="0"/>
        <w:keepLines w:val="0"/>
        <w:pageBreakBefore w:val="0"/>
        <w:widowControl w:val="0"/>
        <w:wordWrap/>
        <w:overflowPunct/>
        <w:topLinePunct w:val="0"/>
        <w:bidi w:val="0"/>
        <w:rPr>
          <w:rFonts w:hint="eastAsia"/>
          <w:color w:val="auto"/>
        </w:rPr>
      </w:pPr>
      <w:r>
        <w:rPr>
          <w:rFonts w:hint="eastAsia"/>
          <w:color w:val="auto"/>
        </w:rPr>
        <w:t>可能存在车辆伤害的场所有：井下运输巷道、矿山运输道路、停车场</w:t>
      </w:r>
      <w:r>
        <w:rPr>
          <w:rFonts w:hint="eastAsia"/>
          <w:color w:val="auto"/>
          <w:lang w:eastAsia="zh-CN"/>
        </w:rPr>
        <w:t>、</w:t>
      </w:r>
      <w:r>
        <w:rPr>
          <w:rFonts w:hint="eastAsia"/>
          <w:color w:val="auto"/>
          <w:lang w:val="en-US" w:eastAsia="zh-CN"/>
        </w:rPr>
        <w:t>废石场、卸矿点</w:t>
      </w:r>
      <w:r>
        <w:rPr>
          <w:rFonts w:hint="eastAsia"/>
          <w:color w:val="auto"/>
        </w:rPr>
        <w:t>等。</w:t>
      </w:r>
    </w:p>
    <w:p w14:paraId="63CCFAAD">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559" w:name="_Toc18254"/>
      <w:bookmarkStart w:id="560" w:name="_Toc27290"/>
      <w:bookmarkStart w:id="561" w:name="_Toc4219"/>
      <w:bookmarkStart w:id="562" w:name="_Toc30123"/>
      <w:bookmarkStart w:id="563" w:name="_Toc31858"/>
      <w:bookmarkStart w:id="564" w:name="_Toc12463"/>
      <w:r>
        <w:rPr>
          <w:rFonts w:hint="eastAsia"/>
          <w:color w:val="auto"/>
          <w:lang w:val="en-US" w:eastAsia="zh-CN"/>
        </w:rPr>
        <w:t>3.1.6 高处坠落</w:t>
      </w:r>
      <w:bookmarkEnd w:id="559"/>
      <w:bookmarkEnd w:id="560"/>
      <w:bookmarkEnd w:id="561"/>
      <w:bookmarkEnd w:id="562"/>
      <w:bookmarkEnd w:id="563"/>
      <w:bookmarkEnd w:id="564"/>
    </w:p>
    <w:p w14:paraId="0997B106">
      <w:pPr>
        <w:keepNext w:val="0"/>
        <w:keepLines w:val="0"/>
        <w:pageBreakBefore w:val="0"/>
        <w:widowControl w:val="0"/>
        <w:wordWrap/>
        <w:overflowPunct/>
        <w:topLinePunct w:val="0"/>
        <w:bidi w:val="0"/>
        <w:rPr>
          <w:rFonts w:hint="eastAsia"/>
          <w:color w:val="auto"/>
        </w:rPr>
      </w:pPr>
      <w:r>
        <w:rPr>
          <w:rFonts w:hint="eastAsia"/>
          <w:color w:val="auto"/>
        </w:rPr>
        <w:t>高处坠落是指</w:t>
      </w:r>
      <w:r>
        <w:rPr>
          <w:rFonts w:hint="eastAsia"/>
          <w:color w:val="auto"/>
          <w:lang w:val="en-US" w:eastAsia="zh-CN"/>
        </w:rPr>
        <w:t>高处作业时发生坠落造成的事故</w:t>
      </w:r>
      <w:r>
        <w:rPr>
          <w:rFonts w:hint="eastAsia"/>
          <w:color w:val="auto"/>
        </w:rPr>
        <w:t>。</w:t>
      </w:r>
    </w:p>
    <w:p w14:paraId="5FC0693A">
      <w:pPr>
        <w:keepNext w:val="0"/>
        <w:keepLines w:val="0"/>
        <w:pageBreakBefore w:val="0"/>
        <w:widowControl w:val="0"/>
        <w:wordWrap/>
        <w:overflowPunct/>
        <w:topLinePunct w:val="0"/>
        <w:bidi w:val="0"/>
        <w:rPr>
          <w:rFonts w:hint="eastAsia"/>
          <w:color w:val="auto"/>
        </w:rPr>
      </w:pPr>
      <w:r>
        <w:rPr>
          <w:rFonts w:hint="eastAsia"/>
          <w:color w:val="auto"/>
        </w:rPr>
        <w:t>该矿区易造成高处坠落的场所有：</w:t>
      </w:r>
      <w:r>
        <w:rPr>
          <w:rFonts w:hint="eastAsia"/>
          <w:color w:val="auto"/>
          <w:lang w:val="en-US" w:eastAsia="zh-CN"/>
        </w:rPr>
        <w:t>1）</w:t>
      </w:r>
      <w:r>
        <w:rPr>
          <w:rFonts w:hint="eastAsia"/>
          <w:color w:val="auto"/>
        </w:rPr>
        <w:t>天井；</w:t>
      </w:r>
      <w:r>
        <w:rPr>
          <w:rFonts w:hint="eastAsia"/>
          <w:color w:val="auto"/>
          <w:lang w:val="en-US" w:eastAsia="zh-CN"/>
        </w:rPr>
        <w:t>2）</w:t>
      </w:r>
      <w:r>
        <w:rPr>
          <w:rFonts w:hint="eastAsia"/>
          <w:color w:val="auto"/>
        </w:rPr>
        <w:t>地面废石场卸矿点；</w:t>
      </w:r>
      <w:r>
        <w:rPr>
          <w:rFonts w:hint="eastAsia"/>
          <w:color w:val="auto"/>
          <w:lang w:val="en-US" w:eastAsia="zh-CN"/>
        </w:rPr>
        <w:t>3）</w:t>
      </w:r>
      <w:r>
        <w:rPr>
          <w:rFonts w:hint="eastAsia"/>
          <w:color w:val="auto"/>
        </w:rPr>
        <w:t>其它高大建筑物或相对高处作业。</w:t>
      </w:r>
    </w:p>
    <w:p w14:paraId="2A436434">
      <w:pPr>
        <w:pStyle w:val="4"/>
        <w:keepNext w:val="0"/>
        <w:keepLines w:val="0"/>
        <w:pageBreakBefore w:val="0"/>
        <w:widowControl w:val="0"/>
        <w:wordWrap/>
        <w:overflowPunct/>
        <w:topLinePunct w:val="0"/>
        <w:bidi w:val="0"/>
        <w:spacing w:beforeLines="0" w:afterLines="0"/>
        <w:rPr>
          <w:rFonts w:hint="eastAsia"/>
          <w:color w:val="auto"/>
        </w:rPr>
      </w:pPr>
      <w:bookmarkStart w:id="565" w:name="_Toc27347"/>
      <w:r>
        <w:rPr>
          <w:rFonts w:hint="eastAsia"/>
          <w:color w:val="auto"/>
          <w:lang w:val="en-US" w:eastAsia="zh-CN"/>
        </w:rPr>
        <w:t>3.1.7 跌落</w:t>
      </w:r>
      <w:bookmarkEnd w:id="565"/>
    </w:p>
    <w:p w14:paraId="2D29C9DC">
      <w:pPr>
        <w:keepNext w:val="0"/>
        <w:keepLines w:val="0"/>
        <w:pageBreakBefore w:val="0"/>
        <w:widowControl w:val="0"/>
        <w:wordWrap/>
        <w:overflowPunct/>
        <w:topLinePunct w:val="0"/>
        <w:bidi w:val="0"/>
        <w:rPr>
          <w:rFonts w:hint="default"/>
          <w:color w:val="auto"/>
        </w:rPr>
      </w:pPr>
      <w:r>
        <w:rPr>
          <w:rFonts w:hint="eastAsia"/>
          <w:color w:val="auto"/>
          <w:lang w:val="en-US" w:eastAsia="zh-CN"/>
        </w:rPr>
        <w:t>跌落</w:t>
      </w:r>
      <w:r>
        <w:rPr>
          <w:rFonts w:hint="eastAsia"/>
          <w:color w:val="auto"/>
        </w:rPr>
        <w:t>是指</w:t>
      </w:r>
      <w:r>
        <w:rPr>
          <w:rFonts w:hint="eastAsia"/>
          <w:color w:val="auto"/>
          <w:lang w:val="en-US" w:eastAsia="zh-CN"/>
        </w:rPr>
        <w:t>非高处作业时,坠落或跌倒至非液体或非液态物质基准面造成的事故。</w:t>
      </w:r>
    </w:p>
    <w:p w14:paraId="43AD2714">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矿山地表和井下</w:t>
      </w:r>
      <w:r>
        <w:rPr>
          <w:rFonts w:hint="eastAsia"/>
          <w:color w:val="auto"/>
        </w:rPr>
        <w:t>照明不足，地面</w:t>
      </w:r>
      <w:r>
        <w:rPr>
          <w:rFonts w:hint="eastAsia"/>
          <w:color w:val="auto"/>
          <w:lang w:eastAsia="zh-CN"/>
        </w:rPr>
        <w:t>（</w:t>
      </w:r>
      <w:r>
        <w:rPr>
          <w:rFonts w:hint="eastAsia"/>
          <w:color w:val="auto"/>
          <w:lang w:val="en-US" w:eastAsia="zh-CN"/>
        </w:rPr>
        <w:t>巷道</w:t>
      </w:r>
      <w:r>
        <w:rPr>
          <w:rFonts w:hint="eastAsia"/>
          <w:color w:val="auto"/>
          <w:lang w:eastAsia="zh-CN"/>
        </w:rPr>
        <w:t>）</w:t>
      </w:r>
      <w:r>
        <w:rPr>
          <w:rFonts w:hint="eastAsia"/>
          <w:color w:val="auto"/>
        </w:rPr>
        <w:t>湿滑、存在油污或积水，人员行走时滑倒跌落；巷道断面狭窄、障碍物多，通行时易失足</w:t>
      </w:r>
      <w:r>
        <w:rPr>
          <w:rFonts w:hint="eastAsia"/>
          <w:color w:val="auto"/>
          <w:lang w:val="en-US" w:eastAsia="zh-CN"/>
        </w:rPr>
        <w:t>跌落；</w:t>
      </w:r>
      <w:r>
        <w:rPr>
          <w:rFonts w:hint="eastAsia"/>
          <w:color w:val="auto"/>
        </w:rPr>
        <w:t>雨季地表水渗入井下，导致巷道泥泞、梯子湿滑，增加跌落风险</w:t>
      </w:r>
      <w:r>
        <w:rPr>
          <w:rFonts w:hint="eastAsia"/>
          <w:color w:val="auto"/>
          <w:lang w:eastAsia="zh-CN"/>
        </w:rPr>
        <w:t>。</w:t>
      </w:r>
      <w:r>
        <w:rPr>
          <w:rFonts w:hint="eastAsia"/>
          <w:color w:val="auto"/>
        </w:rPr>
        <w:t>该矿区易造成</w:t>
      </w:r>
      <w:r>
        <w:rPr>
          <w:rFonts w:hint="eastAsia"/>
          <w:color w:val="auto"/>
          <w:lang w:val="en-US" w:eastAsia="zh-CN"/>
        </w:rPr>
        <w:t>跌落</w:t>
      </w:r>
      <w:r>
        <w:rPr>
          <w:rFonts w:hint="eastAsia"/>
          <w:color w:val="auto"/>
        </w:rPr>
        <w:t>的场所有：</w:t>
      </w:r>
      <w:r>
        <w:rPr>
          <w:rFonts w:hint="eastAsia"/>
          <w:color w:val="auto"/>
          <w:lang w:val="en-US" w:eastAsia="zh-CN"/>
        </w:rPr>
        <w:t>1）</w:t>
      </w:r>
      <w:r>
        <w:rPr>
          <w:rFonts w:hint="eastAsia"/>
          <w:color w:val="auto"/>
        </w:rPr>
        <w:t>照明不足</w:t>
      </w:r>
      <w:r>
        <w:rPr>
          <w:rFonts w:hint="eastAsia"/>
          <w:color w:val="auto"/>
          <w:lang w:val="en-US" w:eastAsia="zh-CN"/>
        </w:rPr>
        <w:t>处；2）</w:t>
      </w:r>
      <w:r>
        <w:rPr>
          <w:rFonts w:hint="eastAsia"/>
          <w:color w:val="auto"/>
        </w:rPr>
        <w:t>湿滑、存在油污或积水</w:t>
      </w:r>
      <w:r>
        <w:rPr>
          <w:rFonts w:hint="eastAsia"/>
          <w:color w:val="auto"/>
          <w:lang w:val="en-US" w:eastAsia="zh-CN"/>
        </w:rPr>
        <w:t>处；</w:t>
      </w:r>
      <w:r>
        <w:rPr>
          <w:rFonts w:hint="eastAsia"/>
          <w:color w:val="auto"/>
        </w:rPr>
        <w:t>天井；</w:t>
      </w:r>
      <w:r>
        <w:rPr>
          <w:rFonts w:hint="eastAsia"/>
          <w:color w:val="auto"/>
          <w:lang w:val="en-US" w:eastAsia="zh-CN"/>
        </w:rPr>
        <w:t>3）</w:t>
      </w:r>
      <w:r>
        <w:rPr>
          <w:rFonts w:hint="eastAsia"/>
          <w:color w:val="auto"/>
        </w:rPr>
        <w:t>巷道</w:t>
      </w:r>
      <w:r>
        <w:rPr>
          <w:rFonts w:hint="eastAsia"/>
          <w:color w:val="auto"/>
          <w:lang w:val="en-US" w:eastAsia="zh-CN"/>
        </w:rPr>
        <w:t>；4）</w:t>
      </w:r>
      <w:r>
        <w:rPr>
          <w:rFonts w:hint="eastAsia"/>
          <w:color w:val="auto"/>
        </w:rPr>
        <w:t>梯子</w:t>
      </w:r>
      <w:r>
        <w:rPr>
          <w:rFonts w:hint="eastAsia"/>
          <w:color w:val="auto"/>
          <w:lang w:val="en-US" w:eastAsia="zh-CN"/>
        </w:rPr>
        <w:t>等</w:t>
      </w:r>
      <w:r>
        <w:rPr>
          <w:rFonts w:hint="eastAsia"/>
          <w:color w:val="auto"/>
        </w:rPr>
        <w:t>。</w:t>
      </w:r>
    </w:p>
    <w:p w14:paraId="0BBEFD4C">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566" w:name="_Toc29566"/>
      <w:bookmarkStart w:id="567" w:name="_Toc1766"/>
      <w:bookmarkStart w:id="568" w:name="_Toc13551"/>
      <w:bookmarkStart w:id="569" w:name="_Toc14450"/>
      <w:bookmarkStart w:id="570" w:name="_Toc25627"/>
      <w:bookmarkStart w:id="571" w:name="_Toc20830"/>
      <w:r>
        <w:rPr>
          <w:rFonts w:hint="eastAsia"/>
          <w:color w:val="auto"/>
          <w:lang w:val="en-US" w:eastAsia="zh-CN"/>
        </w:rPr>
        <w:t>3.1.8 火灾</w:t>
      </w:r>
      <w:bookmarkEnd w:id="566"/>
      <w:bookmarkEnd w:id="567"/>
      <w:bookmarkEnd w:id="568"/>
      <w:bookmarkEnd w:id="569"/>
      <w:bookmarkEnd w:id="570"/>
      <w:bookmarkEnd w:id="571"/>
    </w:p>
    <w:p w14:paraId="7120DCA1">
      <w:pPr>
        <w:keepNext w:val="0"/>
        <w:keepLines w:val="0"/>
        <w:pageBreakBefore w:val="0"/>
        <w:widowControl w:val="0"/>
        <w:wordWrap/>
        <w:overflowPunct/>
        <w:topLinePunct w:val="0"/>
        <w:bidi w:val="0"/>
        <w:rPr>
          <w:rFonts w:hint="eastAsia"/>
          <w:color w:val="auto"/>
        </w:rPr>
      </w:pPr>
      <w:r>
        <w:rPr>
          <w:rFonts w:hint="eastAsia"/>
          <w:color w:val="auto"/>
        </w:rPr>
        <w:t>该矿区矿床不存在自燃性 ，井下火灾主要为外因火灾。</w:t>
      </w:r>
    </w:p>
    <w:p w14:paraId="1C625647">
      <w:pPr>
        <w:keepNext w:val="0"/>
        <w:keepLines w:val="0"/>
        <w:pageBreakBefore w:val="0"/>
        <w:widowControl w:val="0"/>
        <w:wordWrap/>
        <w:overflowPunct/>
        <w:topLinePunct w:val="0"/>
        <w:bidi w:val="0"/>
        <w:rPr>
          <w:rFonts w:hint="eastAsia"/>
          <w:color w:val="auto"/>
          <w:lang w:val="en-US" w:eastAsia="zh-CN"/>
        </w:rPr>
      </w:pPr>
      <w:bookmarkStart w:id="572" w:name="_Toc15309"/>
      <w:bookmarkStart w:id="573" w:name="_Toc23110"/>
      <w:bookmarkStart w:id="574" w:name="_Toc907"/>
      <w:bookmarkStart w:id="575" w:name="_Toc17671"/>
      <w:r>
        <w:rPr>
          <w:rFonts w:hint="eastAsia"/>
          <w:color w:val="auto"/>
          <w:lang w:val="en-US" w:eastAsia="zh-CN"/>
        </w:rPr>
        <w:t>1）火灾发生的原因</w:t>
      </w:r>
      <w:bookmarkEnd w:id="572"/>
      <w:bookmarkEnd w:id="573"/>
      <w:bookmarkEnd w:id="574"/>
      <w:bookmarkEnd w:id="575"/>
    </w:p>
    <w:p w14:paraId="71359ED5">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（1）可燃物火灾</w:t>
      </w:r>
    </w:p>
    <w:p w14:paraId="53D70239">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包括可燃液体和固体。可燃液体形成的蒸气和固体可燃物在与空气接触，并有点火源达到其着火点，即可发生可燃物火灾。</w:t>
      </w:r>
    </w:p>
    <w:p w14:paraId="0671C269">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rPr>
        <w:t>电气火灾</w:t>
      </w:r>
    </w:p>
    <w:p w14:paraId="2697A1B8">
      <w:pPr>
        <w:keepNext w:val="0"/>
        <w:keepLines w:val="0"/>
        <w:pageBreakBefore w:val="0"/>
        <w:widowControl w:val="0"/>
        <w:wordWrap/>
        <w:overflowPunct/>
        <w:topLinePunct w:val="0"/>
        <w:bidi w:val="0"/>
        <w:rPr>
          <w:rFonts w:hint="eastAsia"/>
          <w:color w:val="auto"/>
        </w:rPr>
      </w:pPr>
      <w:r>
        <w:rPr>
          <w:rFonts w:hint="eastAsia"/>
          <w:color w:val="auto"/>
        </w:rPr>
        <w:t>①由于电气线路或设备设计不合理、安装存在缺陷或运行时短路、过载、接触不良、铁芯短路、散热不良、漏电等导致过热。</w:t>
      </w:r>
    </w:p>
    <w:p w14:paraId="1067F8FC">
      <w:pPr>
        <w:keepNext w:val="0"/>
        <w:keepLines w:val="0"/>
        <w:pageBreakBefore w:val="0"/>
        <w:widowControl w:val="0"/>
        <w:wordWrap/>
        <w:overflowPunct/>
        <w:topLinePunct w:val="0"/>
        <w:bidi w:val="0"/>
        <w:rPr>
          <w:rFonts w:hint="eastAsia"/>
          <w:color w:val="auto"/>
        </w:rPr>
      </w:pPr>
      <w:r>
        <w:rPr>
          <w:rFonts w:hint="eastAsia"/>
          <w:color w:val="auto"/>
        </w:rPr>
        <w:t>②电热器具和照明灯具形成引燃源。</w:t>
      </w:r>
    </w:p>
    <w:p w14:paraId="6C8F3AD1">
      <w:pPr>
        <w:keepNext w:val="0"/>
        <w:keepLines w:val="0"/>
        <w:pageBreakBefore w:val="0"/>
        <w:widowControl w:val="0"/>
        <w:wordWrap/>
        <w:overflowPunct/>
        <w:topLinePunct w:val="0"/>
        <w:bidi w:val="0"/>
        <w:rPr>
          <w:rFonts w:hint="eastAsia"/>
          <w:color w:val="auto"/>
        </w:rPr>
      </w:pPr>
      <w:r>
        <w:rPr>
          <w:rFonts w:hint="eastAsia"/>
          <w:color w:val="auto"/>
        </w:rPr>
        <w:t>③电火花和电弧。包括电气设备正常工作或操作过程中产生的电火花、电气设备或电气线路故障时产生的事故电火花、雷电放电产生的电弧、静电火花等。</w:t>
      </w:r>
    </w:p>
    <w:p w14:paraId="4357714A">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rPr>
        <w:t>内燃设备火灾</w:t>
      </w:r>
    </w:p>
    <w:p w14:paraId="6E6C6A59">
      <w:pPr>
        <w:keepNext w:val="0"/>
        <w:keepLines w:val="0"/>
        <w:pageBreakBefore w:val="0"/>
        <w:widowControl w:val="0"/>
        <w:wordWrap/>
        <w:overflowPunct/>
        <w:topLinePunct w:val="0"/>
        <w:bidi w:val="0"/>
        <w:rPr>
          <w:rFonts w:hint="eastAsia"/>
          <w:color w:val="auto"/>
        </w:rPr>
      </w:pPr>
      <w:r>
        <w:rPr>
          <w:rFonts w:hint="eastAsia"/>
          <w:color w:val="auto"/>
        </w:rPr>
        <w:t>使用内燃设备、电气及制动系统发生火灾等。</w:t>
      </w:r>
    </w:p>
    <w:p w14:paraId="19E9C59F">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lang w:val="en-US" w:eastAsia="zh-CN"/>
        </w:rPr>
        <w:t>4）</w:t>
      </w:r>
      <w:r>
        <w:rPr>
          <w:rFonts w:hint="eastAsia"/>
          <w:color w:val="auto"/>
        </w:rPr>
        <w:t>其它火灾</w:t>
      </w:r>
    </w:p>
    <w:p w14:paraId="1B981FEE">
      <w:pPr>
        <w:keepNext w:val="0"/>
        <w:keepLines w:val="0"/>
        <w:pageBreakBefore w:val="0"/>
        <w:widowControl w:val="0"/>
        <w:wordWrap/>
        <w:overflowPunct/>
        <w:topLinePunct w:val="0"/>
        <w:bidi w:val="0"/>
        <w:rPr>
          <w:rFonts w:hint="eastAsia"/>
          <w:color w:val="auto"/>
        </w:rPr>
      </w:pPr>
      <w:r>
        <w:rPr>
          <w:rFonts w:hint="eastAsia"/>
          <w:color w:val="auto"/>
        </w:rPr>
        <w:t>矿山处在山区、林区，</w:t>
      </w:r>
      <w:r>
        <w:rPr>
          <w:rFonts w:hint="eastAsia"/>
          <w:color w:val="auto"/>
          <w:lang w:val="en-US" w:eastAsia="zh-CN"/>
        </w:rPr>
        <w:t>因</w:t>
      </w:r>
      <w:r>
        <w:rPr>
          <w:rFonts w:hint="eastAsia"/>
          <w:color w:val="auto"/>
        </w:rPr>
        <w:t>山火熳燃危及矿山的生活设施、生产设备和场所，尤其是地面民用爆破物品储存库、可燃物品的仓库和储罐等。</w:t>
      </w:r>
    </w:p>
    <w:p w14:paraId="2DBC593F">
      <w:pPr>
        <w:keepNext w:val="0"/>
        <w:keepLines w:val="0"/>
        <w:pageBreakBefore w:val="0"/>
        <w:widowControl w:val="0"/>
        <w:wordWrap/>
        <w:overflowPunct/>
        <w:topLinePunct w:val="0"/>
        <w:bidi w:val="0"/>
        <w:rPr>
          <w:rFonts w:hint="eastAsia"/>
          <w:color w:val="auto"/>
          <w:lang w:val="en-US" w:eastAsia="zh-CN"/>
        </w:rPr>
      </w:pPr>
      <w:bookmarkStart w:id="576" w:name="_Toc2817"/>
      <w:bookmarkStart w:id="577" w:name="_Toc13372"/>
      <w:bookmarkStart w:id="578" w:name="_Toc30333"/>
      <w:bookmarkStart w:id="579" w:name="_Toc7923"/>
      <w:r>
        <w:rPr>
          <w:rFonts w:hint="eastAsia"/>
          <w:color w:val="auto"/>
          <w:lang w:val="en-US" w:eastAsia="zh-CN"/>
        </w:rPr>
        <w:t>2）易发生火灾的场所</w:t>
      </w:r>
      <w:bookmarkEnd w:id="576"/>
      <w:bookmarkEnd w:id="577"/>
      <w:bookmarkEnd w:id="578"/>
      <w:bookmarkEnd w:id="579"/>
    </w:p>
    <w:p w14:paraId="383EE73B">
      <w:pPr>
        <w:keepNext w:val="0"/>
        <w:keepLines w:val="0"/>
        <w:pageBreakBefore w:val="0"/>
        <w:widowControl w:val="0"/>
        <w:wordWrap/>
        <w:overflowPunct/>
        <w:topLinePunct w:val="0"/>
        <w:bidi w:val="0"/>
        <w:rPr>
          <w:rFonts w:hint="eastAsia"/>
          <w:color w:val="auto"/>
          <w:spacing w:val="-6"/>
          <w:sz w:val="28"/>
          <w:lang w:val="en-US" w:eastAsia="zh-CN"/>
        </w:rPr>
      </w:pPr>
      <w:r>
        <w:rPr>
          <w:rFonts w:hint="eastAsia"/>
          <w:color w:val="auto"/>
          <w:spacing w:val="-11"/>
          <w:sz w:val="28"/>
          <w:lang w:val="en-US" w:eastAsia="zh-CN"/>
        </w:rPr>
        <w:t>（1）地面及井下所涉及到的所有供配电系统、如电气设备、供电线路等；</w:t>
      </w:r>
    </w:p>
    <w:p w14:paraId="7F61BFD3">
      <w:pPr>
        <w:keepNext w:val="0"/>
        <w:keepLines w:val="0"/>
        <w:pageBreakBefore w:val="0"/>
        <w:widowControl w:val="0"/>
        <w:wordWrap/>
        <w:overflowPunct/>
        <w:topLinePunct w:val="0"/>
        <w:bidi w:val="0"/>
        <w:rPr>
          <w:rFonts w:hint="eastAsia"/>
          <w:color w:val="auto"/>
          <w:lang w:val="en-US" w:eastAsia="zh-CN"/>
        </w:rPr>
      </w:pPr>
      <w:r>
        <w:rPr>
          <w:rFonts w:hint="eastAsia"/>
          <w:color w:val="auto"/>
          <w:spacing w:val="-6"/>
          <w:sz w:val="28"/>
          <w:lang w:val="en-US" w:eastAsia="zh-CN"/>
        </w:rPr>
        <w:t>（2）地面使用内燃机械的矿山设备，如装载机、运输车辆、服务车等；</w:t>
      </w:r>
    </w:p>
    <w:p w14:paraId="572F2B2C">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（3）井下机电硐室；</w:t>
      </w:r>
    </w:p>
    <w:p w14:paraId="3E9D82E1">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（4）井下采掘作业面；</w:t>
      </w:r>
    </w:p>
    <w:p w14:paraId="7D25DF2D">
      <w:pPr>
        <w:keepNext w:val="0"/>
        <w:keepLines w:val="0"/>
        <w:pageBreakBefore w:val="0"/>
        <w:widowControl w:val="0"/>
        <w:wordWrap/>
        <w:overflowPunct/>
        <w:topLinePunct w:val="0"/>
        <w:bidi w:val="0"/>
        <w:rPr>
          <w:rFonts w:hint="eastAsia" w:ascii="宋体" w:hAnsi="宋体" w:eastAsia="宋体" w:cs="宋体"/>
          <w:color w:val="auto"/>
          <w:spacing w:val="6"/>
          <w:szCs w:val="28"/>
          <w:lang w:val="en-US" w:eastAsia="zh-CN"/>
        </w:rPr>
      </w:pPr>
      <w:r>
        <w:rPr>
          <w:rFonts w:hint="eastAsia"/>
          <w:color w:val="auto"/>
          <w:lang w:val="en-US" w:eastAsia="zh-CN"/>
        </w:rPr>
        <w:t>（5）矿山配套服务的生活设施，如办公楼等。</w:t>
      </w:r>
    </w:p>
    <w:p w14:paraId="086625A4">
      <w:pPr>
        <w:pStyle w:val="4"/>
        <w:keepNext w:val="0"/>
        <w:keepLines w:val="0"/>
        <w:pageBreakBefore w:val="0"/>
        <w:widowControl w:val="0"/>
        <w:wordWrap/>
        <w:overflowPunct/>
        <w:topLinePunct w:val="0"/>
        <w:bidi w:val="0"/>
        <w:spacing w:beforeLines="0" w:afterLines="0"/>
        <w:rPr>
          <w:rFonts w:hint="eastAsia"/>
          <w:color w:val="auto"/>
        </w:rPr>
      </w:pPr>
      <w:bookmarkStart w:id="580" w:name="_Toc15621"/>
      <w:bookmarkStart w:id="581" w:name="_Toc29477"/>
      <w:bookmarkStart w:id="582" w:name="_Toc6989"/>
      <w:bookmarkStart w:id="583" w:name="_Toc12436"/>
      <w:bookmarkStart w:id="584" w:name="_Toc12046"/>
      <w:bookmarkStart w:id="585" w:name="_Toc32631"/>
      <w:r>
        <w:rPr>
          <w:rFonts w:hint="eastAsia"/>
          <w:color w:val="auto"/>
          <w:lang w:val="en-US" w:eastAsia="zh-CN"/>
        </w:rPr>
        <w:t>3.1.9 起重致害</w:t>
      </w:r>
      <w:bookmarkEnd w:id="580"/>
    </w:p>
    <w:bookmarkEnd w:id="581"/>
    <w:bookmarkEnd w:id="582"/>
    <w:bookmarkEnd w:id="583"/>
    <w:bookmarkEnd w:id="584"/>
    <w:bookmarkEnd w:id="585"/>
    <w:p w14:paraId="46789560">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起重致害是指起重机械在运行、检修、试验过程中因发生挤压、倾覆、折断、倒塌、部件坠落、吊具打击、起重物坠落等造成的事故。</w:t>
      </w:r>
    </w:p>
    <w:p w14:paraId="1CC2D8B8">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矿山维修点存在起重设备，可能发生起重</w:t>
      </w:r>
      <w:r>
        <w:rPr>
          <w:rFonts w:hint="eastAsia"/>
          <w:color w:val="auto"/>
          <w:lang w:val="en-US" w:eastAsia="zh-CN"/>
        </w:rPr>
        <w:t>致</w:t>
      </w:r>
      <w:r>
        <w:rPr>
          <w:rFonts w:hint="eastAsia"/>
          <w:color w:val="auto"/>
          <w:lang w:eastAsia="zh-CN"/>
        </w:rPr>
        <w:t>害。其危害因素主要表现为牵引链断裂或滑动件滑脱、碰撞、突然停车等，由此引发的事故有设备设施损坏、人员伤亡和影响生产等。起重</w:t>
      </w:r>
      <w:r>
        <w:rPr>
          <w:rFonts w:hint="eastAsia"/>
          <w:color w:val="auto"/>
          <w:lang w:val="en-US" w:eastAsia="zh-CN"/>
        </w:rPr>
        <w:t>致</w:t>
      </w:r>
      <w:r>
        <w:rPr>
          <w:rFonts w:hint="eastAsia"/>
          <w:color w:val="auto"/>
          <w:lang w:eastAsia="zh-CN"/>
        </w:rPr>
        <w:t>害的原因一般有以下几个方面：设备失灵，不能及时切断电源，致使运行失控；操作人员注意力不集中或视觉障碍，不能及时停车；被运物件超重；起重设备故障等。</w:t>
      </w:r>
    </w:p>
    <w:p w14:paraId="39E9350F">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易发生起重</w:t>
      </w:r>
      <w:r>
        <w:rPr>
          <w:rFonts w:hint="eastAsia"/>
          <w:color w:val="auto"/>
          <w:lang w:val="en-US" w:eastAsia="zh-CN"/>
        </w:rPr>
        <w:t>致</w:t>
      </w:r>
      <w:r>
        <w:rPr>
          <w:rFonts w:hint="eastAsia"/>
          <w:color w:val="auto"/>
          <w:lang w:eastAsia="zh-CN"/>
        </w:rPr>
        <w:t>害的场所有：</w:t>
      </w:r>
    </w:p>
    <w:p w14:paraId="3905BD18">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1）</w:t>
      </w:r>
      <w:r>
        <w:rPr>
          <w:rFonts w:hint="eastAsia"/>
          <w:color w:val="auto"/>
          <w:lang w:eastAsia="zh-CN"/>
        </w:rPr>
        <w:t>设备设施的起吊、安装、检修，</w:t>
      </w:r>
      <w:r>
        <w:rPr>
          <w:rFonts w:hint="eastAsia"/>
          <w:color w:val="auto"/>
          <w:lang w:val="en-US" w:eastAsia="zh-CN"/>
        </w:rPr>
        <w:t>如供气、供电设备检修等</w:t>
      </w:r>
      <w:r>
        <w:rPr>
          <w:rFonts w:hint="eastAsia"/>
          <w:color w:val="auto"/>
          <w:lang w:eastAsia="zh-CN"/>
        </w:rPr>
        <w:t>；</w:t>
      </w:r>
    </w:p>
    <w:p w14:paraId="7C591D61">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2）</w:t>
      </w:r>
      <w:r>
        <w:rPr>
          <w:rFonts w:hint="eastAsia"/>
          <w:color w:val="auto"/>
          <w:lang w:eastAsia="zh-CN"/>
        </w:rPr>
        <w:t>货物的起吊和装卸等。</w:t>
      </w:r>
    </w:p>
    <w:p w14:paraId="31772649">
      <w:pPr>
        <w:pStyle w:val="4"/>
        <w:keepNext w:val="0"/>
        <w:keepLines w:val="0"/>
        <w:pageBreakBefore w:val="0"/>
        <w:widowControl w:val="0"/>
        <w:wordWrap/>
        <w:overflowPunct/>
        <w:topLinePunct w:val="0"/>
        <w:bidi w:val="0"/>
        <w:spacing w:beforeLines="0" w:afterLines="0"/>
        <w:rPr>
          <w:rFonts w:hint="eastAsia"/>
          <w:color w:val="auto"/>
        </w:rPr>
      </w:pPr>
      <w:bookmarkStart w:id="586" w:name="_Toc1149"/>
      <w:bookmarkStart w:id="587" w:name="_Toc4187"/>
      <w:bookmarkStart w:id="588" w:name="_Toc20126"/>
      <w:bookmarkStart w:id="589" w:name="_Toc3671"/>
      <w:bookmarkStart w:id="590" w:name="_Toc3739"/>
      <w:bookmarkStart w:id="591" w:name="_Toc18667"/>
      <w:r>
        <w:rPr>
          <w:rFonts w:hint="eastAsia"/>
          <w:color w:val="auto"/>
          <w:lang w:val="en-US" w:eastAsia="zh-CN"/>
        </w:rPr>
        <w:t>3.1.10 容器爆炸</w:t>
      </w:r>
      <w:bookmarkEnd w:id="586"/>
      <w:bookmarkEnd w:id="587"/>
      <w:bookmarkEnd w:id="588"/>
      <w:bookmarkEnd w:id="589"/>
      <w:bookmarkEnd w:id="590"/>
      <w:r>
        <w:rPr>
          <w:rFonts w:hint="eastAsia"/>
          <w:color w:val="auto"/>
          <w:lang w:val="en-US" w:eastAsia="zh-CN"/>
        </w:rPr>
        <w:t>、管道爆炸</w:t>
      </w:r>
      <w:bookmarkEnd w:id="591"/>
    </w:p>
    <w:p w14:paraId="0A006DD1">
      <w:pPr>
        <w:keepNext w:val="0"/>
        <w:keepLines w:val="0"/>
        <w:pageBreakBefore w:val="0"/>
        <w:widowControl w:val="0"/>
        <w:wordWrap/>
        <w:overflowPunct/>
        <w:topLinePunct w:val="0"/>
        <w:bidi w:val="0"/>
        <w:rPr>
          <w:rFonts w:hint="eastAsia"/>
          <w:color w:val="auto"/>
        </w:rPr>
      </w:pPr>
      <w:r>
        <w:rPr>
          <w:rFonts w:hint="eastAsia"/>
          <w:color w:val="auto"/>
          <w:lang w:val="en-US" w:eastAsia="zh-CN"/>
        </w:rPr>
        <w:t>容器爆炸是指各类容器由于质量缺陷、使用不当或维护不当等原因发生爆炸造成的事故。</w:t>
      </w:r>
    </w:p>
    <w:p w14:paraId="4987428F">
      <w:pPr>
        <w:keepNext w:val="0"/>
        <w:keepLines w:val="0"/>
        <w:pageBreakBefore w:val="0"/>
        <w:widowControl w:val="0"/>
        <w:wordWrap/>
        <w:overflowPunct/>
        <w:topLinePunct w:val="0"/>
        <w:bidi w:val="0"/>
        <w:rPr>
          <w:rFonts w:hint="eastAsia"/>
          <w:color w:val="auto"/>
        </w:rPr>
      </w:pPr>
      <w:r>
        <w:rPr>
          <w:rFonts w:hint="eastAsia"/>
          <w:color w:val="auto"/>
          <w:lang w:val="en-US" w:eastAsia="zh-CN"/>
        </w:rPr>
        <w:t>管道爆炸是指各类管道由于质量缺陷、使用不当或维护不当等原因发生爆炸造成的事故。</w:t>
      </w:r>
    </w:p>
    <w:p w14:paraId="1EE46454">
      <w:pPr>
        <w:keepNext w:val="0"/>
        <w:keepLines w:val="0"/>
        <w:pageBreakBefore w:val="0"/>
        <w:widowControl w:val="0"/>
        <w:wordWrap/>
        <w:overflowPunct/>
        <w:topLinePunct w:val="0"/>
        <w:bidi w:val="0"/>
        <w:rPr>
          <w:rFonts w:hint="eastAsia"/>
          <w:color w:val="auto"/>
        </w:rPr>
      </w:pPr>
      <w:r>
        <w:rPr>
          <w:rFonts w:hint="eastAsia"/>
          <w:color w:val="auto"/>
        </w:rPr>
        <w:t>茅排金矿地下开采过程中使用压缩空气作为凿岩动力，其运行压力在</w:t>
      </w:r>
      <w:r>
        <w:rPr>
          <w:rFonts w:hint="eastAsia"/>
          <w:color w:val="auto"/>
          <w:lang w:eastAsia="zh-CN"/>
        </w:rPr>
        <w:t>0.8MPa</w:t>
      </w:r>
      <w:r>
        <w:rPr>
          <w:rFonts w:hint="eastAsia"/>
          <w:color w:val="auto"/>
        </w:rPr>
        <w:t>，</w:t>
      </w:r>
      <w:r>
        <w:rPr>
          <w:rFonts w:hint="eastAsia"/>
          <w:color w:val="auto"/>
          <w:lang w:eastAsia="zh-CN"/>
        </w:rPr>
        <w:t>储气罐</w:t>
      </w:r>
      <w:r>
        <w:rPr>
          <w:rFonts w:hint="eastAsia"/>
          <w:color w:val="auto"/>
        </w:rPr>
        <w:t>及输送管路可</w:t>
      </w:r>
      <w:r>
        <w:rPr>
          <w:rFonts w:hint="eastAsia"/>
          <w:color w:val="auto"/>
          <w:lang w:val="en-US" w:eastAsia="zh-CN"/>
        </w:rPr>
        <w:t>能</w:t>
      </w:r>
      <w:r>
        <w:rPr>
          <w:rFonts w:hint="eastAsia"/>
          <w:color w:val="auto"/>
        </w:rPr>
        <w:t>因</w:t>
      </w:r>
      <w:r>
        <w:rPr>
          <w:rFonts w:hint="eastAsia"/>
          <w:color w:val="auto"/>
          <w:lang w:val="en-US" w:eastAsia="zh-CN"/>
        </w:rPr>
        <w:t>质量缺陷、使用不当或维护不当、</w:t>
      </w:r>
      <w:r>
        <w:rPr>
          <w:rFonts w:hint="eastAsia"/>
          <w:color w:val="auto"/>
        </w:rPr>
        <w:t>超压、人为损坏导致强度下降或安全装置失效引起容器爆炸。引起容器爆炸</w:t>
      </w:r>
      <w:r>
        <w:rPr>
          <w:rFonts w:hint="eastAsia"/>
          <w:color w:val="auto"/>
          <w:lang w:val="en-US" w:eastAsia="zh-CN"/>
        </w:rPr>
        <w:t>和管道爆炸</w:t>
      </w:r>
      <w:r>
        <w:rPr>
          <w:rFonts w:hint="eastAsia"/>
          <w:color w:val="auto"/>
        </w:rPr>
        <w:t>的原因可能有：</w:t>
      </w:r>
    </w:p>
    <w:p w14:paraId="41EC8A91">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1）</w:t>
      </w:r>
      <w:r>
        <w:rPr>
          <w:rFonts w:hint="eastAsia"/>
          <w:color w:val="auto"/>
          <w:lang w:eastAsia="zh-CN"/>
        </w:rPr>
        <w:t>引起容器爆炸的主要原因：</w:t>
      </w:r>
    </w:p>
    <w:p w14:paraId="5A96B3A5">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（1）安全保护装置失效，造成空气压力超高；</w:t>
      </w:r>
    </w:p>
    <w:p w14:paraId="5D569358">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（2）使用时间过长，维护不及时，或损伤造成承压元件失效；</w:t>
      </w:r>
    </w:p>
    <w:p w14:paraId="1BCF0EE6">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（3）润滑不当，压力容器</w:t>
      </w:r>
      <w:r>
        <w:rPr>
          <w:rFonts w:hint="eastAsia"/>
          <w:color w:val="auto"/>
          <w:lang w:val="en-US" w:eastAsia="zh-CN"/>
        </w:rPr>
        <w:t>和管道</w:t>
      </w:r>
      <w:r>
        <w:rPr>
          <w:rFonts w:hint="eastAsia"/>
          <w:color w:val="auto"/>
          <w:lang w:eastAsia="zh-CN"/>
        </w:rPr>
        <w:t>内的积碳燃烧爆炸；</w:t>
      </w:r>
    </w:p>
    <w:p w14:paraId="473C298E">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（4）冷却不当，造成温度过高，产生爆炸。</w:t>
      </w:r>
    </w:p>
    <w:p w14:paraId="13994F81">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2）</w:t>
      </w:r>
      <w:r>
        <w:rPr>
          <w:rFonts w:hint="eastAsia"/>
          <w:color w:val="auto"/>
          <w:lang w:eastAsia="zh-CN"/>
        </w:rPr>
        <w:t>容器爆炸场所：</w:t>
      </w:r>
    </w:p>
    <w:p w14:paraId="68D0604C">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（1）储气罐；</w:t>
      </w:r>
    </w:p>
    <w:p w14:paraId="605B2CF0">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（2）输送压缩气体的管道。</w:t>
      </w:r>
    </w:p>
    <w:p w14:paraId="4792A511">
      <w:pPr>
        <w:keepNext w:val="0"/>
        <w:keepLines w:val="0"/>
        <w:pageBreakBefore w:val="0"/>
        <w:widowControl w:val="0"/>
        <w:wordWrap/>
        <w:overflowPunct/>
        <w:topLinePunct w:val="0"/>
        <w:bidi w:val="0"/>
        <w:spacing w:line="14" w:lineRule="auto"/>
        <w:rPr>
          <w:rFonts w:ascii="Arial"/>
          <w:color w:val="auto"/>
          <w:sz w:val="2"/>
        </w:rPr>
      </w:pPr>
    </w:p>
    <w:p w14:paraId="2969EB02">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592" w:name="_Toc31303"/>
      <w:bookmarkStart w:id="593" w:name="_Toc31089"/>
      <w:bookmarkStart w:id="594" w:name="_Toc16209"/>
      <w:bookmarkStart w:id="595" w:name="_Toc28661"/>
      <w:bookmarkStart w:id="596" w:name="_Toc29572"/>
      <w:bookmarkStart w:id="597" w:name="_Toc29318"/>
      <w:r>
        <w:rPr>
          <w:rFonts w:hint="eastAsia"/>
          <w:color w:val="auto"/>
          <w:lang w:val="en-US" w:eastAsia="zh-CN"/>
        </w:rPr>
        <w:t>3.1.11 中毒、窒息</w:t>
      </w:r>
      <w:bookmarkEnd w:id="592"/>
      <w:bookmarkEnd w:id="593"/>
      <w:bookmarkEnd w:id="594"/>
      <w:bookmarkEnd w:id="595"/>
      <w:bookmarkEnd w:id="596"/>
      <w:bookmarkEnd w:id="597"/>
    </w:p>
    <w:p w14:paraId="73915552">
      <w:pPr>
        <w:keepNext w:val="0"/>
        <w:keepLines w:val="0"/>
        <w:pageBreakBefore w:val="0"/>
        <w:widowControl w:val="0"/>
        <w:wordWrap/>
        <w:overflowPunct/>
        <w:topLinePunct w:val="0"/>
        <w:bidi w:val="0"/>
        <w:rPr>
          <w:rFonts w:hint="eastAsia"/>
          <w:color w:val="auto"/>
        </w:rPr>
      </w:pPr>
      <w:r>
        <w:rPr>
          <w:rFonts w:hint="eastAsia"/>
          <w:color w:val="auto"/>
          <w:lang w:val="en-US" w:eastAsia="zh-CN"/>
        </w:rPr>
        <w:t>中毒是指人体经消化系统、呼吸系统摄入或皮肤接触有毒物质造成的急性中毒事故。</w:t>
      </w:r>
    </w:p>
    <w:p w14:paraId="540FBEB3">
      <w:pPr>
        <w:keepNext w:val="0"/>
        <w:keepLines w:val="0"/>
        <w:pageBreakBefore w:val="0"/>
        <w:widowControl w:val="0"/>
        <w:wordWrap/>
        <w:overflowPunct/>
        <w:topLinePunct w:val="0"/>
        <w:bidi w:val="0"/>
        <w:rPr>
          <w:rFonts w:hint="eastAsia"/>
          <w:color w:val="auto"/>
        </w:rPr>
      </w:pPr>
      <w:r>
        <w:rPr>
          <w:rFonts w:hint="eastAsia"/>
          <w:color w:val="auto"/>
          <w:lang w:val="en-US" w:eastAsia="zh-CN"/>
        </w:rPr>
        <w:t>窒息是指由于环境缺氧或机械性窒息造成的事故。</w:t>
      </w:r>
    </w:p>
    <w:p w14:paraId="7CFB1274">
      <w:pPr>
        <w:keepNext w:val="0"/>
        <w:keepLines w:val="0"/>
        <w:pageBreakBefore w:val="0"/>
        <w:widowControl w:val="0"/>
        <w:wordWrap/>
        <w:overflowPunct/>
        <w:topLinePunct w:val="0"/>
        <w:bidi w:val="0"/>
        <w:rPr>
          <w:rFonts w:hint="eastAsia"/>
          <w:color w:val="auto"/>
        </w:rPr>
      </w:pPr>
      <w:r>
        <w:rPr>
          <w:rFonts w:hint="eastAsia"/>
          <w:color w:val="auto"/>
          <w:lang w:val="en-US" w:eastAsia="zh-CN"/>
        </w:rPr>
        <w:t>根据矿山生产工艺的特点，引起中毒、窒息的原因主要为爆破后产生的炮烟和其他有害烟尘，如：开采过程中遇到的采空区，巷道中存在的有害气体，火灾后产生的有害烟气、汽车废气等。</w:t>
      </w:r>
    </w:p>
    <w:p w14:paraId="69D9CBD3">
      <w:pPr>
        <w:keepNext w:val="0"/>
        <w:keepLines w:val="0"/>
        <w:pageBreakBefore w:val="0"/>
        <w:widowControl w:val="0"/>
        <w:wordWrap/>
        <w:overflowPunct/>
        <w:topLinePunct w:val="0"/>
        <w:bidi w:val="0"/>
        <w:rPr>
          <w:rFonts w:hint="eastAsia"/>
          <w:color w:val="auto"/>
        </w:rPr>
      </w:pPr>
      <w:r>
        <w:rPr>
          <w:rFonts w:hint="eastAsia"/>
          <w:color w:val="auto"/>
        </w:rPr>
        <w:t>导致人员中毒、窒息的原因包括：</w:t>
      </w:r>
    </w:p>
    <w:p w14:paraId="6A8EC8C8">
      <w:pPr>
        <w:keepNext w:val="0"/>
        <w:keepLines w:val="0"/>
        <w:pageBreakBefore w:val="0"/>
        <w:widowControl w:val="0"/>
        <w:wordWrap/>
        <w:overflowPunct/>
        <w:topLinePunct w:val="0"/>
        <w:bidi w:val="0"/>
        <w:rPr>
          <w:rFonts w:hint="eastAsia"/>
          <w:color w:val="auto"/>
        </w:rPr>
      </w:pPr>
      <w:r>
        <w:rPr>
          <w:rFonts w:hint="eastAsia"/>
          <w:color w:val="auto"/>
          <w:lang w:val="en-US" w:eastAsia="zh-CN"/>
        </w:rPr>
        <w:t>1）</w:t>
      </w:r>
      <w:r>
        <w:rPr>
          <w:rFonts w:hint="eastAsia"/>
          <w:color w:val="auto"/>
        </w:rPr>
        <w:t>违章作业。如放炮后通风时间不足就进入工作面作业 ，人员没有按要求撤离到不会发生炮烟中毒的巷道等；</w:t>
      </w:r>
    </w:p>
    <w:p w14:paraId="73F195E9">
      <w:pPr>
        <w:keepNext w:val="0"/>
        <w:keepLines w:val="0"/>
        <w:pageBreakBefore w:val="0"/>
        <w:widowControl w:val="0"/>
        <w:wordWrap/>
        <w:overflowPunct/>
        <w:topLinePunct w:val="0"/>
        <w:bidi w:val="0"/>
        <w:rPr>
          <w:rFonts w:hint="eastAsia"/>
          <w:color w:val="auto"/>
        </w:rPr>
      </w:pPr>
      <w:r>
        <w:rPr>
          <w:rFonts w:hint="eastAsia"/>
          <w:color w:val="auto"/>
          <w:lang w:val="en-US" w:eastAsia="zh-CN"/>
        </w:rPr>
        <w:t>2）</w:t>
      </w:r>
      <w:r>
        <w:rPr>
          <w:rFonts w:hint="eastAsia"/>
          <w:color w:val="auto"/>
        </w:rPr>
        <w:t>炮烟长时间在作业区域滞留，独头巷道掘进时没有设置局部通风，没有足够的风量稀释炮烟，设计的通风时间过短等；</w:t>
      </w:r>
    </w:p>
    <w:p w14:paraId="0F9B2A9C">
      <w:pPr>
        <w:keepNext w:val="0"/>
        <w:keepLines w:val="0"/>
        <w:pageBreakBefore w:val="0"/>
        <w:widowControl w:val="0"/>
        <w:wordWrap/>
        <w:overflowPunct/>
        <w:topLinePunct w:val="0"/>
        <w:bidi w:val="0"/>
        <w:rPr>
          <w:rFonts w:hint="eastAsia"/>
          <w:color w:val="auto"/>
        </w:rPr>
      </w:pPr>
      <w:r>
        <w:rPr>
          <w:rFonts w:hint="eastAsia"/>
          <w:color w:val="auto"/>
          <w:lang w:val="en-US" w:eastAsia="zh-CN"/>
        </w:rPr>
        <w:t>3）</w:t>
      </w:r>
      <w:r>
        <w:rPr>
          <w:rFonts w:hint="eastAsia"/>
          <w:color w:val="auto"/>
        </w:rPr>
        <w:t>由于警戒标志不合理或没有标志，人员意外进入通风不畅、长期不通风的盲巷、采空区、硐室等；</w:t>
      </w:r>
    </w:p>
    <w:p w14:paraId="230161C2">
      <w:pPr>
        <w:keepNext w:val="0"/>
        <w:keepLines w:val="0"/>
        <w:pageBreakBefore w:val="0"/>
        <w:widowControl w:val="0"/>
        <w:wordWrap/>
        <w:overflowPunct/>
        <w:topLinePunct w:val="0"/>
        <w:bidi w:val="0"/>
        <w:rPr>
          <w:rFonts w:hint="eastAsia"/>
          <w:color w:val="auto"/>
        </w:rPr>
      </w:pPr>
      <w:r>
        <w:rPr>
          <w:rFonts w:hint="eastAsia"/>
          <w:color w:val="auto"/>
          <w:lang w:val="en-US" w:eastAsia="zh-CN"/>
        </w:rPr>
        <w:t>4）</w:t>
      </w:r>
      <w:r>
        <w:rPr>
          <w:rFonts w:hint="eastAsia"/>
          <w:color w:val="auto"/>
        </w:rPr>
        <w:t>突然遇到含有大量窒息性气体、有毒气体、粉尘的地质构造，大量窒息性气体、有毒气体、粉尘突然涌出到采掘工作面或其他人员作业场所，人员没有防护措施；</w:t>
      </w:r>
    </w:p>
    <w:p w14:paraId="5C26304C">
      <w:pPr>
        <w:keepNext w:val="0"/>
        <w:keepLines w:val="0"/>
        <w:pageBreakBefore w:val="0"/>
        <w:widowControl w:val="0"/>
        <w:wordWrap/>
        <w:overflowPunct/>
        <w:topLinePunct w:val="0"/>
        <w:bidi w:val="0"/>
        <w:rPr>
          <w:rFonts w:hint="eastAsia"/>
          <w:color w:val="auto"/>
        </w:rPr>
      </w:pPr>
      <w:r>
        <w:rPr>
          <w:rFonts w:hint="eastAsia"/>
          <w:color w:val="auto"/>
          <w:lang w:val="en-US" w:eastAsia="zh-CN"/>
        </w:rPr>
        <w:t>5）</w:t>
      </w:r>
      <w:r>
        <w:rPr>
          <w:rFonts w:hint="eastAsia"/>
          <w:color w:val="auto"/>
        </w:rPr>
        <w:t>出现意外情况。如意外的风流短路，人员意外进入炮烟污染区并长时间停留，意外的停风等。</w:t>
      </w:r>
    </w:p>
    <w:p w14:paraId="4FE34E4B">
      <w:pPr>
        <w:keepNext w:val="0"/>
        <w:keepLines w:val="0"/>
        <w:pageBreakBefore w:val="0"/>
        <w:widowControl w:val="0"/>
        <w:wordWrap/>
        <w:overflowPunct/>
        <w:topLinePunct w:val="0"/>
        <w:bidi w:val="0"/>
        <w:rPr>
          <w:rFonts w:hint="eastAsia"/>
          <w:color w:val="auto"/>
          <w:lang w:val="en-US" w:eastAsia="zh-CN"/>
        </w:rPr>
      </w:pPr>
      <w:bookmarkStart w:id="598" w:name="_Toc5798"/>
      <w:bookmarkStart w:id="599" w:name="_Toc16564"/>
      <w:bookmarkStart w:id="600" w:name="_Toc9864"/>
      <w:bookmarkStart w:id="601" w:name="_Toc10893"/>
      <w:r>
        <w:rPr>
          <w:rFonts w:hint="eastAsia"/>
          <w:color w:val="auto"/>
          <w:lang w:val="en-US" w:eastAsia="zh-CN"/>
        </w:rPr>
        <w:t>2.中毒、窒息场所</w:t>
      </w:r>
      <w:bookmarkEnd w:id="598"/>
      <w:bookmarkEnd w:id="599"/>
      <w:bookmarkEnd w:id="600"/>
      <w:bookmarkEnd w:id="601"/>
    </w:p>
    <w:p w14:paraId="0FEE627D">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可能发生中毒、窒息的主要场所包括：</w:t>
      </w:r>
    </w:p>
    <w:p w14:paraId="0972408D">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1）爆破作业面；</w:t>
      </w:r>
    </w:p>
    <w:p w14:paraId="674245EA">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2）炮烟流经的巷道，炮烟积聚的采空区；</w:t>
      </w:r>
    </w:p>
    <w:p w14:paraId="701D6819">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3）炮烟进入的硐室；</w:t>
      </w:r>
    </w:p>
    <w:p w14:paraId="2F914491">
      <w:pPr>
        <w:keepNext w:val="0"/>
        <w:keepLines w:val="0"/>
        <w:pageBreakBefore w:val="0"/>
        <w:widowControl w:val="0"/>
        <w:wordWrap/>
        <w:overflowPunct/>
        <w:topLinePunct w:val="0"/>
        <w:bidi w:val="0"/>
        <w:rPr>
          <w:rFonts w:hint="eastAsia" w:ascii="宋体" w:hAnsi="宋体" w:eastAsia="宋体" w:cs="宋体"/>
          <w:color w:val="auto"/>
          <w:spacing w:val="6"/>
          <w:szCs w:val="28"/>
        </w:rPr>
      </w:pPr>
      <w:r>
        <w:rPr>
          <w:rFonts w:hint="eastAsia"/>
          <w:color w:val="auto"/>
          <w:lang w:val="en-US" w:eastAsia="zh-CN"/>
        </w:rPr>
        <w:t>4）盲巷、盲井，通风不良的巷道，采空区等。</w:t>
      </w:r>
    </w:p>
    <w:p w14:paraId="6ED10B82">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02" w:name="_Toc32574"/>
      <w:bookmarkStart w:id="603" w:name="_Toc25330"/>
      <w:bookmarkStart w:id="604" w:name="_Toc30605"/>
      <w:bookmarkStart w:id="605" w:name="_Toc10178"/>
      <w:bookmarkStart w:id="606" w:name="_Toc7658"/>
      <w:bookmarkStart w:id="607" w:name="_Toc11426"/>
      <w:r>
        <w:rPr>
          <w:rFonts w:hint="eastAsia"/>
          <w:color w:val="auto"/>
          <w:lang w:val="en-US" w:eastAsia="zh-CN"/>
        </w:rPr>
        <w:t>3.1.12 物体打击</w:t>
      </w:r>
      <w:bookmarkEnd w:id="602"/>
      <w:bookmarkEnd w:id="603"/>
      <w:bookmarkEnd w:id="604"/>
      <w:bookmarkEnd w:id="605"/>
      <w:bookmarkEnd w:id="606"/>
      <w:bookmarkEnd w:id="607"/>
    </w:p>
    <w:p w14:paraId="567C2D7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物体打击是指物体在受重力或其他外力的作用下产生运动,打击人体或设备设施造成的事故。物体打击是矿山企业发生最多的事故，矿山井巷工程及其他场所均存在物体打击危险，主要有：高处浮石脱落、天井等高处物体跌落、物体抛掷等。</w:t>
      </w:r>
    </w:p>
    <w:p w14:paraId="38F226B7">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08" w:name="_Toc11393"/>
      <w:bookmarkStart w:id="609" w:name="_Toc4105"/>
      <w:bookmarkStart w:id="610" w:name="_Toc16356"/>
      <w:bookmarkStart w:id="611" w:name="_Toc4384"/>
      <w:bookmarkStart w:id="612" w:name="_Toc17027"/>
      <w:bookmarkStart w:id="613" w:name="_Toc10289"/>
      <w:r>
        <w:rPr>
          <w:rFonts w:hint="eastAsia"/>
          <w:color w:val="auto"/>
          <w:lang w:val="en-US" w:eastAsia="zh-CN"/>
        </w:rPr>
        <w:t>3.1.13 淹溺</w:t>
      </w:r>
      <w:bookmarkEnd w:id="608"/>
      <w:bookmarkEnd w:id="609"/>
      <w:bookmarkEnd w:id="610"/>
      <w:bookmarkEnd w:id="611"/>
      <w:bookmarkEnd w:id="612"/>
      <w:bookmarkEnd w:id="613"/>
    </w:p>
    <w:p w14:paraId="2788F35E">
      <w:pPr>
        <w:keepNext w:val="0"/>
        <w:keepLines w:val="0"/>
        <w:pageBreakBefore w:val="0"/>
        <w:widowControl w:val="0"/>
        <w:wordWrap/>
        <w:overflowPunct/>
        <w:topLinePunct w:val="0"/>
        <w:bidi w:val="0"/>
        <w:rPr>
          <w:rFonts w:hint="eastAsia"/>
          <w:color w:val="auto"/>
        </w:rPr>
      </w:pPr>
      <w:r>
        <w:rPr>
          <w:rFonts w:hint="eastAsia"/>
          <w:color w:val="auto"/>
        </w:rPr>
        <w:t>淹溺是指</w:t>
      </w:r>
      <w:r>
        <w:rPr>
          <w:rFonts w:hint="eastAsia"/>
          <w:color w:val="auto"/>
          <w:lang w:val="en-US" w:eastAsia="zh-CN"/>
        </w:rPr>
        <w:t>大量液体或液态物质经口、鼻进入肺部使呼吸道阻塞,引起人体急性缺氧窒息伤亡的事故</w:t>
      </w:r>
      <w:r>
        <w:rPr>
          <w:rFonts w:hint="eastAsia"/>
          <w:color w:val="auto"/>
        </w:rPr>
        <w:t>。该矿区存在淹溺的场所主要是地面高位水池</w:t>
      </w:r>
      <w:r>
        <w:rPr>
          <w:rFonts w:hint="eastAsia"/>
          <w:color w:val="auto"/>
          <w:lang w:eastAsia="zh-CN"/>
        </w:rPr>
        <w:t>、</w:t>
      </w:r>
      <w:r>
        <w:rPr>
          <w:rFonts w:hint="eastAsia"/>
          <w:color w:val="auto"/>
          <w:lang w:val="en-US" w:eastAsia="zh-CN"/>
        </w:rPr>
        <w:t>积水处</w:t>
      </w:r>
      <w:r>
        <w:rPr>
          <w:rFonts w:hint="eastAsia"/>
          <w:color w:val="auto"/>
        </w:rPr>
        <w:t>。</w:t>
      </w:r>
    </w:p>
    <w:p w14:paraId="0F908416">
      <w:pPr>
        <w:pStyle w:val="4"/>
        <w:keepNext w:val="0"/>
        <w:keepLines w:val="0"/>
        <w:pageBreakBefore w:val="0"/>
        <w:widowControl w:val="0"/>
        <w:wordWrap/>
        <w:overflowPunct/>
        <w:topLinePunct w:val="0"/>
        <w:bidi w:val="0"/>
        <w:spacing w:beforeLines="0" w:afterLines="0"/>
        <w:rPr>
          <w:rFonts w:hint="eastAsia"/>
          <w:color w:val="auto"/>
        </w:rPr>
      </w:pPr>
      <w:bookmarkStart w:id="614" w:name="_Toc15607"/>
      <w:r>
        <w:rPr>
          <w:rFonts w:hint="eastAsia"/>
          <w:color w:val="auto"/>
          <w:lang w:val="en-US" w:eastAsia="zh-CN"/>
        </w:rPr>
        <w:t>3.1.14 水害</w:t>
      </w:r>
      <w:bookmarkEnd w:id="614"/>
    </w:p>
    <w:p w14:paraId="317D31C5">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水害由于防治水措施不到位导致地表水或地下水无控制地进入生产作业区造成的事故。</w:t>
      </w:r>
    </w:p>
    <w:p w14:paraId="46472FF0">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该矿水文地质简单，</w:t>
      </w:r>
      <w:r>
        <w:rPr>
          <w:rFonts w:hint="eastAsia"/>
          <w:color w:val="auto"/>
        </w:rPr>
        <w:t>地表、地下水排泄条件好，不利于地下水富集</w:t>
      </w:r>
      <w:r>
        <w:rPr>
          <w:rFonts w:hint="eastAsia"/>
          <w:color w:val="auto"/>
          <w:lang w:eastAsia="zh-CN"/>
        </w:rPr>
        <w:t>，</w:t>
      </w:r>
      <w:r>
        <w:rPr>
          <w:rFonts w:hint="eastAsia"/>
          <w:color w:val="auto"/>
        </w:rPr>
        <w:t>附近无大的地表水体</w:t>
      </w:r>
      <w:r>
        <w:rPr>
          <w:rFonts w:hint="eastAsia"/>
          <w:color w:val="auto"/>
          <w:lang w:eastAsia="zh-CN"/>
        </w:rPr>
        <w:t>，</w:t>
      </w:r>
      <w:r>
        <w:rPr>
          <w:rFonts w:hint="eastAsia"/>
          <w:color w:val="auto"/>
        </w:rPr>
        <w:t>大气降水渗入矿坑充水的主要来源</w:t>
      </w:r>
      <w:r>
        <w:rPr>
          <w:rFonts w:hint="eastAsia"/>
          <w:color w:val="auto"/>
          <w:lang w:eastAsia="zh-CN"/>
        </w:rPr>
        <w:t>。</w:t>
      </w:r>
      <w:r>
        <w:rPr>
          <w:rFonts w:hint="eastAsia"/>
          <w:color w:val="auto"/>
        </w:rPr>
        <w:t>该矿</w:t>
      </w:r>
      <w:r>
        <w:rPr>
          <w:rFonts w:hint="eastAsia"/>
          <w:color w:val="auto"/>
          <w:lang w:val="en-US" w:eastAsia="zh-CN"/>
        </w:rPr>
        <w:t>井下</w:t>
      </w:r>
      <w:r>
        <w:rPr>
          <w:rFonts w:hint="eastAsia"/>
          <w:color w:val="auto"/>
        </w:rPr>
        <w:t>存在</w:t>
      </w:r>
      <w:r>
        <w:rPr>
          <w:rFonts w:hint="eastAsia"/>
          <w:color w:val="auto"/>
          <w:lang w:val="en-US" w:eastAsia="zh-CN"/>
        </w:rPr>
        <w:t>水害</w:t>
      </w:r>
      <w:r>
        <w:rPr>
          <w:rFonts w:hint="eastAsia"/>
          <w:color w:val="auto"/>
        </w:rPr>
        <w:t>的场所</w:t>
      </w:r>
      <w:r>
        <w:rPr>
          <w:rFonts w:hint="eastAsia"/>
          <w:color w:val="auto"/>
          <w:lang w:val="en-US" w:eastAsia="zh-CN"/>
        </w:rPr>
        <w:t>是各中段，水害发生的原因：</w:t>
      </w:r>
    </w:p>
    <w:p w14:paraId="60E0E1CF">
      <w:pPr>
        <w:keepNext w:val="0"/>
        <w:keepLines w:val="0"/>
        <w:pageBreakBefore w:val="0"/>
        <w:widowControl w:val="0"/>
        <w:wordWrap/>
        <w:overflowPunct/>
        <w:topLinePunct w:val="0"/>
        <w:bidi w:val="0"/>
        <w:rPr>
          <w:rFonts w:hint="eastAsia"/>
          <w:color w:val="auto"/>
        </w:rPr>
      </w:pPr>
      <w:r>
        <w:rPr>
          <w:rFonts w:hint="eastAsia"/>
          <w:color w:val="auto"/>
          <w:lang w:val="en-US" w:eastAsia="zh-CN"/>
        </w:rPr>
        <w:t>1</w:t>
      </w:r>
      <w:r>
        <w:rPr>
          <w:rFonts w:hint="eastAsia"/>
          <w:color w:val="auto"/>
          <w:lang w:eastAsia="zh-CN"/>
        </w:rPr>
        <w:t>）</w:t>
      </w:r>
      <w:r>
        <w:rPr>
          <w:rFonts w:hint="eastAsia"/>
          <w:color w:val="auto"/>
        </w:rPr>
        <w:t>矿区浅部存在民采坑道，因历史久远已坍塌封闭，不排除部分封闭的老采空区存在积水的可能</w:t>
      </w:r>
      <w:r>
        <w:rPr>
          <w:rFonts w:hint="eastAsia"/>
          <w:color w:val="auto"/>
          <w:lang w:eastAsia="zh-CN"/>
        </w:rPr>
        <w:t>，</w:t>
      </w:r>
      <w:r>
        <w:rPr>
          <w:rFonts w:hint="eastAsia"/>
          <w:color w:val="auto"/>
        </w:rPr>
        <w:t>当</w:t>
      </w:r>
      <w:r>
        <w:rPr>
          <w:rFonts w:hint="eastAsia"/>
          <w:color w:val="auto"/>
          <w:lang w:val="en-US" w:eastAsia="zh-CN"/>
        </w:rPr>
        <w:t>降雨量大、</w:t>
      </w:r>
      <w:r>
        <w:rPr>
          <w:rFonts w:hint="eastAsia"/>
          <w:color w:val="auto"/>
        </w:rPr>
        <w:t>深部开采扰动或导通老空区时，可能发生瞬时涌水。</w:t>
      </w:r>
    </w:p>
    <w:p w14:paraId="3CEA84CA">
      <w:pPr>
        <w:keepNext w:val="0"/>
        <w:keepLines w:val="0"/>
        <w:pageBreakBefore w:val="0"/>
        <w:widowControl w:val="0"/>
        <w:wordWrap/>
        <w:overflowPunct/>
        <w:topLinePunct w:val="0"/>
        <w:bidi w:val="0"/>
        <w:rPr>
          <w:rFonts w:hint="eastAsia"/>
          <w:color w:val="auto"/>
        </w:rPr>
      </w:pPr>
      <w:r>
        <w:rPr>
          <w:rFonts w:hint="eastAsia"/>
          <w:color w:val="auto"/>
          <w:lang w:val="en-US" w:eastAsia="zh-CN"/>
        </w:rPr>
        <w:t>2</w:t>
      </w:r>
      <w:r>
        <w:rPr>
          <w:rFonts w:hint="eastAsia"/>
          <w:color w:val="auto"/>
          <w:lang w:eastAsia="zh-CN"/>
        </w:rPr>
        <w:t>）</w:t>
      </w:r>
      <w:r>
        <w:rPr>
          <w:rFonts w:hint="eastAsia"/>
          <w:color w:val="auto"/>
        </w:rPr>
        <w:t>因年代久远封孔资料缺失，不排除部分钻孔封闭质量不佳，成为地表水下渗或含水层之间水力联系的通道。</w:t>
      </w:r>
    </w:p>
    <w:p w14:paraId="56726E22">
      <w:pPr>
        <w:keepNext w:val="0"/>
        <w:keepLines w:val="0"/>
        <w:pageBreakBefore w:val="0"/>
        <w:widowControl w:val="0"/>
        <w:wordWrap/>
        <w:overflowPunct/>
        <w:topLinePunct w:val="0"/>
        <w:bidi w:val="0"/>
        <w:rPr>
          <w:rFonts w:hint="eastAsia" w:ascii="宋体" w:hAnsi="宋体" w:eastAsia="宋体" w:cs="宋体"/>
          <w:color w:val="auto"/>
          <w:lang w:val="en-US" w:eastAsia="zh-CN"/>
        </w:rPr>
      </w:pPr>
      <w:r>
        <w:rPr>
          <w:rFonts w:hint="eastAsia" w:ascii="宋体" w:hAnsi="宋体" w:eastAsia="宋体" w:cs="宋体"/>
          <w:color w:val="auto"/>
          <w:lang w:val="en-US" w:eastAsia="zh-CN"/>
        </w:rPr>
        <w:t>3）</w:t>
      </w:r>
      <w:r>
        <w:rPr>
          <w:rFonts w:hint="default" w:ascii="宋体" w:hAnsi="宋体" w:eastAsia="宋体" w:cs="宋体"/>
          <w:color w:val="auto"/>
          <w:lang w:val="en-US" w:eastAsia="zh-CN"/>
        </w:rPr>
        <w:t>若探矿工作面发生突水，可能通过巷道网络涌入现有采矿中段</w:t>
      </w:r>
      <w:r>
        <w:rPr>
          <w:rFonts w:hint="eastAsia" w:ascii="宋体" w:hAnsi="宋体" w:eastAsia="宋体" w:cs="宋体"/>
          <w:color w:val="auto"/>
          <w:lang w:val="en-US" w:eastAsia="zh-CN"/>
        </w:rPr>
        <w:t>。</w:t>
      </w:r>
    </w:p>
    <w:p w14:paraId="20617366">
      <w:pPr>
        <w:pStyle w:val="4"/>
        <w:keepNext w:val="0"/>
        <w:keepLines w:val="0"/>
        <w:pageBreakBefore w:val="0"/>
        <w:widowControl w:val="0"/>
        <w:wordWrap/>
        <w:overflowPunct/>
        <w:topLinePunct w:val="0"/>
        <w:bidi w:val="0"/>
        <w:spacing w:beforeLines="0" w:afterLines="0"/>
        <w:rPr>
          <w:rFonts w:hint="eastAsia"/>
          <w:color w:val="auto"/>
        </w:rPr>
      </w:pPr>
      <w:bookmarkStart w:id="615" w:name="_Toc6387"/>
      <w:r>
        <w:rPr>
          <w:rFonts w:hint="eastAsia"/>
          <w:color w:val="auto"/>
          <w:lang w:val="en-US" w:eastAsia="zh-CN"/>
        </w:rPr>
        <w:t>3.1.15 滑坡</w:t>
      </w:r>
      <w:bookmarkEnd w:id="615"/>
    </w:p>
    <w:p w14:paraId="3F1E453D">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滑坡由生产经营活动引发的斜坡岩土体沿着贯通剪切破坏面产生相对滑移造成的事故。</w:t>
      </w:r>
    </w:p>
    <w:p w14:paraId="3626A890">
      <w:pPr>
        <w:keepNext w:val="0"/>
        <w:keepLines w:val="0"/>
        <w:pageBreakBefore w:val="0"/>
        <w:widowControl w:val="0"/>
        <w:wordWrap/>
        <w:overflowPunct/>
        <w:topLinePunct w:val="0"/>
        <w:bidi w:val="0"/>
        <w:rPr>
          <w:rFonts w:hint="eastAsia"/>
          <w:color w:val="auto"/>
          <w:lang w:val="en-US"/>
        </w:rPr>
      </w:pPr>
      <w:r>
        <w:rPr>
          <w:rFonts w:hint="eastAsia"/>
          <w:color w:val="auto"/>
          <w:lang w:val="en-US" w:eastAsia="zh-CN"/>
        </w:rPr>
        <w:t>1）滑坡产生的原因：</w:t>
      </w:r>
    </w:p>
    <w:p w14:paraId="0A8A084A">
      <w:pPr>
        <w:keepNext w:val="0"/>
        <w:keepLines w:val="0"/>
        <w:pageBreakBefore w:val="0"/>
        <w:widowControl w:val="0"/>
        <w:wordWrap/>
        <w:overflowPunct/>
        <w:topLinePunct w:val="0"/>
        <w:bidi w:val="0"/>
        <w:rPr>
          <w:rFonts w:hint="eastAsia"/>
          <w:color w:val="auto"/>
        </w:rPr>
      </w:pPr>
      <w:r>
        <w:rPr>
          <w:rFonts w:hint="eastAsia"/>
          <w:color w:val="auto"/>
          <w:lang w:val="en-US" w:eastAsia="zh-CN"/>
        </w:rPr>
        <w:t>（1）</w:t>
      </w:r>
      <w:r>
        <w:rPr>
          <w:rFonts w:hint="eastAsia"/>
          <w:color w:val="auto"/>
        </w:rPr>
        <w:t>切坡开挖：修建公路、房屋时开挖坡脚，会破坏坡体原有力学平衡，相当于移除了坡体的支撑部分，是工程类滑坡最常见的诱因。</w:t>
      </w:r>
    </w:p>
    <w:p w14:paraId="265F1114">
      <w:pPr>
        <w:keepNext w:val="0"/>
        <w:keepLines w:val="0"/>
        <w:pageBreakBefore w:val="0"/>
        <w:widowControl w:val="0"/>
        <w:wordWrap/>
        <w:overflowPunct/>
        <w:topLinePunct w:val="0"/>
        <w:bidi w:val="0"/>
        <w:rPr>
          <w:rFonts w:hint="eastAsia"/>
          <w:color w:val="auto"/>
        </w:rPr>
      </w:pPr>
      <w:r>
        <w:rPr>
          <w:rFonts w:hint="eastAsia"/>
          <w:color w:val="auto"/>
          <w:lang w:val="en-US" w:eastAsia="zh-CN"/>
        </w:rPr>
        <w:t>（2）</w:t>
      </w:r>
      <w:r>
        <w:rPr>
          <w:rFonts w:hint="eastAsia"/>
          <w:color w:val="auto"/>
        </w:rPr>
        <w:t>堆载：在坡顶堆放建筑材料、弃土，或修建大量建筑物，会增加坡体上部荷载，超过坡体承载极限时就会发生滑动。</w:t>
      </w:r>
    </w:p>
    <w:p w14:paraId="3AAF4EEB">
      <w:pPr>
        <w:keepNext w:val="0"/>
        <w:keepLines w:val="0"/>
        <w:pageBreakBefore w:val="0"/>
        <w:widowControl w:val="0"/>
        <w:wordWrap/>
        <w:overflowPunct/>
        <w:topLinePunct w:val="0"/>
        <w:bidi w:val="0"/>
        <w:rPr>
          <w:rFonts w:hint="eastAsia"/>
          <w:color w:val="auto"/>
        </w:rPr>
      </w:pPr>
      <w:r>
        <w:rPr>
          <w:rFonts w:hint="eastAsia"/>
          <w:color w:val="auto"/>
          <w:lang w:val="en-US" w:eastAsia="zh-CN"/>
        </w:rPr>
        <w:t>（3）</w:t>
      </w:r>
      <w:r>
        <w:rPr>
          <w:rFonts w:hint="eastAsia"/>
          <w:color w:val="auto"/>
        </w:rPr>
        <w:t>工程爆破、重型车辆通行等产生的振动，会逐步破碎岩土结构，累积变形最终诱发滑坡。</w:t>
      </w:r>
    </w:p>
    <w:p w14:paraId="0B1BB743">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2）</w:t>
      </w:r>
      <w:r>
        <w:rPr>
          <w:rFonts w:hint="eastAsia"/>
          <w:color w:val="auto"/>
        </w:rPr>
        <w:t>生产生活中，滑坡</w:t>
      </w:r>
      <w:r>
        <w:rPr>
          <w:rFonts w:hint="eastAsia"/>
          <w:color w:val="auto"/>
          <w:lang w:val="en-US" w:eastAsia="zh-CN"/>
        </w:rPr>
        <w:t>可能发生在以下</w:t>
      </w:r>
      <w:r>
        <w:rPr>
          <w:rFonts w:hint="eastAsia"/>
          <w:color w:val="auto"/>
        </w:rPr>
        <w:t>区</w:t>
      </w:r>
      <w:r>
        <w:rPr>
          <w:rFonts w:hint="eastAsia"/>
          <w:color w:val="auto"/>
          <w:lang w:val="en-US" w:eastAsia="zh-CN"/>
        </w:rPr>
        <w:t>域</w:t>
      </w:r>
      <w:r>
        <w:rPr>
          <w:rFonts w:hint="eastAsia"/>
          <w:color w:val="auto"/>
          <w:lang w:eastAsia="zh-CN"/>
        </w:rPr>
        <w:t>：</w:t>
      </w:r>
    </w:p>
    <w:p w14:paraId="61D75D07">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山区顺向坡路段</w:t>
      </w:r>
      <w:r>
        <w:rPr>
          <w:rFonts w:hint="eastAsia"/>
          <w:color w:val="auto"/>
          <w:lang w:eastAsia="zh-CN"/>
        </w:rPr>
        <w:t>，</w:t>
      </w:r>
      <w:r>
        <w:rPr>
          <w:rFonts w:hint="eastAsia"/>
          <w:color w:val="auto"/>
        </w:rPr>
        <w:t>尤其是公路沿线开挖形成的顺层边坡，坡脚被挖空后极易发生顺层滑坡；</w:t>
      </w:r>
    </w:p>
    <w:p w14:paraId="0F8EF16D">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松散堆积层较厚的坡脚</w:t>
      </w:r>
      <w:r>
        <w:rPr>
          <w:rFonts w:hint="eastAsia"/>
          <w:color w:val="auto"/>
          <w:lang w:eastAsia="zh-CN"/>
        </w:rPr>
        <w:t>，</w:t>
      </w:r>
      <w:r>
        <w:rPr>
          <w:rFonts w:hint="eastAsia"/>
          <w:color w:val="auto"/>
        </w:rPr>
        <w:t>例如山区沟口、坡积扇区域，降雨后堆积层饱和极易下滑；</w:t>
      </w:r>
    </w:p>
    <w:p w14:paraId="75C9DB27">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采矿区周边</w:t>
      </w:r>
      <w:r>
        <w:rPr>
          <w:rFonts w:hint="eastAsia"/>
          <w:color w:val="auto"/>
          <w:lang w:eastAsia="zh-CN"/>
        </w:rPr>
        <w:t>，</w:t>
      </w:r>
      <w:r>
        <w:rPr>
          <w:rFonts w:hint="eastAsia"/>
          <w:color w:val="auto"/>
        </w:rPr>
        <w:t>地下开采会形成采空区，导致地表坡体变形开裂，极易诱发滑坡；</w:t>
      </w:r>
    </w:p>
    <w:p w14:paraId="44032F9A">
      <w:pPr>
        <w:keepNext w:val="0"/>
        <w:keepLines w:val="0"/>
        <w:pageBreakBefore w:val="0"/>
        <w:widowControl w:val="0"/>
        <w:wordWrap/>
        <w:overflowPunct/>
        <w:topLinePunct w:val="0"/>
        <w:bidi w:val="0"/>
        <w:rPr>
          <w:rFonts w:hint="eastAsia"/>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人类工程活动集中区域</w:t>
      </w:r>
      <w:r>
        <w:rPr>
          <w:rFonts w:hint="eastAsia"/>
          <w:color w:val="auto"/>
          <w:lang w:eastAsia="zh-CN"/>
        </w:rPr>
        <w:t>，</w:t>
      </w:r>
      <w:r>
        <w:rPr>
          <w:rFonts w:hint="eastAsia"/>
          <w:color w:val="auto"/>
        </w:rPr>
        <w:t>切坡后</w:t>
      </w:r>
      <w:r>
        <w:rPr>
          <w:rFonts w:hint="eastAsia"/>
          <w:color w:val="auto"/>
          <w:lang w:val="en-US" w:eastAsia="zh-CN"/>
        </w:rPr>
        <w:t>人</w:t>
      </w:r>
      <w:r>
        <w:rPr>
          <w:rFonts w:hint="eastAsia"/>
          <w:color w:val="auto"/>
        </w:rPr>
        <w:t>山、工程弃土堆载的坡体、大型工程建设的开挖边坡</w:t>
      </w:r>
      <w:r>
        <w:rPr>
          <w:rFonts w:hint="eastAsia"/>
          <w:color w:val="auto"/>
          <w:lang w:eastAsia="zh-CN"/>
        </w:rPr>
        <w:t>、</w:t>
      </w:r>
      <w:r>
        <w:rPr>
          <w:rFonts w:hint="eastAsia"/>
          <w:color w:val="auto"/>
          <w:lang w:val="en-US" w:eastAsia="zh-CN"/>
        </w:rPr>
        <w:t>废石场</w:t>
      </w:r>
      <w:r>
        <w:rPr>
          <w:rFonts w:hint="eastAsia"/>
          <w:color w:val="auto"/>
        </w:rPr>
        <w:t>等。</w:t>
      </w:r>
    </w:p>
    <w:p w14:paraId="36924040">
      <w:pPr>
        <w:pStyle w:val="3"/>
        <w:bidi w:val="0"/>
        <w:rPr>
          <w:rFonts w:hint="eastAsia"/>
          <w:color w:val="auto"/>
          <w:lang w:val="en-US" w:eastAsia="zh-CN"/>
        </w:rPr>
      </w:pPr>
      <w:bookmarkStart w:id="616" w:name="_Toc28158"/>
      <w:bookmarkStart w:id="617" w:name="_Toc6788"/>
      <w:bookmarkStart w:id="618" w:name="_Toc20169"/>
      <w:r>
        <w:rPr>
          <w:rFonts w:hint="eastAsia"/>
          <w:color w:val="auto"/>
          <w:lang w:val="en-US" w:eastAsia="zh-CN"/>
        </w:rPr>
        <w:t>3.2有害因素</w:t>
      </w:r>
      <w:bookmarkEnd w:id="616"/>
      <w:bookmarkEnd w:id="617"/>
      <w:bookmarkEnd w:id="618"/>
    </w:p>
    <w:p w14:paraId="1D8F2BAE">
      <w:pPr>
        <w:pStyle w:val="4"/>
        <w:bidi w:val="0"/>
        <w:rPr>
          <w:rFonts w:hint="eastAsia"/>
          <w:color w:val="auto"/>
          <w:lang w:val="en-US" w:eastAsia="zh-CN"/>
        </w:rPr>
      </w:pPr>
      <w:bookmarkStart w:id="619" w:name="_Toc26610"/>
      <w:bookmarkStart w:id="620" w:name="_Toc31690"/>
      <w:r>
        <w:rPr>
          <w:rFonts w:hint="eastAsia"/>
          <w:color w:val="auto"/>
          <w:lang w:val="en-US" w:eastAsia="zh-CN"/>
        </w:rPr>
        <w:t>3.2.1粉尘</w:t>
      </w:r>
      <w:bookmarkEnd w:id="619"/>
      <w:bookmarkEnd w:id="620"/>
    </w:p>
    <w:p w14:paraId="6E19A134">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粉尘危害是矿山开采作业过程中最大的职业病危害之一。粉尘对人体造成的危害与粉尘的分散度、游离二氧化硅含量和粉尘的物理化学特性有关。一般随着游离二氧化硅含量、含硫量的增加，粉尘的危害性增大；在不同粒径的粉尘中，呼吸性粉尘对人体的危害最大。在作业过程中，易产生矿尘。矿尘吸入人体后容易诱发矽肺病。</w:t>
      </w:r>
    </w:p>
    <w:p w14:paraId="566E9660">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主要产尘点：</w:t>
      </w:r>
    </w:p>
    <w:p w14:paraId="11167D5F">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1）</w:t>
      </w:r>
      <w:r>
        <w:rPr>
          <w:rFonts w:hint="eastAsia"/>
          <w:color w:val="auto"/>
          <w:lang w:eastAsia="zh-CN"/>
        </w:rPr>
        <w:t>回采及掘进作业面凿岩和爆破作业；</w:t>
      </w:r>
    </w:p>
    <w:p w14:paraId="3B255E61">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2）</w:t>
      </w:r>
      <w:r>
        <w:rPr>
          <w:rFonts w:hint="eastAsia"/>
          <w:color w:val="auto"/>
          <w:lang w:eastAsia="zh-CN"/>
        </w:rPr>
        <w:t>铲装作业点、运输巷道；</w:t>
      </w:r>
    </w:p>
    <w:p w14:paraId="0CCAA579">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3）</w:t>
      </w:r>
      <w:r>
        <w:rPr>
          <w:rFonts w:hint="eastAsia"/>
          <w:color w:val="auto"/>
          <w:lang w:eastAsia="zh-CN"/>
        </w:rPr>
        <w:t>卸矿</w:t>
      </w:r>
      <w:r>
        <w:rPr>
          <w:rFonts w:hint="eastAsia"/>
          <w:color w:val="auto"/>
          <w:lang w:val="en-US" w:eastAsia="zh-CN"/>
        </w:rPr>
        <w:t>和</w:t>
      </w:r>
      <w:r>
        <w:rPr>
          <w:rFonts w:hint="eastAsia"/>
          <w:color w:val="auto"/>
          <w:lang w:eastAsia="zh-CN"/>
        </w:rPr>
        <w:t>卸</w:t>
      </w:r>
      <w:r>
        <w:rPr>
          <w:rFonts w:hint="eastAsia"/>
          <w:color w:val="auto"/>
          <w:lang w:val="en-US" w:eastAsia="zh-CN"/>
        </w:rPr>
        <w:t>废石</w:t>
      </w:r>
      <w:r>
        <w:rPr>
          <w:rFonts w:hint="eastAsia"/>
          <w:color w:val="auto"/>
          <w:lang w:eastAsia="zh-CN"/>
        </w:rPr>
        <w:t>点</w:t>
      </w:r>
      <w:r>
        <w:rPr>
          <w:rFonts w:hint="eastAsia"/>
          <w:color w:val="auto"/>
          <w:lang w:val="en-US" w:eastAsia="zh-CN"/>
        </w:rPr>
        <w:t>、</w:t>
      </w:r>
      <w:r>
        <w:rPr>
          <w:rFonts w:hint="eastAsia"/>
          <w:color w:val="auto"/>
          <w:lang w:eastAsia="zh-CN"/>
        </w:rPr>
        <w:t>地表矿石转载点；</w:t>
      </w:r>
    </w:p>
    <w:p w14:paraId="47B29E01">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4）</w:t>
      </w:r>
      <w:r>
        <w:rPr>
          <w:rFonts w:hint="eastAsia"/>
          <w:color w:val="auto"/>
          <w:lang w:eastAsia="zh-CN"/>
        </w:rPr>
        <w:t>地表运输道路。</w:t>
      </w:r>
    </w:p>
    <w:p w14:paraId="22472974">
      <w:pPr>
        <w:pStyle w:val="4"/>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Times New Roman" w:hAnsi="Times New Roman" w:eastAsia="宋体" w:cs="Times New Roman"/>
          <w:b/>
          <w:bCs/>
          <w:color w:val="auto"/>
          <w:lang w:val="en-US" w:eastAsia="zh-CN"/>
        </w:rPr>
      </w:pPr>
      <w:bookmarkStart w:id="621" w:name="_Toc4406"/>
      <w:bookmarkStart w:id="622" w:name="_Toc22811"/>
      <w:r>
        <w:rPr>
          <w:rFonts w:hint="eastAsia" w:ascii="Times New Roman" w:hAnsi="Times New Roman" w:eastAsia="宋体" w:cs="Times New Roman"/>
          <w:b/>
          <w:bCs/>
          <w:color w:val="auto"/>
          <w:lang w:val="en-US" w:eastAsia="zh-CN"/>
        </w:rPr>
        <w:t>3.</w:t>
      </w:r>
      <w:r>
        <w:rPr>
          <w:rFonts w:hint="eastAsia" w:ascii="Times New Roman" w:hAnsi="Times New Roman" w:cs="Times New Roman"/>
          <w:b/>
          <w:bCs/>
          <w:color w:val="auto"/>
          <w:lang w:val="en-US" w:eastAsia="zh-CN"/>
        </w:rPr>
        <w:t>2</w:t>
      </w:r>
      <w:r>
        <w:rPr>
          <w:rFonts w:hint="eastAsia" w:ascii="Times New Roman" w:hAnsi="Times New Roman" w:eastAsia="宋体" w:cs="Times New Roman"/>
          <w:b/>
          <w:bCs/>
          <w:color w:val="auto"/>
          <w:lang w:val="en-US" w:eastAsia="zh-CN"/>
        </w:rPr>
        <w:t>.2 噪声</w:t>
      </w:r>
      <w:bookmarkEnd w:id="621"/>
      <w:bookmarkEnd w:id="622"/>
    </w:p>
    <w:p w14:paraId="7BA7ADD4">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1）噪声对人的危害</w:t>
      </w:r>
    </w:p>
    <w:p w14:paraId="71F448A6">
      <w:pPr>
        <w:keepNext w:val="0"/>
        <w:keepLines w:val="0"/>
        <w:pageBreakBefore w:val="0"/>
        <w:widowControl w:val="0"/>
        <w:wordWrap/>
        <w:overflowPunct/>
        <w:topLinePunct w:val="0"/>
        <w:bidi w:val="0"/>
        <w:rPr>
          <w:rFonts w:hint="eastAsia"/>
          <w:color w:val="auto"/>
          <w:lang w:eastAsia="zh-CN"/>
        </w:rPr>
      </w:pPr>
      <w:r>
        <w:rPr>
          <w:rFonts w:hint="eastAsia"/>
          <w:color w:val="auto"/>
          <w:spacing w:val="-6"/>
          <w:sz w:val="28"/>
          <w:lang w:eastAsia="zh-CN"/>
        </w:rPr>
        <w:t>（1）对听觉的影响：噪声可引起听觉疲劳、噪声性耳聋、爆炸性耳聋。</w:t>
      </w:r>
    </w:p>
    <w:p w14:paraId="22793ED6">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（2）对神经系统的影响：可引起头痛、头晕、多梦、失眠、心急、记忆力减退等神经衰弱综合症。</w:t>
      </w:r>
    </w:p>
    <w:p w14:paraId="4A8F3B2D">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（3）对心血管系统的影响： 血管收缩、血压升高、心率失常、心跳过速、血管收缩，从而影响血液循环。长期下去可引起高血压和心脏病。</w:t>
      </w:r>
    </w:p>
    <w:p w14:paraId="319B6482">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（4）对消化系统的影响： 抑制胃功能，减少唾液分泌。长期处于噪声环境的作业人员易患胃溃疡和胃肠炎。统计资料表明，在噪声大的工业行业里，作业人员胃溃疡的发病率要比安静环境里高5倍。</w:t>
      </w:r>
    </w:p>
    <w:p w14:paraId="20425A7E">
      <w:pPr>
        <w:keepNext w:val="0"/>
        <w:keepLines w:val="0"/>
        <w:pageBreakBefore w:val="0"/>
        <w:widowControl w:val="0"/>
        <w:wordWrap/>
        <w:overflowPunct/>
        <w:topLinePunct w:val="0"/>
        <w:bidi w:val="0"/>
        <w:rPr>
          <w:rFonts w:hint="eastAsia"/>
          <w:color w:val="auto"/>
          <w:lang w:eastAsia="zh-CN"/>
        </w:rPr>
      </w:pPr>
      <w:r>
        <w:rPr>
          <w:rFonts w:hint="eastAsia"/>
          <w:color w:val="auto"/>
          <w:spacing w:val="-6"/>
          <w:sz w:val="28"/>
          <w:lang w:eastAsia="zh-CN"/>
        </w:rPr>
        <w:t>（5）影响内分泌系统：在70～80dB(A)的环境里工作，肾上腺皮质功能增强，使机体能适应刺激强度；而在100dB(A)以上，肾上腺皮质功能减弱。</w:t>
      </w:r>
    </w:p>
    <w:p w14:paraId="07156143">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（6）对视觉的影响：会使视力及识别速度降低，改变视野并产生病变，导致视力下降和视物模糊。</w:t>
      </w:r>
    </w:p>
    <w:p w14:paraId="773AD900">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2）产生噪声的设备和场所</w:t>
      </w:r>
    </w:p>
    <w:p w14:paraId="3DE0D246">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（1）空压机和空压机泵房；</w:t>
      </w:r>
    </w:p>
    <w:p w14:paraId="6ED158DC">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（2）局扇、通风机及通风机房；</w:t>
      </w:r>
    </w:p>
    <w:p w14:paraId="797F63CC">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（3）凿岩机、钻机及相应工作面；</w:t>
      </w:r>
    </w:p>
    <w:p w14:paraId="7F238F05">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（4）装载、汽车运输作业场所；</w:t>
      </w:r>
    </w:p>
    <w:p w14:paraId="3BC82F6A">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（5）爆破作业等。</w:t>
      </w:r>
      <w:bookmarkStart w:id="623" w:name="_Toc17663"/>
      <w:bookmarkStart w:id="624" w:name="_Toc13805"/>
      <w:bookmarkStart w:id="625" w:name="_Toc30743_WPSOffice_Level1"/>
      <w:bookmarkStart w:id="626" w:name="_Toc5694_WPSOffice_Level1"/>
      <w:bookmarkStart w:id="627" w:name="_Toc7792_WPSOffice_Level1"/>
    </w:p>
    <w:p w14:paraId="6606D945">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28" w:name="_Toc23034"/>
      <w:bookmarkStart w:id="629" w:name="_Toc26330"/>
      <w:bookmarkStart w:id="630" w:name="_Toc2293"/>
      <w:bookmarkStart w:id="631" w:name="_Toc97481449"/>
      <w:r>
        <w:rPr>
          <w:rFonts w:hint="eastAsia"/>
          <w:color w:val="auto"/>
          <w:lang w:val="en-US" w:eastAsia="zh-CN"/>
        </w:rPr>
        <w:t>3.2.3振动</w:t>
      </w:r>
      <w:bookmarkEnd w:id="628"/>
      <w:bookmarkEnd w:id="629"/>
      <w:bookmarkEnd w:id="630"/>
    </w:p>
    <w:p w14:paraId="0A0DEBEE">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1）</w:t>
      </w:r>
      <w:r>
        <w:rPr>
          <w:rFonts w:hint="eastAsia"/>
          <w:color w:val="auto"/>
          <w:lang w:eastAsia="zh-CN"/>
        </w:rPr>
        <w:t>振动对人体的危害</w:t>
      </w:r>
      <w:bookmarkEnd w:id="631"/>
    </w:p>
    <w:p w14:paraId="332BB462">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（1）局部振动</w:t>
      </w:r>
    </w:p>
    <w:p w14:paraId="6615AF4E">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长期使用振动工具后，可发生手与臂的触觉、痛觉及温热感觉迟钝，手部皮肤温度下降、手指发白、手臂无力、肌肉疼痛和萎缩。</w:t>
      </w:r>
    </w:p>
    <w:p w14:paraId="26625CDD">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（2）全身振动</w:t>
      </w:r>
    </w:p>
    <w:p w14:paraId="01A38209">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全身振动多为大幅度的低频振动，全身振动可引起头晕、恶心、呕吐、呼吸急促、出冷汗、下肢酸痛等症状。</w:t>
      </w:r>
    </w:p>
    <w:p w14:paraId="755DFDDC">
      <w:pPr>
        <w:keepNext w:val="0"/>
        <w:keepLines w:val="0"/>
        <w:pageBreakBefore w:val="0"/>
        <w:widowControl w:val="0"/>
        <w:wordWrap/>
        <w:overflowPunct/>
        <w:topLinePunct w:val="0"/>
        <w:bidi w:val="0"/>
        <w:rPr>
          <w:rFonts w:hint="default"/>
          <w:color w:val="auto"/>
          <w:lang w:val="en-US" w:eastAsia="zh-CN"/>
        </w:rPr>
      </w:pPr>
      <w:bookmarkStart w:id="632" w:name="_Toc97481450"/>
      <w:r>
        <w:rPr>
          <w:rFonts w:hint="eastAsia"/>
          <w:color w:val="auto"/>
          <w:lang w:val="en-US" w:eastAsia="zh-CN"/>
        </w:rPr>
        <w:t>2）</w:t>
      </w:r>
      <w:r>
        <w:rPr>
          <w:rFonts w:hint="eastAsia"/>
          <w:color w:val="auto"/>
          <w:lang w:eastAsia="zh-CN"/>
        </w:rPr>
        <w:t>产生振动的设备</w:t>
      </w:r>
      <w:bookmarkEnd w:id="632"/>
      <w:r>
        <w:rPr>
          <w:rFonts w:hint="eastAsia"/>
          <w:color w:val="auto"/>
          <w:lang w:val="en-US" w:eastAsia="zh-CN"/>
        </w:rPr>
        <w:t>或作业</w:t>
      </w:r>
    </w:p>
    <w:p w14:paraId="750517D4">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（1）空压机；</w:t>
      </w:r>
    </w:p>
    <w:p w14:paraId="443C0224">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（2）通风机；</w:t>
      </w:r>
    </w:p>
    <w:p w14:paraId="2DD9F122">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（3）凿岩机、钻机；</w:t>
      </w:r>
    </w:p>
    <w:p w14:paraId="146F69CC">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（4）装载、铲运机、汽车运输；</w:t>
      </w:r>
    </w:p>
    <w:p w14:paraId="697C0512">
      <w:pPr>
        <w:keepNext w:val="0"/>
        <w:keepLines w:val="0"/>
        <w:pageBreakBefore w:val="0"/>
        <w:widowControl w:val="0"/>
        <w:wordWrap/>
        <w:overflowPunct/>
        <w:topLinePunct w:val="0"/>
        <w:bidi w:val="0"/>
        <w:rPr>
          <w:rFonts w:hint="eastAsia"/>
          <w:color w:val="auto"/>
          <w:lang w:eastAsia="zh-CN"/>
        </w:rPr>
      </w:pPr>
      <w:r>
        <w:rPr>
          <w:rFonts w:hint="eastAsia"/>
          <w:color w:val="auto"/>
          <w:lang w:eastAsia="zh-CN"/>
        </w:rPr>
        <w:t>（5）爆破作业等。</w:t>
      </w:r>
    </w:p>
    <w:p w14:paraId="58E61445">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33" w:name="_Toc3717"/>
      <w:bookmarkStart w:id="634" w:name="_Toc415903137"/>
      <w:bookmarkStart w:id="635" w:name="_Toc5885"/>
      <w:bookmarkStart w:id="636" w:name="_Toc5242"/>
      <w:bookmarkStart w:id="637" w:name="_Toc384306386"/>
      <w:r>
        <w:rPr>
          <w:rFonts w:hint="eastAsia"/>
          <w:color w:val="auto"/>
          <w:lang w:val="en-US" w:eastAsia="zh-CN"/>
        </w:rPr>
        <w:t>3.2.4 有毒气体、有害气体</w:t>
      </w:r>
      <w:bookmarkEnd w:id="633"/>
      <w:bookmarkEnd w:id="634"/>
      <w:bookmarkEnd w:id="635"/>
      <w:bookmarkEnd w:id="636"/>
      <w:bookmarkEnd w:id="637"/>
    </w:p>
    <w:p w14:paraId="7B681A63">
      <w:pPr>
        <w:keepNext w:val="0"/>
        <w:keepLines w:val="0"/>
        <w:pageBreakBefore w:val="0"/>
        <w:widowControl w:val="0"/>
        <w:wordWrap/>
        <w:overflowPunct/>
        <w:topLinePunct w:val="0"/>
        <w:bidi w:val="0"/>
        <w:rPr>
          <w:rFonts w:hint="eastAsia"/>
          <w:color w:val="auto"/>
          <w:lang w:eastAsia="zh-CN"/>
        </w:rPr>
      </w:pPr>
      <w:r>
        <w:rPr>
          <w:rFonts w:hint="eastAsia"/>
          <w:color w:val="auto"/>
        </w:rPr>
        <w:t>井下生产过程中会产生各类有毒、有害气体，包括：爆破产生的炮烟中氮氧化物、一氧化碳、二氧化碳，以及井下火灾时不完成燃烧会产生大量的一氧化碳，有机物燃烧还会产生剧毒的气体等。内燃车辆</w:t>
      </w:r>
      <w:r>
        <w:rPr>
          <w:rFonts w:hint="eastAsia"/>
          <w:color w:val="auto"/>
          <w:lang w:val="en-US" w:eastAsia="zh-CN"/>
        </w:rPr>
        <w:t>运行</w:t>
      </w:r>
      <w:r>
        <w:rPr>
          <w:rFonts w:hint="eastAsia"/>
          <w:color w:val="auto"/>
        </w:rPr>
        <w:t>排放的尾气含二氧化碳、一氧化碳、氮氧化物等，电气设备火灾产生有毒烟气</w:t>
      </w:r>
      <w:r>
        <w:rPr>
          <w:rFonts w:hint="eastAsia"/>
          <w:color w:val="auto"/>
          <w:lang w:eastAsia="zh-CN"/>
        </w:rPr>
        <w:t>、</w:t>
      </w:r>
      <w:r>
        <w:rPr>
          <w:rFonts w:hint="eastAsia"/>
          <w:color w:val="auto"/>
        </w:rPr>
        <w:t>井下动火作业产生有毒烟尘等</w:t>
      </w:r>
      <w:r>
        <w:rPr>
          <w:rFonts w:hint="eastAsia"/>
          <w:color w:val="auto"/>
          <w:lang w:eastAsia="zh-CN"/>
        </w:rPr>
        <w:t>。</w:t>
      </w:r>
    </w:p>
    <w:p w14:paraId="4985ECB1">
      <w:pPr>
        <w:keepNext w:val="0"/>
        <w:keepLines w:val="0"/>
        <w:pageBreakBefore w:val="0"/>
        <w:widowControl w:val="0"/>
        <w:wordWrap/>
        <w:overflowPunct/>
        <w:topLinePunct w:val="0"/>
        <w:bidi w:val="0"/>
        <w:rPr>
          <w:rFonts w:hint="eastAsia"/>
          <w:color w:val="auto"/>
        </w:rPr>
      </w:pPr>
      <w:r>
        <w:rPr>
          <w:rFonts w:hint="eastAsia"/>
          <w:color w:val="auto"/>
        </w:rPr>
        <w:t>这此有毒、有害物质（气体）会混合到井下作业环境中与空气混合，当浓度积累到一定程度会对人体产生慢性危害。主要通过井下通风来稀释、排除有害物质，使空气质量符合卫生标准。</w:t>
      </w:r>
    </w:p>
    <w:p w14:paraId="47061F41">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38" w:name="_Toc384306387"/>
      <w:bookmarkStart w:id="639" w:name="_Toc28468"/>
      <w:bookmarkStart w:id="640" w:name="_Toc19583"/>
      <w:bookmarkStart w:id="641" w:name="_Toc415903138"/>
      <w:bookmarkStart w:id="642" w:name="_Toc639"/>
      <w:r>
        <w:rPr>
          <w:rFonts w:hint="eastAsia"/>
          <w:color w:val="auto"/>
          <w:lang w:val="en-US" w:eastAsia="zh-CN"/>
        </w:rPr>
        <w:t>3.2.5作业环境不良</w:t>
      </w:r>
      <w:bookmarkEnd w:id="638"/>
      <w:bookmarkEnd w:id="639"/>
      <w:bookmarkEnd w:id="640"/>
      <w:bookmarkEnd w:id="641"/>
      <w:bookmarkEnd w:id="642"/>
    </w:p>
    <w:p w14:paraId="49F2EDD9">
      <w:pPr>
        <w:keepNext w:val="0"/>
        <w:keepLines w:val="0"/>
        <w:pageBreakBefore w:val="0"/>
        <w:widowControl w:val="0"/>
        <w:wordWrap/>
        <w:overflowPunct/>
        <w:topLinePunct w:val="0"/>
        <w:bidi w:val="0"/>
        <w:rPr>
          <w:rFonts w:hint="eastAsia"/>
          <w:color w:val="auto"/>
        </w:rPr>
      </w:pPr>
      <w:r>
        <w:rPr>
          <w:rFonts w:hint="eastAsia"/>
          <w:color w:val="auto"/>
        </w:rPr>
        <w:t>1</w:t>
      </w:r>
      <w:r>
        <w:rPr>
          <w:rFonts w:hint="eastAsia"/>
          <w:color w:val="auto"/>
          <w:lang w:val="en-US" w:eastAsia="zh-CN"/>
        </w:rPr>
        <w:t>）</w:t>
      </w:r>
      <w:r>
        <w:rPr>
          <w:rFonts w:hint="eastAsia"/>
          <w:color w:val="auto"/>
        </w:rPr>
        <w:t>高、低温及湿度过高；</w:t>
      </w:r>
    </w:p>
    <w:p w14:paraId="28AD1A92">
      <w:pPr>
        <w:keepNext w:val="0"/>
        <w:keepLines w:val="0"/>
        <w:pageBreakBefore w:val="0"/>
        <w:widowControl w:val="0"/>
        <w:wordWrap/>
        <w:overflowPunct/>
        <w:topLinePunct w:val="0"/>
        <w:bidi w:val="0"/>
        <w:rPr>
          <w:rFonts w:hint="eastAsia"/>
          <w:color w:val="auto"/>
        </w:rPr>
      </w:pPr>
      <w:r>
        <w:rPr>
          <w:rFonts w:hint="eastAsia"/>
          <w:color w:val="auto"/>
        </w:rPr>
        <w:t>2</w:t>
      </w:r>
      <w:r>
        <w:rPr>
          <w:rFonts w:hint="eastAsia"/>
          <w:color w:val="auto"/>
          <w:lang w:val="en-US" w:eastAsia="zh-CN"/>
        </w:rPr>
        <w:t>）</w:t>
      </w:r>
      <w:r>
        <w:rPr>
          <w:rFonts w:hint="eastAsia"/>
          <w:color w:val="auto"/>
        </w:rPr>
        <w:t>采光照明不良；</w:t>
      </w:r>
    </w:p>
    <w:p w14:paraId="4EA03533">
      <w:pPr>
        <w:keepNext w:val="0"/>
        <w:keepLines w:val="0"/>
        <w:pageBreakBefore w:val="0"/>
        <w:widowControl w:val="0"/>
        <w:wordWrap/>
        <w:overflowPunct/>
        <w:topLinePunct w:val="0"/>
        <w:bidi w:val="0"/>
        <w:rPr>
          <w:rFonts w:hint="eastAsia"/>
          <w:color w:val="auto"/>
        </w:rPr>
      </w:pPr>
      <w:r>
        <w:rPr>
          <w:rFonts w:hint="eastAsia"/>
          <w:color w:val="auto"/>
        </w:rPr>
        <w:t>3</w:t>
      </w:r>
      <w:r>
        <w:rPr>
          <w:rFonts w:hint="eastAsia"/>
          <w:color w:val="auto"/>
          <w:lang w:val="en-US" w:eastAsia="zh-CN"/>
        </w:rPr>
        <w:t>）</w:t>
      </w:r>
      <w:r>
        <w:rPr>
          <w:rFonts w:hint="eastAsia"/>
          <w:color w:val="auto"/>
        </w:rPr>
        <w:t>安全过道缺陷；</w:t>
      </w:r>
    </w:p>
    <w:p w14:paraId="7939E97F">
      <w:pPr>
        <w:keepNext w:val="0"/>
        <w:keepLines w:val="0"/>
        <w:pageBreakBefore w:val="0"/>
        <w:widowControl w:val="0"/>
        <w:wordWrap/>
        <w:overflowPunct/>
        <w:topLinePunct w:val="0"/>
        <w:bidi w:val="0"/>
        <w:rPr>
          <w:rFonts w:hint="eastAsia"/>
          <w:color w:val="auto"/>
        </w:rPr>
      </w:pPr>
      <w:r>
        <w:rPr>
          <w:rFonts w:hint="eastAsia"/>
          <w:color w:val="auto"/>
        </w:rPr>
        <w:t>4</w:t>
      </w:r>
      <w:r>
        <w:rPr>
          <w:rFonts w:hint="eastAsia"/>
          <w:color w:val="auto"/>
          <w:lang w:val="en-US" w:eastAsia="zh-CN"/>
        </w:rPr>
        <w:t>）</w:t>
      </w:r>
      <w:r>
        <w:rPr>
          <w:rFonts w:hint="eastAsia"/>
          <w:color w:val="auto"/>
        </w:rPr>
        <w:t>作业空间狭小；</w:t>
      </w:r>
    </w:p>
    <w:p w14:paraId="31079B9E">
      <w:pPr>
        <w:keepNext w:val="0"/>
        <w:keepLines w:val="0"/>
        <w:pageBreakBefore w:val="0"/>
        <w:widowControl w:val="0"/>
        <w:wordWrap/>
        <w:overflowPunct/>
        <w:topLinePunct w:val="0"/>
        <w:bidi w:val="0"/>
        <w:rPr>
          <w:rFonts w:hint="eastAsia"/>
          <w:color w:val="auto"/>
        </w:rPr>
      </w:pPr>
      <w:r>
        <w:rPr>
          <w:rFonts w:hint="eastAsia"/>
          <w:color w:val="auto"/>
        </w:rPr>
        <w:t>5</w:t>
      </w:r>
      <w:r>
        <w:rPr>
          <w:rFonts w:hint="eastAsia"/>
          <w:color w:val="auto"/>
          <w:lang w:val="en-US" w:eastAsia="zh-CN"/>
        </w:rPr>
        <w:t>）</w:t>
      </w:r>
      <w:r>
        <w:rPr>
          <w:rFonts w:hint="eastAsia"/>
          <w:color w:val="auto"/>
        </w:rPr>
        <w:t>其他不利的环境因素等。</w:t>
      </w:r>
    </w:p>
    <w:p w14:paraId="4F0808F6">
      <w:pPr>
        <w:pStyle w:val="3"/>
        <w:keepNext w:val="0"/>
        <w:keepLines w:val="0"/>
        <w:pageBreakBefore w:val="0"/>
        <w:widowControl w:val="0"/>
        <w:wordWrap/>
        <w:overflowPunct/>
        <w:topLinePunct w:val="0"/>
        <w:bidi w:val="0"/>
        <w:spacing w:before="0" w:beforeLines="0" w:after="0" w:afterLines="0"/>
        <w:rPr>
          <w:rFonts w:hint="eastAsia"/>
          <w:color w:val="auto"/>
          <w:lang w:val="en-US" w:eastAsia="zh-CN"/>
        </w:rPr>
      </w:pPr>
      <w:bookmarkStart w:id="643" w:name="_Toc115780598"/>
      <w:bookmarkStart w:id="644" w:name="_Toc384306388"/>
      <w:bookmarkStart w:id="645" w:name="_Toc18964"/>
      <w:bookmarkStart w:id="646" w:name="_Toc19250"/>
      <w:bookmarkStart w:id="647" w:name="_Toc415903139"/>
      <w:bookmarkStart w:id="648" w:name="_Toc3018"/>
      <w:bookmarkStart w:id="649" w:name="_Toc15270"/>
      <w:r>
        <w:rPr>
          <w:rFonts w:hint="eastAsia"/>
          <w:color w:val="auto"/>
          <w:lang w:val="en-US" w:eastAsia="zh-CN"/>
        </w:rPr>
        <w:t>3.3 人的不安全行为</w:t>
      </w:r>
      <w:bookmarkEnd w:id="643"/>
      <w:r>
        <w:rPr>
          <w:rFonts w:hint="eastAsia"/>
          <w:color w:val="auto"/>
          <w:lang w:val="en-US" w:eastAsia="zh-CN"/>
        </w:rPr>
        <w:t>及管理缺陷</w:t>
      </w:r>
      <w:bookmarkEnd w:id="644"/>
      <w:bookmarkEnd w:id="645"/>
      <w:bookmarkEnd w:id="646"/>
      <w:bookmarkEnd w:id="647"/>
      <w:bookmarkEnd w:id="648"/>
      <w:bookmarkEnd w:id="649"/>
    </w:p>
    <w:p w14:paraId="6BEE9E73">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50" w:name="_Toc415903140"/>
      <w:bookmarkStart w:id="651" w:name="_Toc384306389"/>
      <w:bookmarkStart w:id="652" w:name="_Toc32295"/>
      <w:bookmarkStart w:id="653" w:name="_Toc27170"/>
      <w:bookmarkStart w:id="654" w:name="_Toc19066"/>
      <w:r>
        <w:rPr>
          <w:rFonts w:hint="eastAsia"/>
          <w:color w:val="auto"/>
          <w:lang w:val="en-US" w:eastAsia="zh-CN"/>
        </w:rPr>
        <w:t>3.3.1 人的不安全行为</w:t>
      </w:r>
      <w:bookmarkEnd w:id="650"/>
      <w:bookmarkEnd w:id="651"/>
      <w:bookmarkEnd w:id="652"/>
      <w:bookmarkEnd w:id="653"/>
      <w:bookmarkEnd w:id="654"/>
    </w:p>
    <w:p w14:paraId="6C4025A5">
      <w:pPr>
        <w:keepNext w:val="0"/>
        <w:keepLines w:val="0"/>
        <w:pageBreakBefore w:val="0"/>
        <w:widowControl w:val="0"/>
        <w:wordWrap/>
        <w:overflowPunct/>
        <w:topLinePunct w:val="0"/>
        <w:bidi w:val="0"/>
        <w:rPr>
          <w:rFonts w:hint="eastAsia"/>
          <w:color w:val="auto"/>
        </w:rPr>
      </w:pPr>
      <w:r>
        <w:rPr>
          <w:rFonts w:hint="eastAsia"/>
          <w:color w:val="auto"/>
        </w:rPr>
        <w:t>由于作业人员不安全行为，使用了不安全工具或设备；违反劳动纪律，习惯性违章；缺少相关培训、缺乏相关劳动安全卫生知识和技能，未经应急演练在紧急状况下不能正确处置；未经培训上岗，均可能导致工伤事故的发生。</w:t>
      </w:r>
    </w:p>
    <w:p w14:paraId="710F5A30">
      <w:pPr>
        <w:keepNext w:val="0"/>
        <w:keepLines w:val="0"/>
        <w:pageBreakBefore w:val="0"/>
        <w:widowControl w:val="0"/>
        <w:wordWrap/>
        <w:overflowPunct/>
        <w:topLinePunct w:val="0"/>
        <w:bidi w:val="0"/>
        <w:rPr>
          <w:rFonts w:hint="eastAsia"/>
          <w:color w:val="auto"/>
        </w:rPr>
      </w:pPr>
      <w:r>
        <w:rPr>
          <w:rFonts w:hint="eastAsia"/>
          <w:color w:val="auto"/>
        </w:rPr>
        <w:t>还可能由于作业人员生理、心理状况异常和波动，导致反应或应急能力下降，从而引起伤害的发生。</w:t>
      </w:r>
    </w:p>
    <w:p w14:paraId="007320F0">
      <w:pPr>
        <w:keepNext w:val="0"/>
        <w:keepLines w:val="0"/>
        <w:pageBreakBefore w:val="0"/>
        <w:widowControl w:val="0"/>
        <w:wordWrap/>
        <w:overflowPunct/>
        <w:topLinePunct w:val="0"/>
        <w:bidi w:val="0"/>
        <w:rPr>
          <w:rFonts w:hint="eastAsia"/>
          <w:color w:val="auto"/>
        </w:rPr>
      </w:pPr>
      <w:r>
        <w:rPr>
          <w:rFonts w:hint="eastAsia"/>
          <w:color w:val="auto"/>
        </w:rPr>
        <w:t>人员失误可以通过严格的安全管理规章制度、操作规程、安全知识教育和安全技能培训等手段和措施加以预防。</w:t>
      </w:r>
    </w:p>
    <w:p w14:paraId="6DB91C67">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55" w:name="_Toc115780599"/>
      <w:bookmarkStart w:id="656" w:name="_Toc415903141"/>
      <w:bookmarkStart w:id="657" w:name="_Toc26145"/>
      <w:bookmarkStart w:id="658" w:name="_Toc13450"/>
      <w:bookmarkStart w:id="659" w:name="_Toc384306390"/>
      <w:bookmarkStart w:id="660" w:name="_Toc26435"/>
      <w:r>
        <w:rPr>
          <w:rFonts w:hint="eastAsia"/>
          <w:color w:val="auto"/>
          <w:lang w:val="en-US" w:eastAsia="zh-CN"/>
        </w:rPr>
        <w:t>3.</w:t>
      </w:r>
      <w:bookmarkEnd w:id="655"/>
      <w:r>
        <w:rPr>
          <w:rFonts w:hint="eastAsia"/>
          <w:color w:val="auto"/>
          <w:lang w:val="en-US" w:eastAsia="zh-CN"/>
        </w:rPr>
        <w:t>3.2管理缺陷</w:t>
      </w:r>
      <w:bookmarkEnd w:id="656"/>
      <w:bookmarkEnd w:id="657"/>
      <w:bookmarkEnd w:id="658"/>
      <w:bookmarkEnd w:id="659"/>
      <w:bookmarkEnd w:id="660"/>
    </w:p>
    <w:p w14:paraId="55B837E8">
      <w:pPr>
        <w:keepNext w:val="0"/>
        <w:keepLines w:val="0"/>
        <w:pageBreakBefore w:val="0"/>
        <w:widowControl w:val="0"/>
        <w:wordWrap/>
        <w:overflowPunct/>
        <w:topLinePunct w:val="0"/>
        <w:bidi w:val="0"/>
        <w:rPr>
          <w:rFonts w:hint="eastAsia"/>
          <w:color w:val="auto"/>
        </w:rPr>
      </w:pPr>
      <w:r>
        <w:rPr>
          <w:rFonts w:hint="eastAsia"/>
          <w:color w:val="auto"/>
        </w:rPr>
        <w:t>企业生产过程管理缺陷主要表现在：安全管理机构不健全，安全管理制度执行不力，安全检查流于形式，职工的安全教育、培训不到位，安全措施不能满足正常生产需要，安全设施没有认真维护、检验，劳动保护措施没有认真落实，劳动保护用品及个人防护用品不能正常发放和使用等，都可能造成事故的发生。对重大危险源、重点危险目标缺少事故应急预案，对自然灾害缺少防预措施。</w:t>
      </w:r>
    </w:p>
    <w:p w14:paraId="7B81F321">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61" w:name="_Toc21240"/>
      <w:bookmarkStart w:id="662" w:name="_Toc8833"/>
      <w:r>
        <w:rPr>
          <w:rFonts w:hint="eastAsia"/>
          <w:color w:val="auto"/>
          <w:lang w:val="en-US" w:eastAsia="zh-CN"/>
        </w:rPr>
        <w:t>3.3.3 物的不安全状态</w:t>
      </w:r>
      <w:bookmarkEnd w:id="661"/>
      <w:bookmarkEnd w:id="662"/>
    </w:p>
    <w:p w14:paraId="456F9989">
      <w:pPr>
        <w:keepNext w:val="0"/>
        <w:keepLines w:val="0"/>
        <w:pageBreakBefore w:val="0"/>
        <w:widowControl w:val="0"/>
        <w:wordWrap/>
        <w:overflowPunct/>
        <w:topLinePunct w:val="0"/>
        <w:bidi w:val="0"/>
        <w:rPr>
          <w:rFonts w:hint="eastAsia"/>
          <w:color w:val="auto"/>
        </w:rPr>
      </w:pPr>
      <w:r>
        <w:rPr>
          <w:rFonts w:hint="eastAsia"/>
          <w:color w:val="auto"/>
        </w:rPr>
        <w:t>物的不安全状态是导致事故发生的客观原因，正是这些因素的存在，为安全事故的发生提供了物质条件。物的不安全状态主要表现为防护、保险、照明信号等装置缺乏或有缺陷；施工工具、附件有缺陷；安全带、安全帽等缺少或有缺陷；生产(施工)场地环境不良等4大类。</w:t>
      </w:r>
    </w:p>
    <w:p w14:paraId="36C17E7C">
      <w:pPr>
        <w:keepNext w:val="0"/>
        <w:keepLines w:val="0"/>
        <w:pageBreakBefore w:val="0"/>
        <w:widowControl w:val="0"/>
        <w:wordWrap/>
        <w:overflowPunct/>
        <w:topLinePunct w:val="0"/>
        <w:bidi w:val="0"/>
        <w:rPr>
          <w:rFonts w:hint="eastAsia"/>
          <w:color w:val="auto"/>
        </w:rPr>
      </w:pPr>
      <w:r>
        <w:rPr>
          <w:rFonts w:hint="eastAsia"/>
          <w:color w:val="auto"/>
        </w:rPr>
        <w:t>在采掘施工过程中，可能出现的物的不安全状态主要体现在机械设备无必要的防护装置或防护设置不当、设备设施带病运转或维护不及时、作业人员不佩戴个人防护用品或防护用品不符合安全要求等。</w:t>
      </w:r>
    </w:p>
    <w:bookmarkEnd w:id="623"/>
    <w:bookmarkEnd w:id="624"/>
    <w:bookmarkEnd w:id="625"/>
    <w:bookmarkEnd w:id="626"/>
    <w:bookmarkEnd w:id="627"/>
    <w:p w14:paraId="5B96C09E">
      <w:pPr>
        <w:pStyle w:val="3"/>
        <w:keepNext w:val="0"/>
        <w:keepLines w:val="0"/>
        <w:pageBreakBefore w:val="0"/>
        <w:widowControl w:val="0"/>
        <w:wordWrap/>
        <w:overflowPunct/>
        <w:topLinePunct w:val="0"/>
        <w:bidi w:val="0"/>
        <w:spacing w:before="0" w:beforeLines="0" w:after="0" w:afterLines="0"/>
        <w:rPr>
          <w:rFonts w:hint="eastAsia"/>
          <w:color w:val="auto"/>
          <w:lang w:val="en-US" w:eastAsia="zh-CN"/>
        </w:rPr>
      </w:pPr>
      <w:bookmarkStart w:id="663" w:name="_Toc17005"/>
      <w:bookmarkStart w:id="664" w:name="_Toc1679_WPSOffice_Level1"/>
      <w:bookmarkStart w:id="665" w:name="_Toc28119"/>
      <w:bookmarkStart w:id="666" w:name="_Toc28836_WPSOffice_Level1"/>
      <w:bookmarkStart w:id="667" w:name="_Toc17512"/>
      <w:bookmarkStart w:id="668" w:name="_Toc19030"/>
      <w:bookmarkStart w:id="669" w:name="_Toc27239"/>
      <w:bookmarkStart w:id="670" w:name="_Toc28457_WPSOffice_Level1"/>
      <w:r>
        <w:rPr>
          <w:rFonts w:hint="eastAsia"/>
          <w:color w:val="auto"/>
          <w:lang w:val="en-US" w:eastAsia="zh-CN"/>
        </w:rPr>
        <w:t>3.4 重大危险源辨识</w:t>
      </w:r>
      <w:bookmarkEnd w:id="663"/>
      <w:bookmarkEnd w:id="664"/>
      <w:bookmarkEnd w:id="665"/>
      <w:bookmarkEnd w:id="666"/>
      <w:bookmarkEnd w:id="667"/>
      <w:bookmarkEnd w:id="668"/>
      <w:bookmarkEnd w:id="669"/>
      <w:bookmarkEnd w:id="670"/>
    </w:p>
    <w:p w14:paraId="2DE12EF8">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71" w:name="_Toc30954"/>
      <w:bookmarkStart w:id="672" w:name="_Toc30813_WPSOffice_Level2"/>
      <w:bookmarkStart w:id="673" w:name="_Toc23325"/>
      <w:bookmarkStart w:id="674" w:name="_Toc15144_WPSOffice_Level2"/>
      <w:bookmarkStart w:id="675" w:name="_Toc2504_WPSOffice_Level2"/>
      <w:bookmarkStart w:id="676" w:name="_Toc2682_WPSOffice_Level2"/>
      <w:r>
        <w:rPr>
          <w:rFonts w:hint="eastAsia"/>
          <w:color w:val="auto"/>
          <w:lang w:val="en-US" w:eastAsia="zh-CN"/>
        </w:rPr>
        <w:t>3.4.1 辨识依据</w:t>
      </w:r>
      <w:bookmarkEnd w:id="671"/>
      <w:bookmarkEnd w:id="672"/>
      <w:bookmarkEnd w:id="673"/>
      <w:bookmarkEnd w:id="674"/>
      <w:bookmarkEnd w:id="675"/>
      <w:bookmarkEnd w:id="676"/>
    </w:p>
    <w:p w14:paraId="161A9258">
      <w:pPr>
        <w:keepNext w:val="0"/>
        <w:keepLines w:val="0"/>
        <w:pageBreakBefore w:val="0"/>
        <w:widowControl w:val="0"/>
        <w:wordWrap/>
        <w:overflowPunct/>
        <w:topLinePunct w:val="0"/>
        <w:bidi w:val="0"/>
        <w:rPr>
          <w:rFonts w:hint="eastAsia"/>
          <w:color w:val="auto"/>
        </w:rPr>
      </w:pPr>
      <w:r>
        <w:rPr>
          <w:rFonts w:hint="eastAsia"/>
          <w:color w:val="auto"/>
        </w:rPr>
        <w:t>根据《危险化学品重大危险源辨识》（GB18218-2018）的规定，该建设项目应该进行重大危险源的辨识。</w:t>
      </w:r>
    </w:p>
    <w:p w14:paraId="5909BDD6">
      <w:pPr>
        <w:keepNext w:val="0"/>
        <w:keepLines w:val="0"/>
        <w:pageBreakBefore w:val="0"/>
        <w:widowControl w:val="0"/>
        <w:wordWrap/>
        <w:overflowPunct/>
        <w:topLinePunct w:val="0"/>
        <w:bidi w:val="0"/>
        <w:rPr>
          <w:rFonts w:hint="eastAsia"/>
          <w:color w:val="auto"/>
        </w:rPr>
      </w:pPr>
      <w:r>
        <w:rPr>
          <w:rFonts w:hint="eastAsia"/>
          <w:color w:val="auto"/>
        </w:rPr>
        <w:t>按照《危险化学品重大危险源辨识》的定义。重大危险源是指长期地或临时地生产、</w:t>
      </w:r>
      <w:r>
        <w:rPr>
          <w:rFonts w:hint="eastAsia"/>
          <w:color w:val="auto"/>
          <w:lang w:eastAsia="zh-CN"/>
        </w:rPr>
        <w:t>加工、搬运、</w:t>
      </w:r>
      <w:r>
        <w:rPr>
          <w:rFonts w:hint="eastAsia"/>
          <w:color w:val="auto"/>
        </w:rPr>
        <w:t>使用或储存危险</w:t>
      </w:r>
      <w:r>
        <w:rPr>
          <w:rFonts w:hint="eastAsia"/>
          <w:color w:val="auto"/>
          <w:lang w:eastAsia="zh-CN"/>
        </w:rPr>
        <w:t>物质</w:t>
      </w:r>
      <w:r>
        <w:rPr>
          <w:rFonts w:hint="eastAsia"/>
          <w:color w:val="auto"/>
        </w:rPr>
        <w:t>，且</w:t>
      </w:r>
      <w:r>
        <w:rPr>
          <w:rFonts w:hint="eastAsia"/>
          <w:color w:val="auto"/>
          <w:lang w:eastAsia="zh-CN"/>
        </w:rPr>
        <w:t>危险物质的</w:t>
      </w:r>
      <w:r>
        <w:rPr>
          <w:rFonts w:hint="eastAsia"/>
          <w:color w:val="auto"/>
        </w:rPr>
        <w:t>数量等于或超过临界量的单元。</w:t>
      </w:r>
    </w:p>
    <w:p w14:paraId="0F504CA4">
      <w:pPr>
        <w:keepNext w:val="0"/>
        <w:keepLines w:val="0"/>
        <w:pageBreakBefore w:val="0"/>
        <w:widowControl w:val="0"/>
        <w:wordWrap/>
        <w:overflowPunct/>
        <w:topLinePunct w:val="0"/>
        <w:bidi w:val="0"/>
        <w:rPr>
          <w:rFonts w:hint="eastAsia"/>
          <w:color w:val="auto"/>
        </w:rPr>
      </w:pPr>
      <w:r>
        <w:rPr>
          <w:rFonts w:hint="eastAsia"/>
          <w:color w:val="auto"/>
        </w:rPr>
        <w:t>在《危险化学品重大危险源辨识》中，根据物质不同特性，将危险品分为爆炸品、易燃气体、毒性气体、易燃液体、易于自然的物质、遇水放出易燃气体的物质、氧化性物质、有机过氧化物、毒性物质九大类型。未在上述类型中提及的按照《危险化学品重大危险源辨识》表2确定临界量。</w:t>
      </w:r>
    </w:p>
    <w:p w14:paraId="1E5DB37B">
      <w:pPr>
        <w:keepNext w:val="0"/>
        <w:keepLines w:val="0"/>
        <w:pageBreakBefore w:val="0"/>
        <w:widowControl w:val="0"/>
        <w:wordWrap/>
        <w:overflowPunct/>
        <w:topLinePunct w:val="0"/>
        <w:bidi w:val="0"/>
        <w:rPr>
          <w:rFonts w:hint="eastAsia"/>
          <w:color w:val="auto"/>
        </w:rPr>
      </w:pPr>
      <w:r>
        <w:rPr>
          <w:rFonts w:hint="eastAsia"/>
          <w:color w:val="auto"/>
        </w:rPr>
        <w:t>按照单元内物质种类的多少分为以下两种情况：</w:t>
      </w:r>
    </w:p>
    <w:p w14:paraId="3E09CFF9">
      <w:pPr>
        <w:keepNext w:val="0"/>
        <w:keepLines w:val="0"/>
        <w:pageBreakBefore w:val="0"/>
        <w:widowControl w:val="0"/>
        <w:wordWrap/>
        <w:overflowPunct/>
        <w:topLinePunct w:val="0"/>
        <w:bidi w:val="0"/>
        <w:rPr>
          <w:rFonts w:hint="eastAsia"/>
          <w:color w:val="auto"/>
        </w:rPr>
      </w:pPr>
      <w:r>
        <w:rPr>
          <w:color w:val="auto"/>
        </w:rPr>
        <w:t>1</w:t>
      </w:r>
      <w:r>
        <w:rPr>
          <w:rFonts w:hint="eastAsia"/>
          <w:color w:val="auto"/>
        </w:rPr>
        <w:t>）</w:t>
      </w:r>
      <w:r>
        <w:rPr>
          <w:rFonts w:hint="eastAsia"/>
          <w:color w:val="auto"/>
          <w:lang w:eastAsia="zh-CN"/>
        </w:rPr>
        <w:t>生产单元、储存</w:t>
      </w:r>
      <w:r>
        <w:rPr>
          <w:color w:val="auto"/>
        </w:rPr>
        <w:t>单元</w:t>
      </w:r>
      <w:r>
        <w:rPr>
          <w:rFonts w:hint="eastAsia"/>
          <w:color w:val="auto"/>
        </w:rPr>
        <w:t>内存在的危险品为单一品种，则该单元内物质的总量，等于或超过相应的临界值，则定为重大危险源。</w:t>
      </w:r>
    </w:p>
    <w:p w14:paraId="49119711">
      <w:pPr>
        <w:keepNext w:val="0"/>
        <w:keepLines w:val="0"/>
        <w:pageBreakBefore w:val="0"/>
        <w:widowControl w:val="0"/>
        <w:wordWrap/>
        <w:overflowPunct/>
        <w:topLinePunct w:val="0"/>
        <w:bidi w:val="0"/>
        <w:rPr>
          <w:rFonts w:hint="eastAsia"/>
          <w:color w:val="auto"/>
        </w:rPr>
      </w:pPr>
      <w:r>
        <w:rPr>
          <w:color w:val="auto"/>
        </w:rPr>
        <w:t>2</w:t>
      </w:r>
      <w:r>
        <w:rPr>
          <w:rFonts w:hint="eastAsia"/>
          <w:color w:val="auto"/>
        </w:rPr>
        <w:t>）</w:t>
      </w:r>
      <w:r>
        <w:rPr>
          <w:rFonts w:hint="eastAsia"/>
          <w:color w:val="auto"/>
          <w:lang w:eastAsia="zh-CN"/>
        </w:rPr>
        <w:t>生产单元、储存</w:t>
      </w:r>
      <w:r>
        <w:rPr>
          <w:color w:val="auto"/>
        </w:rPr>
        <w:t>单元</w:t>
      </w:r>
      <w:r>
        <w:rPr>
          <w:rFonts w:hint="eastAsia"/>
          <w:color w:val="auto"/>
        </w:rPr>
        <w:t>内的物质为多个品种是，则按式（1）计算，若满足式（1），</w:t>
      </w:r>
    </w:p>
    <w:p w14:paraId="51EF9A8D">
      <w:pPr>
        <w:keepNext w:val="0"/>
        <w:keepLines w:val="0"/>
        <w:pageBreakBefore w:val="0"/>
        <w:widowControl w:val="0"/>
        <w:wordWrap/>
        <w:overflowPunct/>
        <w:topLinePunct w:val="0"/>
        <w:bidi w:val="0"/>
        <w:rPr>
          <w:rFonts w:hint="eastAsia"/>
          <w:color w:val="auto"/>
        </w:rPr>
      </w:pPr>
      <w:r>
        <w:rPr>
          <w:rFonts w:hint="eastAsia"/>
          <w:color w:val="auto"/>
        </w:rPr>
        <w:t xml:space="preserve">      </w:t>
      </w:r>
      <w:r>
        <w:rPr>
          <w:color w:val="auto"/>
        </w:rPr>
        <w:t>q</w:t>
      </w:r>
      <w:r>
        <w:rPr>
          <w:color w:val="auto"/>
          <w:vertAlign w:val="subscript"/>
        </w:rPr>
        <w:t>1</w:t>
      </w:r>
      <w:r>
        <w:rPr>
          <w:color w:val="auto"/>
        </w:rPr>
        <w:t>/Q</w:t>
      </w:r>
      <w:r>
        <w:rPr>
          <w:color w:val="auto"/>
          <w:vertAlign w:val="subscript"/>
        </w:rPr>
        <w:t>1</w:t>
      </w:r>
      <w:r>
        <w:rPr>
          <w:color w:val="auto"/>
        </w:rPr>
        <w:t>+q</w:t>
      </w:r>
      <w:r>
        <w:rPr>
          <w:color w:val="auto"/>
          <w:vertAlign w:val="subscript"/>
        </w:rPr>
        <w:t>2</w:t>
      </w:r>
      <w:r>
        <w:rPr>
          <w:color w:val="auto"/>
        </w:rPr>
        <w:t>/Q</w:t>
      </w:r>
      <w:r>
        <w:rPr>
          <w:color w:val="auto"/>
          <w:vertAlign w:val="subscript"/>
        </w:rPr>
        <w:t>2</w:t>
      </w:r>
      <w:r>
        <w:rPr>
          <w:color w:val="auto"/>
        </w:rPr>
        <w:t>+…+q</w:t>
      </w:r>
      <w:r>
        <w:rPr>
          <w:color w:val="auto"/>
          <w:vertAlign w:val="subscript"/>
        </w:rPr>
        <w:t>n</w:t>
      </w:r>
      <w:r>
        <w:rPr>
          <w:color w:val="auto"/>
        </w:rPr>
        <w:t>/Q</w:t>
      </w:r>
      <w:r>
        <w:rPr>
          <w:color w:val="auto"/>
          <w:vertAlign w:val="subscript"/>
        </w:rPr>
        <w:t>n</w:t>
      </w:r>
      <w:r>
        <w:rPr>
          <w:rFonts w:hint="eastAsia"/>
          <w:color w:val="auto"/>
        </w:rPr>
        <w:t>≥</w:t>
      </w:r>
      <w:r>
        <w:rPr>
          <w:color w:val="auto"/>
        </w:rPr>
        <w:t>1</w:t>
      </w:r>
      <w:r>
        <w:rPr>
          <w:rFonts w:hint="eastAsia"/>
          <w:color w:val="auto"/>
        </w:rPr>
        <w:t xml:space="preserve">     ......（1）</w:t>
      </w:r>
    </w:p>
    <w:p w14:paraId="50C68ECE">
      <w:pPr>
        <w:keepNext w:val="0"/>
        <w:keepLines w:val="0"/>
        <w:pageBreakBefore w:val="0"/>
        <w:widowControl w:val="0"/>
        <w:wordWrap/>
        <w:overflowPunct/>
        <w:topLinePunct w:val="0"/>
        <w:bidi w:val="0"/>
        <w:rPr>
          <w:color w:val="auto"/>
        </w:rPr>
      </w:pPr>
      <w:r>
        <w:rPr>
          <w:color w:val="auto"/>
        </w:rPr>
        <w:t>式中</w:t>
      </w:r>
      <w:r>
        <w:rPr>
          <w:rFonts w:hint="eastAsia"/>
          <w:color w:val="auto"/>
        </w:rPr>
        <w:t>：</w:t>
      </w:r>
      <w:r>
        <w:rPr>
          <w:color w:val="auto"/>
        </w:rPr>
        <w:t>q</w:t>
      </w:r>
      <w:r>
        <w:rPr>
          <w:color w:val="auto"/>
          <w:vertAlign w:val="subscript"/>
        </w:rPr>
        <w:t>1</w:t>
      </w:r>
      <w:r>
        <w:rPr>
          <w:color w:val="auto"/>
        </w:rPr>
        <w:t>，q</w:t>
      </w:r>
      <w:r>
        <w:rPr>
          <w:color w:val="auto"/>
          <w:vertAlign w:val="subscript"/>
        </w:rPr>
        <w:t>2</w:t>
      </w:r>
      <w:r>
        <w:rPr>
          <w:color w:val="auto"/>
        </w:rPr>
        <w:t>，…，q</w:t>
      </w:r>
      <w:r>
        <w:rPr>
          <w:color w:val="auto"/>
          <w:vertAlign w:val="subscript"/>
        </w:rPr>
        <w:t>n</w:t>
      </w:r>
      <w:r>
        <w:rPr>
          <w:color w:val="auto"/>
        </w:rPr>
        <w:t>—每种危险物质实际存在量，单位为吨（t）；</w:t>
      </w:r>
    </w:p>
    <w:p w14:paraId="2589C858">
      <w:pPr>
        <w:keepNext w:val="0"/>
        <w:keepLines w:val="0"/>
        <w:pageBreakBefore w:val="0"/>
        <w:widowControl w:val="0"/>
        <w:wordWrap/>
        <w:overflowPunct/>
        <w:topLinePunct w:val="0"/>
        <w:bidi w:val="0"/>
        <w:rPr>
          <w:rFonts w:hint="eastAsia"/>
          <w:color w:val="auto"/>
        </w:rPr>
      </w:pPr>
      <w:r>
        <w:rPr>
          <w:color w:val="auto"/>
        </w:rPr>
        <w:t>Q</w:t>
      </w:r>
      <w:r>
        <w:rPr>
          <w:color w:val="auto"/>
          <w:vertAlign w:val="subscript"/>
        </w:rPr>
        <w:t>1</w:t>
      </w:r>
      <w:r>
        <w:rPr>
          <w:color w:val="auto"/>
        </w:rPr>
        <w:t>，Q</w:t>
      </w:r>
      <w:r>
        <w:rPr>
          <w:color w:val="auto"/>
          <w:vertAlign w:val="subscript"/>
        </w:rPr>
        <w:t>2</w:t>
      </w:r>
      <w:r>
        <w:rPr>
          <w:color w:val="auto"/>
        </w:rPr>
        <w:t>，…</w:t>
      </w:r>
      <w:r>
        <w:rPr>
          <w:rFonts w:hint="eastAsia"/>
          <w:color w:val="auto"/>
        </w:rPr>
        <w:t>，</w:t>
      </w:r>
      <w:r>
        <w:rPr>
          <w:color w:val="auto"/>
        </w:rPr>
        <w:t>Q</w:t>
      </w:r>
      <w:r>
        <w:rPr>
          <w:color w:val="auto"/>
          <w:vertAlign w:val="subscript"/>
        </w:rPr>
        <w:t>n</w:t>
      </w:r>
      <w:r>
        <w:rPr>
          <w:color w:val="auto"/>
        </w:rPr>
        <w:t>—与各危险化学品相对应的临界量，单位为吨（t）。</w:t>
      </w:r>
    </w:p>
    <w:p w14:paraId="1281ECC3">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677" w:name="_Toc28380"/>
      <w:bookmarkStart w:id="678" w:name="_Toc6971_WPSOffice_Level2"/>
      <w:bookmarkStart w:id="679" w:name="_Toc17666_WPSOffice_Level2"/>
      <w:bookmarkStart w:id="680" w:name="_Toc14246"/>
      <w:bookmarkStart w:id="681" w:name="_Toc30293_WPSOffice_Level2"/>
      <w:bookmarkStart w:id="682" w:name="_Toc6056_WPSOffice_Level2"/>
      <w:r>
        <w:rPr>
          <w:rFonts w:hint="eastAsia"/>
          <w:color w:val="auto"/>
          <w:lang w:val="en-US" w:eastAsia="zh-CN"/>
        </w:rPr>
        <w:t>3.4.2 重大危险源辨识结果</w:t>
      </w:r>
      <w:bookmarkEnd w:id="677"/>
      <w:bookmarkEnd w:id="678"/>
      <w:bookmarkEnd w:id="679"/>
      <w:bookmarkEnd w:id="680"/>
      <w:bookmarkEnd w:id="681"/>
      <w:bookmarkEnd w:id="682"/>
    </w:p>
    <w:p w14:paraId="4B20EB4E">
      <w:pPr>
        <w:keepNext w:val="0"/>
        <w:keepLines w:val="0"/>
        <w:pageBreakBefore w:val="0"/>
        <w:widowControl w:val="0"/>
        <w:wordWrap/>
        <w:overflowPunct/>
        <w:topLinePunct w:val="0"/>
        <w:bidi w:val="0"/>
        <w:rPr>
          <w:rFonts w:hint="eastAsia"/>
          <w:color w:val="auto"/>
        </w:rPr>
      </w:pPr>
      <w:r>
        <w:rPr>
          <w:rFonts w:hint="eastAsia"/>
          <w:color w:val="auto"/>
        </w:rPr>
        <w:t>根据《危险化学品重大危险源辨识》判断易燃易爆危险物质的使用和储存是否构成重大危险源。</w:t>
      </w:r>
    </w:p>
    <w:p w14:paraId="3D39BEF1">
      <w:pPr>
        <w:keepNext w:val="0"/>
        <w:keepLines w:val="0"/>
        <w:pageBreakBefore w:val="0"/>
        <w:widowControl w:val="0"/>
        <w:wordWrap/>
        <w:overflowPunct/>
        <w:topLinePunct w:val="0"/>
        <w:bidi w:val="0"/>
        <w:rPr>
          <w:rFonts w:hint="eastAsia"/>
          <w:color w:val="auto"/>
        </w:rPr>
      </w:pPr>
      <w:r>
        <w:rPr>
          <w:rFonts w:hint="eastAsia"/>
          <w:color w:val="auto"/>
        </w:rPr>
        <w:t>茅排金矿</w:t>
      </w:r>
      <w:r>
        <w:rPr>
          <w:rFonts w:hint="eastAsia"/>
          <w:color w:val="auto"/>
          <w:lang w:eastAsia="zh-CN"/>
        </w:rPr>
        <w:t>地下开采</w:t>
      </w:r>
      <w:r>
        <w:rPr>
          <w:rFonts w:hint="eastAsia"/>
          <w:color w:val="auto"/>
        </w:rPr>
        <w:t>爆破作业使用的危险物质有民用爆破器材（起爆器材和工业炸药）。</w:t>
      </w:r>
      <w:r>
        <w:rPr>
          <w:rFonts w:hint="eastAsia"/>
          <w:color w:val="auto"/>
          <w:lang w:eastAsia="zh-CN"/>
        </w:rPr>
        <w:t>爆破作业每次爆破最大炸药消耗量较小，小于临界量，</w:t>
      </w:r>
      <w:r>
        <w:rPr>
          <w:rFonts w:hint="eastAsia"/>
          <w:color w:val="auto"/>
        </w:rPr>
        <w:t>因此，茅排金矿</w:t>
      </w:r>
      <w:r>
        <w:rPr>
          <w:rFonts w:hint="eastAsia"/>
          <w:color w:val="auto"/>
          <w:lang w:eastAsia="zh-CN"/>
        </w:rPr>
        <w:t>地下开采</w:t>
      </w:r>
      <w:r>
        <w:rPr>
          <w:rFonts w:hint="eastAsia"/>
          <w:color w:val="auto"/>
          <w:lang w:val="en-US" w:eastAsia="zh-CN"/>
        </w:rPr>
        <w:t>工程</w:t>
      </w:r>
      <w:r>
        <w:rPr>
          <w:rFonts w:hint="eastAsia"/>
          <w:color w:val="auto"/>
        </w:rPr>
        <w:t>不构成</w:t>
      </w:r>
      <w:r>
        <w:rPr>
          <w:rFonts w:hint="eastAsia"/>
          <w:color w:val="auto"/>
          <w:lang w:eastAsia="zh-CN"/>
        </w:rPr>
        <w:t>危险化学品</w:t>
      </w:r>
      <w:r>
        <w:rPr>
          <w:rFonts w:hint="eastAsia"/>
          <w:color w:val="auto"/>
        </w:rPr>
        <w:t>重大危险源。</w:t>
      </w:r>
    </w:p>
    <w:p w14:paraId="6D066FB3">
      <w:pPr>
        <w:keepNext w:val="0"/>
        <w:keepLines w:val="0"/>
        <w:pageBreakBefore w:val="0"/>
        <w:widowControl w:val="0"/>
        <w:wordWrap/>
        <w:overflowPunct/>
        <w:topLinePunct w:val="0"/>
        <w:bidi w:val="0"/>
        <w:rPr>
          <w:rFonts w:hint="eastAsia"/>
          <w:color w:val="auto"/>
        </w:rPr>
      </w:pPr>
      <w:r>
        <w:rPr>
          <w:rFonts w:hint="eastAsia"/>
          <w:color w:val="auto"/>
          <w:lang w:val="en-US" w:eastAsia="zh-CN"/>
        </w:rPr>
        <w:t>根据</w:t>
      </w:r>
      <w:r>
        <w:rPr>
          <w:rFonts w:hint="eastAsia"/>
          <w:color w:val="auto"/>
        </w:rPr>
        <w:t>江西省赣华安全科技有限公司</w:t>
      </w:r>
      <w:r>
        <w:rPr>
          <w:rFonts w:hint="eastAsia"/>
          <w:color w:val="auto"/>
          <w:lang w:val="en-US" w:eastAsia="zh-CN"/>
        </w:rPr>
        <w:t>2023年8月编制的</w:t>
      </w:r>
      <w:r>
        <w:rPr>
          <w:rFonts w:hint="eastAsia"/>
          <w:color w:val="auto"/>
          <w:lang w:eastAsia="zh-CN"/>
        </w:rPr>
        <w:t>《</w:t>
      </w:r>
      <w:r>
        <w:rPr>
          <w:rFonts w:hint="eastAsia"/>
          <w:color w:val="auto"/>
        </w:rPr>
        <w:t>江西临川鲁金矿业有限公司民用爆炸物品储存库安全现状评价报告</w:t>
      </w:r>
      <w:r>
        <w:rPr>
          <w:rFonts w:hint="eastAsia"/>
          <w:color w:val="auto"/>
          <w:lang w:eastAsia="zh-CN"/>
        </w:rPr>
        <w:t>》，</w:t>
      </w:r>
      <w:r>
        <w:rPr>
          <w:rFonts w:hint="eastAsia"/>
          <w:color w:val="auto"/>
        </w:rPr>
        <w:t>茅排金矿民用爆破器材储存库不构成重大危险源。</w:t>
      </w:r>
    </w:p>
    <w:p w14:paraId="6462A9B7">
      <w:pPr>
        <w:pStyle w:val="3"/>
        <w:keepNext w:val="0"/>
        <w:keepLines w:val="0"/>
        <w:pageBreakBefore w:val="0"/>
        <w:widowControl w:val="0"/>
        <w:wordWrap/>
        <w:overflowPunct/>
        <w:topLinePunct w:val="0"/>
        <w:bidi w:val="0"/>
        <w:spacing w:before="0" w:beforeLines="0" w:after="0" w:afterLines="0"/>
        <w:rPr>
          <w:rFonts w:hint="eastAsia"/>
          <w:color w:val="auto"/>
          <w:lang w:val="en-US" w:eastAsia="zh-CN"/>
        </w:rPr>
      </w:pPr>
      <w:bookmarkStart w:id="683" w:name="_Toc6835_WPSOffice_Level1"/>
      <w:bookmarkStart w:id="684" w:name="_Toc9798_WPSOffice_Level1"/>
      <w:bookmarkStart w:id="685" w:name="_Toc27669"/>
      <w:bookmarkStart w:id="686" w:name="_Toc2147"/>
      <w:bookmarkStart w:id="687" w:name="_Toc12644_WPSOffice_Level1"/>
      <w:bookmarkStart w:id="688" w:name="_Toc2256"/>
      <w:bookmarkStart w:id="689" w:name="_Toc17470"/>
      <w:bookmarkStart w:id="690" w:name="_Toc15970"/>
      <w:r>
        <w:rPr>
          <w:rFonts w:hint="eastAsia"/>
          <w:color w:val="auto"/>
          <w:lang w:val="en-US" w:eastAsia="zh-CN"/>
        </w:rPr>
        <w:t>3.5主要危险、有害因素分析结果</w:t>
      </w:r>
      <w:bookmarkEnd w:id="683"/>
      <w:bookmarkEnd w:id="684"/>
      <w:bookmarkEnd w:id="685"/>
      <w:bookmarkEnd w:id="686"/>
      <w:bookmarkEnd w:id="687"/>
      <w:bookmarkEnd w:id="688"/>
      <w:bookmarkEnd w:id="689"/>
      <w:bookmarkEnd w:id="690"/>
    </w:p>
    <w:p w14:paraId="43D04F55">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1）茅排金矿无危险化学品重大危险源。</w:t>
      </w:r>
    </w:p>
    <w:p w14:paraId="0DD71EAA">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2）通过以上的辨识和分析，茅排金矿生产过程中潜在的危险因素共有18类，包括：</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_Toc13636 </w:instrText>
      </w:r>
      <w:r>
        <w:rPr>
          <w:rFonts w:hint="eastAsia"/>
          <w:color w:val="auto"/>
          <w:lang w:val="en-US" w:eastAsia="zh-CN"/>
        </w:rPr>
        <w:fldChar w:fldCharType="separate"/>
      </w:r>
      <w:r>
        <w:rPr>
          <w:rFonts w:hint="eastAsia"/>
          <w:color w:val="auto"/>
          <w:lang w:val="en-US" w:eastAsia="zh-CN"/>
        </w:rPr>
        <w:t>起重致害、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容器爆炸、管道爆炸</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_Toc20458 </w:instrText>
      </w:r>
      <w:r>
        <w:rPr>
          <w:rFonts w:hint="eastAsia"/>
          <w:color w:val="auto"/>
          <w:lang w:val="en-US" w:eastAsia="zh-CN"/>
        </w:rPr>
        <w:fldChar w:fldCharType="separate"/>
      </w:r>
      <w:r>
        <w:rPr>
          <w:rFonts w:hint="eastAsia"/>
          <w:color w:val="auto"/>
          <w:lang w:val="en-US" w:eastAsia="zh-CN"/>
        </w:rPr>
        <w:t>淹溺</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_Toc23228 </w:instrText>
      </w:r>
      <w:r>
        <w:rPr>
          <w:rFonts w:hint="eastAsia"/>
          <w:color w:val="auto"/>
          <w:lang w:val="en-US" w:eastAsia="zh-CN"/>
        </w:rPr>
        <w:fldChar w:fldCharType="separate"/>
      </w:r>
      <w:r>
        <w:rPr>
          <w:rFonts w:hint="eastAsia"/>
          <w:color w:val="auto"/>
          <w:lang w:val="en-US" w:eastAsia="zh-CN"/>
        </w:rPr>
        <w:t>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；有害因素有6类，包括粉尘、噪声、振动、有毒气体、有害气体、作业环境不良；</w:t>
      </w:r>
      <w:r>
        <w:rPr>
          <w:rFonts w:hint="eastAsia"/>
          <w:color w:val="auto"/>
        </w:rPr>
        <w:t>共有2</w:t>
      </w:r>
      <w:r>
        <w:rPr>
          <w:rFonts w:hint="eastAsia"/>
          <w:color w:val="auto"/>
          <w:lang w:val="en-US" w:eastAsia="zh-CN"/>
        </w:rPr>
        <w:t>3</w:t>
      </w:r>
      <w:r>
        <w:rPr>
          <w:rFonts w:hint="eastAsia"/>
          <w:color w:val="auto"/>
        </w:rPr>
        <w:t>类危险、有害因素</w:t>
      </w:r>
      <w:r>
        <w:rPr>
          <w:rFonts w:hint="eastAsia"/>
          <w:color w:val="auto"/>
          <w:lang w:eastAsia="zh-CN"/>
        </w:rPr>
        <w:t>，</w:t>
      </w:r>
      <w:r>
        <w:rPr>
          <w:rFonts w:hint="eastAsia"/>
          <w:color w:val="auto"/>
          <w:lang w:val="en-US" w:eastAsia="zh-CN"/>
        </w:rPr>
        <w:t>其中</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_Toc13636 </w:instrText>
      </w:r>
      <w:r>
        <w:rPr>
          <w:rFonts w:hint="eastAsia"/>
          <w:color w:val="auto"/>
          <w:lang w:val="en-US" w:eastAsia="zh-CN"/>
        </w:rPr>
        <w:fldChar w:fldCharType="separate"/>
      </w:r>
      <w:r>
        <w:rPr>
          <w:rFonts w:hint="eastAsia"/>
          <w:color w:val="auto"/>
          <w:lang w:val="en-US" w:eastAsia="zh-CN"/>
        </w:rPr>
        <w:t>起重致害、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容器爆炸、管道爆炸</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等可能造成较大事故，必须引起高度重视，应重点加以防范，粉尘、噪声等危害虽不会引发大的事故，但必须采取措施，予以加强防范。全面落实企业安全生产责任制，遵守安全操作规程，按照安全管理制度进行管理，有效降低安全风险，保障生产安全。</w:t>
      </w:r>
    </w:p>
    <w:p w14:paraId="56B0234A">
      <w:pPr>
        <w:pStyle w:val="3"/>
        <w:keepNext w:val="0"/>
        <w:keepLines w:val="0"/>
        <w:pageBreakBefore w:val="0"/>
        <w:widowControl w:val="0"/>
        <w:wordWrap/>
        <w:overflowPunct/>
        <w:topLinePunct w:val="0"/>
        <w:bidi w:val="0"/>
        <w:spacing w:before="0" w:beforeLines="0" w:after="0" w:afterLines="0"/>
        <w:rPr>
          <w:rFonts w:hint="eastAsia"/>
          <w:color w:val="auto"/>
          <w:lang w:val="en-US" w:eastAsia="zh-CN"/>
        </w:rPr>
      </w:pPr>
      <w:bookmarkStart w:id="691" w:name="_Toc25868"/>
      <w:bookmarkStart w:id="692" w:name="_Toc27389"/>
      <w:bookmarkStart w:id="693" w:name="_Toc14935"/>
      <w:r>
        <w:rPr>
          <w:rFonts w:hint="eastAsia"/>
          <w:color w:val="auto"/>
          <w:lang w:val="en-US" w:eastAsia="zh-CN"/>
        </w:rPr>
        <w:t>3.6坑探工程与现井下开采系统相互影响</w:t>
      </w:r>
      <w:bookmarkEnd w:id="691"/>
      <w:bookmarkEnd w:id="692"/>
      <w:bookmarkEnd w:id="693"/>
    </w:p>
    <w:p w14:paraId="25167128">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1）坑探</w:t>
      </w:r>
      <w:r>
        <w:rPr>
          <w:rFonts w:hint="eastAsia"/>
          <w:color w:val="auto"/>
        </w:rPr>
        <w:t>主要工程</w:t>
      </w:r>
      <w:r>
        <w:rPr>
          <w:rFonts w:hint="eastAsia"/>
          <w:color w:val="auto"/>
          <w:lang w:val="en-US" w:eastAsia="zh-CN"/>
        </w:rPr>
        <w:t>设计概述</w:t>
      </w:r>
    </w:p>
    <w:p w14:paraId="67B7A26C">
      <w:pPr>
        <w:keepNext w:val="0"/>
        <w:keepLines w:val="0"/>
        <w:pageBreakBefore w:val="0"/>
        <w:widowControl w:val="0"/>
        <w:wordWrap/>
        <w:overflowPunct/>
        <w:topLinePunct w:val="0"/>
        <w:bidi w:val="0"/>
        <w:rPr>
          <w:rFonts w:hint="eastAsia"/>
          <w:color w:val="auto"/>
        </w:rPr>
      </w:pPr>
      <w:r>
        <w:rPr>
          <w:rFonts w:hint="eastAsia"/>
          <w:color w:val="auto"/>
        </w:rPr>
        <w:t>坑探工程主要集中布置在矿区的</w:t>
      </w:r>
      <w:r>
        <w:rPr>
          <w:color w:val="auto"/>
        </w:rPr>
        <w:t>75~18</w:t>
      </w:r>
      <w:r>
        <w:rPr>
          <w:rFonts w:hint="eastAsia"/>
          <w:color w:val="auto"/>
        </w:rPr>
        <w:t>线，其中</w:t>
      </w:r>
      <w:r>
        <w:rPr>
          <w:color w:val="auto"/>
        </w:rPr>
        <w:t>27~19</w:t>
      </w:r>
      <w:r>
        <w:rPr>
          <w:rFonts w:hint="eastAsia"/>
          <w:color w:val="auto"/>
        </w:rPr>
        <w:t>线、</w:t>
      </w:r>
      <w:r>
        <w:rPr>
          <w:color w:val="auto"/>
        </w:rPr>
        <w:t>1~14</w:t>
      </w:r>
      <w:r>
        <w:rPr>
          <w:rFonts w:hint="eastAsia"/>
          <w:color w:val="auto"/>
        </w:rPr>
        <w:t>线+370～+</w:t>
      </w:r>
      <w:r>
        <w:rPr>
          <w:color w:val="auto"/>
        </w:rPr>
        <w:t>32</w:t>
      </w:r>
      <w:r>
        <w:rPr>
          <w:rFonts w:hint="eastAsia"/>
          <w:color w:val="auto"/>
        </w:rPr>
        <w:t>0m及</w:t>
      </w:r>
      <w:r>
        <w:rPr>
          <w:color w:val="auto"/>
        </w:rPr>
        <w:t>27~18</w:t>
      </w:r>
      <w:r>
        <w:rPr>
          <w:rFonts w:hint="eastAsia"/>
          <w:color w:val="auto"/>
        </w:rPr>
        <w:t>线+3</w:t>
      </w:r>
      <w:r>
        <w:rPr>
          <w:color w:val="auto"/>
        </w:rPr>
        <w:t>2</w:t>
      </w:r>
      <w:r>
        <w:rPr>
          <w:rFonts w:hint="eastAsia"/>
          <w:color w:val="auto"/>
        </w:rPr>
        <w:t>0～+</w:t>
      </w:r>
      <w:r>
        <w:rPr>
          <w:color w:val="auto"/>
        </w:rPr>
        <w:t>27</w:t>
      </w:r>
      <w:r>
        <w:rPr>
          <w:rFonts w:hint="eastAsia"/>
          <w:color w:val="auto"/>
        </w:rPr>
        <w:t>0m区域采用平硐开拓，利用P</w:t>
      </w:r>
      <w:r>
        <w:rPr>
          <w:color w:val="auto"/>
        </w:rPr>
        <w:t>D370</w:t>
      </w:r>
      <w:r>
        <w:rPr>
          <w:rFonts w:hint="eastAsia"/>
          <w:color w:val="auto"/>
        </w:rPr>
        <w:t>及P</w:t>
      </w:r>
      <w:r>
        <w:rPr>
          <w:color w:val="auto"/>
        </w:rPr>
        <w:t>D320</w:t>
      </w:r>
      <w:r>
        <w:rPr>
          <w:rFonts w:hint="eastAsia"/>
          <w:color w:val="auto"/>
        </w:rPr>
        <w:t>作为</w:t>
      </w:r>
      <w:r>
        <w:rPr>
          <w:rFonts w:hint="eastAsia"/>
          <w:color w:val="auto"/>
          <w:lang w:val="en-US" w:eastAsia="zh-CN"/>
        </w:rPr>
        <w:t>+</w:t>
      </w:r>
      <w:r>
        <w:rPr>
          <w:rFonts w:hint="eastAsia"/>
          <w:color w:val="auto"/>
        </w:rPr>
        <w:t>3</w:t>
      </w:r>
      <w:r>
        <w:rPr>
          <w:color w:val="auto"/>
        </w:rPr>
        <w:t>70</w:t>
      </w:r>
      <w:r>
        <w:rPr>
          <w:rFonts w:hint="eastAsia"/>
          <w:color w:val="auto"/>
        </w:rPr>
        <w:t>中段及</w:t>
      </w:r>
      <w:r>
        <w:rPr>
          <w:rFonts w:hint="eastAsia"/>
          <w:color w:val="auto"/>
          <w:lang w:val="en-US" w:eastAsia="zh-CN"/>
        </w:rPr>
        <w:t>+</w:t>
      </w:r>
      <w:r>
        <w:rPr>
          <w:rFonts w:hint="eastAsia"/>
          <w:color w:val="auto"/>
        </w:rPr>
        <w:t>3</w:t>
      </w:r>
      <w:r>
        <w:rPr>
          <w:color w:val="auto"/>
        </w:rPr>
        <w:t>20</w:t>
      </w:r>
      <w:r>
        <w:rPr>
          <w:rFonts w:hint="eastAsia"/>
          <w:color w:val="auto"/>
        </w:rPr>
        <w:t>中段探矿平峒，并通过溜井与+</w:t>
      </w:r>
      <w:r>
        <w:rPr>
          <w:color w:val="auto"/>
        </w:rPr>
        <w:t>270</w:t>
      </w:r>
      <w:r>
        <w:rPr>
          <w:rFonts w:hint="eastAsia"/>
          <w:color w:val="auto"/>
        </w:rPr>
        <w:t>m中段连通；</w:t>
      </w:r>
      <w:r>
        <w:rPr>
          <w:color w:val="auto"/>
        </w:rPr>
        <w:t>75~18</w:t>
      </w:r>
      <w:r>
        <w:rPr>
          <w:rFonts w:hint="eastAsia"/>
          <w:color w:val="auto"/>
        </w:rPr>
        <w:t>线+</w:t>
      </w:r>
      <w:r>
        <w:rPr>
          <w:color w:val="auto"/>
        </w:rPr>
        <w:t>270</w:t>
      </w:r>
      <w:r>
        <w:rPr>
          <w:rFonts w:hint="eastAsia"/>
          <w:color w:val="auto"/>
        </w:rPr>
        <w:t>m</w:t>
      </w:r>
      <w:r>
        <w:rPr>
          <w:color w:val="auto"/>
        </w:rPr>
        <w:t>~+70</w:t>
      </w:r>
      <w:r>
        <w:rPr>
          <w:rFonts w:hint="eastAsia"/>
          <w:color w:val="auto"/>
        </w:rPr>
        <w:t>m区域采用平硐+斜坡道开拓，共划分为+240m、+210m、+180m、+150m、+120m、+70m等6个探矿中段，在51线附近从+270m中段51线石门施工盲斜坡道至+70m标高，斜坡道采用折返式布置，从斜坡道+240m标高施工石门至矿体下盘，距矿体约25m，沿矿体下盘施工+240m中段脉外运输巷至矿体走向储量估算边界，脉外运输巷通过通风天井及平巷与+270m中段脉外回风巷连通，+270m中段脉外回风巷再通过边界通风天井（+270～+320m）与+320m中段回风巷连通及</w:t>
      </w:r>
      <w:r>
        <w:rPr>
          <w:rFonts w:hint="eastAsia"/>
          <w:color w:val="auto"/>
          <w:lang w:val="en-US" w:eastAsia="zh-CN"/>
        </w:rPr>
        <w:t>+</w:t>
      </w:r>
      <w:r>
        <w:rPr>
          <w:rFonts w:hint="eastAsia"/>
          <w:color w:val="auto"/>
        </w:rPr>
        <w:t>320回风平硐连通，各中段的脉外运输巷通过通风天井及平巷与+270m中段脉外回风巷及</w:t>
      </w:r>
      <w:r>
        <w:rPr>
          <w:rFonts w:hint="eastAsia"/>
          <w:color w:val="auto"/>
          <w:lang w:val="en-US" w:eastAsia="zh-CN"/>
        </w:rPr>
        <w:t>+</w:t>
      </w:r>
      <w:r>
        <w:rPr>
          <w:rFonts w:hint="eastAsia"/>
          <w:color w:val="auto"/>
        </w:rPr>
        <w:t>320回风平硐连通，在+70m中段设主排水系统，通过+70~+270m管缆天井与+270m主运输平硐连通形成开拓、通风、运输、排水系统。</w:t>
      </w:r>
    </w:p>
    <w:p w14:paraId="2A666818">
      <w:pPr>
        <w:keepNext w:val="0"/>
        <w:keepLines w:val="0"/>
        <w:pageBreakBefore w:val="0"/>
        <w:widowControl w:val="0"/>
        <w:numPr>
          <w:ilvl w:val="0"/>
          <w:numId w:val="2"/>
        </w:numPr>
        <w:wordWrap/>
        <w:overflowPunct/>
        <w:topLinePunct w:val="0"/>
        <w:bidi w:val="0"/>
        <w:ind w:left="0" w:leftChars="0" w:firstLine="592" w:firstLineChars="0"/>
        <w:rPr>
          <w:rFonts w:hint="eastAsia"/>
          <w:color w:val="auto"/>
          <w:lang w:val="en-US" w:eastAsia="zh-CN"/>
        </w:rPr>
      </w:pPr>
      <w:r>
        <w:rPr>
          <w:rFonts w:hint="eastAsia"/>
          <w:color w:val="auto"/>
          <w:lang w:val="en-US" w:eastAsia="zh-CN"/>
        </w:rPr>
        <w:t>通风系统</w:t>
      </w:r>
    </w:p>
    <w:p w14:paraId="116F2AB2">
      <w:pPr>
        <w:keepNext w:val="0"/>
        <w:keepLines w:val="0"/>
        <w:pageBreakBefore w:val="0"/>
        <w:widowControl w:val="0"/>
        <w:wordWrap/>
        <w:overflowPunct/>
        <w:topLinePunct w:val="0"/>
        <w:bidi w:val="0"/>
        <w:rPr>
          <w:rFonts w:eastAsia="仿宋_GB2312"/>
          <w:bCs/>
          <w:color w:val="auto"/>
          <w:sz w:val="28"/>
          <w:szCs w:val="28"/>
        </w:rPr>
      </w:pPr>
      <w:r>
        <w:rPr>
          <w:rFonts w:hint="eastAsia"/>
          <w:color w:val="auto"/>
        </w:rPr>
        <w:t>设计利用320回风平硐作为回风井，服务于全矿山回风，+</w:t>
      </w:r>
      <w:r>
        <w:rPr>
          <w:color w:val="auto"/>
        </w:rPr>
        <w:t>320</w:t>
      </w:r>
      <w:r>
        <w:rPr>
          <w:rFonts w:hint="eastAsia"/>
          <w:color w:val="auto"/>
        </w:rPr>
        <w:t>m以下进风由270主平硐进入，+</w:t>
      </w:r>
      <w:r>
        <w:rPr>
          <w:color w:val="auto"/>
        </w:rPr>
        <w:t>320</w:t>
      </w:r>
      <w:r>
        <w:rPr>
          <w:rFonts w:hint="eastAsia"/>
          <w:color w:val="auto"/>
        </w:rPr>
        <w:t>m以上进风由</w:t>
      </w:r>
      <w:r>
        <w:rPr>
          <w:color w:val="auto"/>
        </w:rPr>
        <w:t>370</w:t>
      </w:r>
      <w:r>
        <w:rPr>
          <w:rFonts w:hint="eastAsia"/>
          <w:color w:val="auto"/>
        </w:rPr>
        <w:t>平硐进入。</w:t>
      </w:r>
      <w:r>
        <w:rPr>
          <w:color w:val="auto"/>
        </w:rPr>
        <w:t>主通风设备</w:t>
      </w:r>
      <w:r>
        <w:rPr>
          <w:rFonts w:hint="eastAsia"/>
          <w:color w:val="auto"/>
          <w:lang w:val="en-US" w:eastAsia="zh-CN"/>
        </w:rPr>
        <w:t>利用</w:t>
      </w:r>
      <w:r>
        <w:rPr>
          <w:color w:val="auto"/>
        </w:rPr>
        <w:t>现有K40-4-No11型主扇</w:t>
      </w:r>
      <w:r>
        <w:rPr>
          <w:rFonts w:hint="eastAsia"/>
          <w:color w:val="auto"/>
          <w:lang w:eastAsia="zh-CN"/>
        </w:rPr>
        <w:t>。</w:t>
      </w:r>
      <w:r>
        <w:rPr>
          <w:rFonts w:hint="eastAsia" w:eastAsia="仿宋_GB2312"/>
          <w:bCs/>
          <w:color w:val="auto"/>
          <w:sz w:val="28"/>
          <w:szCs w:val="28"/>
        </w:rPr>
        <w:t>主要</w:t>
      </w:r>
      <w:r>
        <w:rPr>
          <w:rFonts w:eastAsia="仿宋_GB2312"/>
          <w:bCs/>
          <w:color w:val="auto"/>
          <w:sz w:val="28"/>
          <w:szCs w:val="28"/>
        </w:rPr>
        <w:t>风流路线如下：</w:t>
      </w:r>
    </w:p>
    <w:p w14:paraId="2C603A78">
      <w:pPr>
        <w:keepNext w:val="0"/>
        <w:keepLines w:val="0"/>
        <w:pageBreakBefore w:val="0"/>
        <w:widowControl w:val="0"/>
        <w:wordWrap/>
        <w:overflowPunct/>
        <w:topLinePunct w:val="0"/>
        <w:bidi w:val="0"/>
        <w:rPr>
          <w:color w:val="auto"/>
        </w:rPr>
      </w:pPr>
      <w:r>
        <w:rPr>
          <w:rFonts w:hint="eastAsia"/>
          <w:color w:val="auto"/>
          <w:lang w:val="en-US" w:eastAsia="zh-CN"/>
        </w:rPr>
        <w:t>+</w:t>
      </w:r>
      <w:r>
        <w:rPr>
          <w:rFonts w:hint="eastAsia"/>
          <w:color w:val="auto"/>
        </w:rPr>
        <w:t>270</w:t>
      </w:r>
      <w:r>
        <w:rPr>
          <w:rFonts w:hint="eastAsia"/>
          <w:color w:val="auto"/>
          <w:lang w:val="en-US" w:eastAsia="zh-CN"/>
        </w:rPr>
        <w:t>以下中段：</w:t>
      </w:r>
      <w:r>
        <w:rPr>
          <w:color w:val="auto"/>
        </w:rPr>
        <w:t>风流从</w:t>
      </w:r>
      <w:r>
        <w:rPr>
          <w:rFonts w:hint="eastAsia"/>
          <w:color w:val="auto"/>
          <w:lang w:val="en-US" w:eastAsia="zh-CN"/>
        </w:rPr>
        <w:t>+</w:t>
      </w:r>
      <w:r>
        <w:rPr>
          <w:rFonts w:hint="eastAsia"/>
          <w:color w:val="auto"/>
        </w:rPr>
        <w:t>270</w:t>
      </w:r>
      <w:r>
        <w:rPr>
          <w:color w:val="auto"/>
        </w:rPr>
        <w:t>主平硐→盲斜坡道（+270～+70m）→（+240m、+215m、+180m、+150m、+120m及+70m）中段→（+240m、+215m、+180m、+150m、+120m及+70m）中段</w:t>
      </w:r>
      <w:r>
        <w:rPr>
          <w:rFonts w:hint="eastAsia"/>
          <w:color w:val="auto"/>
        </w:rPr>
        <w:t>穿脉巷</w:t>
      </w:r>
      <w:r>
        <w:rPr>
          <w:color w:val="auto"/>
        </w:rPr>
        <w:t>→</w:t>
      </w:r>
      <w:r>
        <w:rPr>
          <w:rFonts w:hint="eastAsia"/>
          <w:color w:val="auto"/>
        </w:rPr>
        <w:t>各中段探矿巷</w:t>
      </w:r>
      <w:r>
        <w:rPr>
          <w:color w:val="auto"/>
        </w:rPr>
        <w:t>→通风天井→</w:t>
      </w:r>
      <w:r>
        <w:rPr>
          <w:rFonts w:hint="eastAsia"/>
          <w:color w:val="auto"/>
        </w:rPr>
        <w:t>上中段探矿巷</w:t>
      </w:r>
      <w:r>
        <w:rPr>
          <w:color w:val="auto"/>
        </w:rPr>
        <w:t>→通风天井→+270m中段回风巷→通风天井→+320m中段总回风巷→地表。</w:t>
      </w:r>
    </w:p>
    <w:p w14:paraId="63A184AD">
      <w:pPr>
        <w:keepNext w:val="0"/>
        <w:keepLines w:val="0"/>
        <w:pageBreakBefore w:val="0"/>
        <w:widowControl w:val="0"/>
        <w:wordWrap/>
        <w:overflowPunct/>
        <w:topLinePunct w:val="0"/>
        <w:bidi w:val="0"/>
        <w:rPr>
          <w:rFonts w:hint="eastAsia"/>
          <w:color w:val="auto"/>
        </w:rPr>
      </w:pPr>
      <w:r>
        <w:rPr>
          <w:rFonts w:hint="eastAsia"/>
          <w:color w:val="auto"/>
          <w:lang w:val="en-US" w:eastAsia="zh-CN"/>
        </w:rPr>
        <w:t>+</w:t>
      </w:r>
      <w:r>
        <w:rPr>
          <w:rFonts w:hint="eastAsia"/>
          <w:color w:val="auto"/>
        </w:rPr>
        <w:t>270</w:t>
      </w:r>
      <w:r>
        <w:rPr>
          <w:rFonts w:hint="eastAsia"/>
          <w:color w:val="auto"/>
          <w:lang w:val="en-US" w:eastAsia="zh-CN"/>
        </w:rPr>
        <w:t>以上中段：</w:t>
      </w:r>
      <w:r>
        <w:rPr>
          <w:color w:val="auto"/>
        </w:rPr>
        <w:t>风流从37</w:t>
      </w:r>
      <w:r>
        <w:rPr>
          <w:rFonts w:hint="eastAsia"/>
          <w:color w:val="auto"/>
        </w:rPr>
        <w:t>0</w:t>
      </w:r>
      <w:r>
        <w:rPr>
          <w:color w:val="auto"/>
        </w:rPr>
        <w:t>平硐→</w:t>
      </w:r>
      <w:r>
        <w:rPr>
          <w:rFonts w:hint="eastAsia"/>
          <w:color w:val="auto"/>
        </w:rPr>
        <w:t>溜</w:t>
      </w:r>
      <w:r>
        <w:rPr>
          <w:color w:val="auto"/>
        </w:rPr>
        <w:t>井→+320m中段</w:t>
      </w:r>
      <w:r>
        <w:rPr>
          <w:rFonts w:hint="eastAsia"/>
          <w:color w:val="auto"/>
        </w:rPr>
        <w:t>巷</w:t>
      </w:r>
      <w:r>
        <w:rPr>
          <w:color w:val="auto"/>
        </w:rPr>
        <w:t>→+320m中段</w:t>
      </w:r>
      <w:r>
        <w:rPr>
          <w:rFonts w:hint="eastAsia"/>
          <w:color w:val="auto"/>
        </w:rPr>
        <w:t>巷</w:t>
      </w:r>
      <w:r>
        <w:rPr>
          <w:color w:val="auto"/>
        </w:rPr>
        <w:t>→地表。</w:t>
      </w:r>
    </w:p>
    <w:p w14:paraId="0BB34A0B">
      <w:pPr>
        <w:keepNext w:val="0"/>
        <w:keepLines w:val="0"/>
        <w:pageBreakBefore w:val="0"/>
        <w:widowControl w:val="0"/>
        <w:numPr>
          <w:ilvl w:val="0"/>
          <w:numId w:val="2"/>
        </w:numPr>
        <w:wordWrap/>
        <w:overflowPunct/>
        <w:topLinePunct w:val="0"/>
        <w:bidi w:val="0"/>
        <w:ind w:left="16" w:leftChars="0" w:firstLine="584" w:firstLineChars="0"/>
        <w:rPr>
          <w:rFonts w:hint="eastAsia"/>
          <w:color w:val="auto"/>
          <w:lang w:val="en-US" w:eastAsia="zh-CN"/>
        </w:rPr>
      </w:pPr>
      <w:r>
        <w:rPr>
          <w:rFonts w:hint="eastAsia"/>
          <w:color w:val="auto"/>
        </w:rPr>
        <w:t>运输</w:t>
      </w:r>
      <w:r>
        <w:rPr>
          <w:rFonts w:hint="eastAsia"/>
          <w:color w:val="auto"/>
          <w:lang w:val="en-US" w:eastAsia="zh-CN"/>
        </w:rPr>
        <w:t>系统</w:t>
      </w:r>
    </w:p>
    <w:p w14:paraId="0C9EF04A">
      <w:pPr>
        <w:keepNext w:val="0"/>
        <w:keepLines w:val="0"/>
        <w:pageBreakBefore w:val="0"/>
        <w:widowControl w:val="0"/>
        <w:wordWrap/>
        <w:overflowPunct/>
        <w:topLinePunct w:val="0"/>
        <w:bidi w:val="0"/>
        <w:rPr>
          <w:rFonts w:hint="default"/>
          <w:color w:val="auto"/>
          <w:lang w:val="en-US" w:eastAsia="zh-CN"/>
        </w:rPr>
      </w:pPr>
      <w:r>
        <w:rPr>
          <w:rFonts w:hint="eastAsia"/>
          <w:color w:val="auto"/>
          <w:lang w:val="en-US" w:eastAsia="zh-CN"/>
        </w:rPr>
        <w:t>+</w:t>
      </w:r>
      <w:r>
        <w:rPr>
          <w:rFonts w:hint="eastAsia"/>
          <w:color w:val="auto"/>
        </w:rPr>
        <w:t>270</w:t>
      </w:r>
      <w:r>
        <w:rPr>
          <w:rFonts w:hint="eastAsia"/>
          <w:color w:val="auto"/>
          <w:lang w:val="en-US" w:eastAsia="zh-CN"/>
        </w:rPr>
        <w:t>以上中段：</w:t>
      </w:r>
      <w:r>
        <w:rPr>
          <w:color w:val="auto"/>
        </w:rPr>
        <w:t>+370m、+320m中段探矿废石通过溜井下放至+270m中段，</w:t>
      </w:r>
      <w:r>
        <w:rPr>
          <w:rFonts w:hint="eastAsia"/>
          <w:color w:val="auto"/>
          <w:lang w:val="en-US" w:eastAsia="zh-CN"/>
        </w:rPr>
        <w:t>利用</w:t>
      </w:r>
      <w:r>
        <w:rPr>
          <w:rFonts w:hint="eastAsia"/>
          <w:color w:val="auto"/>
        </w:rPr>
        <w:t>采用</w:t>
      </w:r>
      <w:r>
        <w:rPr>
          <w:color w:val="auto"/>
        </w:rPr>
        <w:t>UQ-5</w:t>
      </w:r>
      <w:r>
        <w:rPr>
          <w:rFonts w:hint="eastAsia"/>
          <w:color w:val="auto"/>
        </w:rPr>
        <w:t>型无轨胶轮车</w:t>
      </w:r>
      <w:r>
        <w:rPr>
          <w:rFonts w:hint="eastAsia"/>
          <w:color w:val="auto"/>
          <w:lang w:val="en-US" w:eastAsia="zh-CN"/>
        </w:rPr>
        <w:t>通过+</w:t>
      </w:r>
      <w:r>
        <w:rPr>
          <w:rFonts w:hint="eastAsia"/>
          <w:color w:val="auto"/>
        </w:rPr>
        <w:t>270</w:t>
      </w:r>
      <w:r>
        <w:rPr>
          <w:rFonts w:hint="eastAsia"/>
          <w:color w:val="auto"/>
          <w:lang w:val="en-US" w:eastAsia="zh-CN"/>
        </w:rPr>
        <w:t>运输巷道运出地表。</w:t>
      </w:r>
    </w:p>
    <w:p w14:paraId="63CD8461">
      <w:pPr>
        <w:keepNext w:val="0"/>
        <w:keepLines w:val="0"/>
        <w:pageBreakBefore w:val="0"/>
        <w:widowControl w:val="0"/>
        <w:wordWrap/>
        <w:overflowPunct/>
        <w:topLinePunct w:val="0"/>
        <w:bidi w:val="0"/>
        <w:rPr>
          <w:color w:val="auto"/>
        </w:rPr>
      </w:pPr>
      <w:r>
        <w:rPr>
          <w:rFonts w:hint="eastAsia"/>
          <w:color w:val="auto"/>
          <w:lang w:val="en-US" w:eastAsia="zh-CN"/>
        </w:rPr>
        <w:t>+</w:t>
      </w:r>
      <w:r>
        <w:rPr>
          <w:rFonts w:hint="eastAsia"/>
          <w:color w:val="auto"/>
        </w:rPr>
        <w:t>270</w:t>
      </w:r>
      <w:r>
        <w:rPr>
          <w:rFonts w:hint="eastAsia"/>
          <w:color w:val="auto"/>
          <w:lang w:val="en-US" w:eastAsia="zh-CN"/>
        </w:rPr>
        <w:t>以下中段：</w:t>
      </w:r>
      <w:r>
        <w:rPr>
          <w:rFonts w:hint="default"/>
          <w:color w:val="auto"/>
        </w:rPr>
        <w:t>51线盲斜坡道作为+270m以下探矿中段</w:t>
      </w:r>
      <w:r>
        <w:rPr>
          <w:rFonts w:hint="eastAsia"/>
          <w:color w:val="auto"/>
          <w:lang w:val="en-US" w:eastAsia="zh-CN"/>
        </w:rPr>
        <w:t>的</w:t>
      </w:r>
      <w:r>
        <w:rPr>
          <w:rFonts w:hint="default"/>
          <w:color w:val="auto"/>
        </w:rPr>
        <w:t>专用运输通道，</w:t>
      </w:r>
      <w:r>
        <w:rPr>
          <w:rFonts w:hint="eastAsia"/>
          <w:color w:val="auto"/>
          <w:lang w:val="en-US" w:eastAsia="zh-CN"/>
        </w:rPr>
        <w:t>废石</w:t>
      </w:r>
      <w:r>
        <w:rPr>
          <w:rFonts w:hint="eastAsia"/>
          <w:color w:val="auto"/>
        </w:rPr>
        <w:t>采用</w:t>
      </w:r>
      <w:r>
        <w:rPr>
          <w:color w:val="auto"/>
        </w:rPr>
        <w:t>UQ-5</w:t>
      </w:r>
      <w:r>
        <w:rPr>
          <w:rFonts w:hint="eastAsia"/>
          <w:color w:val="auto"/>
        </w:rPr>
        <w:t>型无轨胶轮车</w:t>
      </w:r>
      <w:r>
        <w:rPr>
          <w:rFonts w:hint="eastAsia"/>
          <w:color w:val="auto"/>
          <w:lang w:val="en-US" w:eastAsia="zh-CN"/>
        </w:rPr>
        <w:t>运至</w:t>
      </w:r>
      <w:r>
        <w:rPr>
          <w:rFonts w:hint="default"/>
          <w:color w:val="auto"/>
        </w:rPr>
        <w:t>+270m</w:t>
      </w:r>
      <w:r>
        <w:rPr>
          <w:rFonts w:hint="eastAsia"/>
          <w:color w:val="auto"/>
          <w:lang w:val="en-US" w:eastAsia="zh-CN"/>
        </w:rPr>
        <w:t>后，通过+</w:t>
      </w:r>
      <w:r>
        <w:rPr>
          <w:rFonts w:hint="eastAsia"/>
          <w:color w:val="auto"/>
        </w:rPr>
        <w:t>270</w:t>
      </w:r>
      <w:r>
        <w:rPr>
          <w:rFonts w:hint="eastAsia"/>
          <w:color w:val="auto"/>
          <w:lang w:val="en-US" w:eastAsia="zh-CN"/>
        </w:rPr>
        <w:t>运输巷道运出地表。</w:t>
      </w:r>
    </w:p>
    <w:p w14:paraId="7F52D65B">
      <w:pPr>
        <w:keepNext w:val="0"/>
        <w:keepLines w:val="0"/>
        <w:pageBreakBefore w:val="0"/>
        <w:widowControl w:val="0"/>
        <w:numPr>
          <w:ilvl w:val="0"/>
          <w:numId w:val="2"/>
        </w:numPr>
        <w:wordWrap/>
        <w:overflowPunct/>
        <w:topLinePunct w:val="0"/>
        <w:bidi w:val="0"/>
        <w:ind w:left="0" w:leftChars="0" w:firstLine="592" w:firstLineChars="0"/>
        <w:rPr>
          <w:rFonts w:hint="eastAsia"/>
          <w:color w:val="auto"/>
          <w:lang w:val="en-US" w:eastAsia="zh-CN"/>
        </w:rPr>
      </w:pPr>
      <w:r>
        <w:rPr>
          <w:rFonts w:hint="eastAsia"/>
          <w:color w:val="auto"/>
          <w:lang w:val="en-US" w:eastAsia="zh-CN"/>
        </w:rPr>
        <w:t>排水系统</w:t>
      </w:r>
    </w:p>
    <w:p w14:paraId="692A52DB">
      <w:pPr>
        <w:keepNext w:val="0"/>
        <w:keepLines w:val="0"/>
        <w:pageBreakBefore w:val="0"/>
        <w:widowControl w:val="0"/>
        <w:wordWrap/>
        <w:overflowPunct/>
        <w:topLinePunct w:val="0"/>
        <w:bidi w:val="0"/>
        <w:rPr>
          <w:color w:val="auto"/>
        </w:rPr>
      </w:pPr>
      <w:r>
        <w:rPr>
          <w:color w:val="auto"/>
        </w:rPr>
        <w:t>+270m以上中段</w:t>
      </w:r>
      <w:r>
        <w:rPr>
          <w:rFonts w:hint="default"/>
          <w:color w:val="auto"/>
        </w:rPr>
        <w:t>：沿用现有自流排水系统，探矿巷道涌水通过水沟自流排入+270m平硐排水沟，排出地表</w:t>
      </w:r>
      <w:r>
        <w:rPr>
          <w:rFonts w:hint="eastAsia"/>
          <w:color w:val="auto"/>
          <w:lang w:eastAsia="zh-CN"/>
        </w:rPr>
        <w:t>。</w:t>
      </w:r>
    </w:p>
    <w:p w14:paraId="46A4A94D">
      <w:pPr>
        <w:keepNext w:val="0"/>
        <w:keepLines w:val="0"/>
        <w:pageBreakBefore w:val="0"/>
        <w:widowControl w:val="0"/>
        <w:wordWrap/>
        <w:overflowPunct/>
        <w:topLinePunct w:val="0"/>
        <w:bidi w:val="0"/>
        <w:rPr>
          <w:rFonts w:hint="eastAsia"/>
          <w:color w:val="auto"/>
        </w:rPr>
      </w:pPr>
      <w:r>
        <w:rPr>
          <w:rFonts w:hint="eastAsia"/>
          <w:color w:val="auto"/>
        </w:rPr>
        <w:t>+270m平硐以下</w:t>
      </w:r>
      <w:r>
        <w:rPr>
          <w:color w:val="auto"/>
        </w:rPr>
        <w:t>新建一级机械排水系统，在+70m中段设3台MD85-45×6型水泵（1用1备1修），通过2趟DN125排水管路将涌水抽排至+270m中段水沟，</w:t>
      </w:r>
      <w:r>
        <w:rPr>
          <w:rFonts w:hint="eastAsia"/>
          <w:color w:val="auto"/>
        </w:rPr>
        <w:t>即由+70m中段排至+270m平硐排水沟，再沿平硐排水沟自流出井外。</w:t>
      </w:r>
    </w:p>
    <w:p w14:paraId="30B6F81F">
      <w:pPr>
        <w:keepNext w:val="0"/>
        <w:keepLines w:val="0"/>
        <w:pageBreakBefore w:val="0"/>
        <w:widowControl w:val="0"/>
        <w:numPr>
          <w:ilvl w:val="0"/>
          <w:numId w:val="2"/>
        </w:numPr>
        <w:wordWrap/>
        <w:overflowPunct/>
        <w:topLinePunct w:val="0"/>
        <w:bidi w:val="0"/>
        <w:ind w:left="0" w:leftChars="0" w:firstLine="592" w:firstLineChars="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供气系统</w:t>
      </w:r>
    </w:p>
    <w:p w14:paraId="61860CA3">
      <w:pPr>
        <w:keepNext w:val="0"/>
        <w:keepLines w:val="0"/>
        <w:pageBreakBefore w:val="0"/>
        <w:widowControl w:val="0"/>
        <w:wordWrap/>
        <w:overflowPunct/>
        <w:topLinePunct w:val="0"/>
        <w:bidi w:val="0"/>
        <w:rPr>
          <w:rFonts w:hint="default"/>
          <w:color w:val="auto"/>
          <w:lang w:val="en-US" w:eastAsia="zh-CN"/>
        </w:rPr>
      </w:pPr>
      <w:r>
        <w:rPr>
          <w:rFonts w:hint="eastAsia"/>
          <w:color w:val="auto"/>
          <w:lang w:val="en-US" w:eastAsia="zh-CN"/>
        </w:rPr>
        <w:t>探矿工程供气系统利用矿山现有供气系统，矿山现有供气系统能满足矿山生产和探矿工程供气需求。</w:t>
      </w:r>
    </w:p>
    <w:p w14:paraId="215BC4A7">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2）施工情况</w:t>
      </w:r>
    </w:p>
    <w:p w14:paraId="1A82E70D">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目前在+270m中段25线--17线主巷道掘进约160m，+270m中段23线掘进穿脉12m、沿脉15m，19线掘进3条穿脉共约20m、3条沿脉共约105米，17线掘进穿脉约25m。</w:t>
      </w:r>
    </w:p>
    <w:p w14:paraId="2F8FB7BA">
      <w:pPr>
        <w:keepNext w:val="0"/>
        <w:keepLines w:val="0"/>
        <w:pageBreakBefore w:val="0"/>
        <w:widowControl w:val="0"/>
        <w:wordWrap/>
        <w:overflowPunct/>
        <w:topLinePunct w:val="0"/>
        <w:bidi w:val="0"/>
        <w:rPr>
          <w:rFonts w:hint="default"/>
          <w:color w:val="auto"/>
          <w:lang w:val="en-US" w:eastAsia="zh-CN"/>
        </w:rPr>
      </w:pPr>
      <w:r>
        <w:rPr>
          <w:rFonts w:hint="eastAsia"/>
          <w:color w:val="auto"/>
          <w:lang w:val="en-US" w:eastAsia="zh-CN"/>
        </w:rPr>
        <w:t>3）坑探工程与当前生产的不利影响及对策措施</w:t>
      </w:r>
    </w:p>
    <w:p w14:paraId="382AC913">
      <w:pPr>
        <w:keepNext w:val="0"/>
        <w:keepLines w:val="0"/>
        <w:pageBreakBefore w:val="0"/>
        <w:widowControl w:val="0"/>
        <w:wordWrap/>
        <w:overflowPunct/>
        <w:topLinePunct w:val="0"/>
        <w:bidi w:val="0"/>
        <w:rPr>
          <w:rFonts w:hint="eastAsia"/>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通风</w:t>
      </w:r>
    </w:p>
    <w:p w14:paraId="44218764">
      <w:pPr>
        <w:keepNext w:val="0"/>
        <w:keepLines w:val="0"/>
        <w:pageBreakBefore w:val="0"/>
        <w:widowControl w:val="0"/>
        <w:wordWrap/>
        <w:overflowPunct/>
        <w:topLinePunct w:val="0"/>
        <w:bidi w:val="0"/>
        <w:rPr>
          <w:rFonts w:hint="eastAsia" w:eastAsia="宋体"/>
          <w:color w:val="auto"/>
          <w:lang w:eastAsia="zh-CN"/>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color w:val="auto"/>
        </w:rPr>
        <w:t>探矿穿脉巷道施工时若未及时设置风墙、风门</w:t>
      </w:r>
      <w:r>
        <w:rPr>
          <w:rFonts w:hint="eastAsia"/>
          <w:color w:val="auto"/>
          <w:lang w:val="en-US" w:eastAsia="zh-CN"/>
        </w:rPr>
        <w:t>等设施</w:t>
      </w:r>
      <w:r>
        <w:rPr>
          <w:color w:val="auto"/>
        </w:rPr>
        <w:t>，可能导致现有采矿工作面风量不足，需建立通风设施同步施工机制</w:t>
      </w:r>
      <w:r>
        <w:rPr>
          <w:rFonts w:hint="eastAsia"/>
          <w:color w:val="auto"/>
          <w:lang w:eastAsia="zh-CN"/>
        </w:rPr>
        <w:t>。</w:t>
      </w:r>
    </w:p>
    <w:p w14:paraId="5A3AA75E">
      <w:pPr>
        <w:keepNext w:val="0"/>
        <w:keepLines w:val="0"/>
        <w:pageBreakBefore w:val="0"/>
        <w:widowControl w:val="0"/>
        <w:kinsoku/>
        <w:wordWrap/>
        <w:overflowPunct/>
        <w:topLinePunct w:val="0"/>
        <w:autoSpaceDE/>
        <w:autoSpaceDN/>
        <w:bidi w:val="0"/>
        <w:adjustRightInd/>
        <w:snapToGrid/>
        <w:ind w:firstLine="560"/>
        <w:textAlignment w:val="auto"/>
        <w:rPr>
          <w:rFonts w:hint="default" w:ascii="Times New Roman" w:hAnsi="Times New Roman" w:eastAsia="宋体" w:cs="Times New Roman"/>
          <w:color w:val="auto"/>
          <w:szCs w:val="28"/>
          <w:lang w:val="en-US" w:eastAsia="zh-CN"/>
        </w:rPr>
      </w:pPr>
      <w:r>
        <w:rPr>
          <w:rFonts w:hint="default"/>
          <w:color w:val="auto"/>
        </w:rPr>
        <w:fldChar w:fldCharType="begin"/>
      </w:r>
      <w:r>
        <w:rPr>
          <w:rFonts w:hint="default"/>
          <w:color w:val="auto"/>
        </w:rPr>
        <w:instrText xml:space="preserve"> = 2 \* GB3 \* MERGEFORMAT </w:instrText>
      </w:r>
      <w:r>
        <w:rPr>
          <w:rFonts w:hint="default"/>
          <w:color w:val="auto"/>
        </w:rPr>
        <w:fldChar w:fldCharType="separate"/>
      </w:r>
      <w:r>
        <w:rPr>
          <w:color w:val="auto"/>
        </w:rPr>
        <w:t>②</w:t>
      </w:r>
      <w:r>
        <w:rPr>
          <w:rFonts w:hint="default"/>
          <w:color w:val="auto"/>
        </w:rPr>
        <w:fldChar w:fldCharType="end"/>
      </w:r>
      <w:r>
        <w:rPr>
          <w:rFonts w:hint="default"/>
          <w:color w:val="auto"/>
        </w:rPr>
        <w:t>采矿与探矿作业面爆破时，可能出现炮烟</w:t>
      </w:r>
      <w:r>
        <w:rPr>
          <w:rFonts w:hint="eastAsia"/>
          <w:color w:val="auto"/>
          <w:lang w:val="en-US" w:eastAsia="zh-CN"/>
        </w:rPr>
        <w:t>互相</w:t>
      </w:r>
      <w:r>
        <w:rPr>
          <w:rFonts w:hint="default"/>
          <w:color w:val="auto"/>
        </w:rPr>
        <w:t>污染，</w:t>
      </w:r>
      <w:r>
        <w:rPr>
          <w:rFonts w:hint="eastAsia" w:ascii="Times New Roman" w:hAnsi="Times New Roman" w:eastAsia="宋体" w:cs="Times New Roman"/>
          <w:color w:val="auto"/>
          <w:szCs w:val="28"/>
          <w:lang w:val="en-US" w:eastAsia="zh-CN"/>
        </w:rPr>
        <w:t>因此爆破作业前，须相互通知对方人员撤离至通风良好处，炮烟散净进入作业面时，须检测空气质量且符合安全规程要求。</w:t>
      </w:r>
    </w:p>
    <w:p w14:paraId="0C88C0F3">
      <w:pPr>
        <w:keepNext w:val="0"/>
        <w:keepLines w:val="0"/>
        <w:pageBreakBefore w:val="0"/>
        <w:widowControl w:val="0"/>
        <w:wordWrap/>
        <w:overflowPunct/>
        <w:topLinePunct w:val="0"/>
        <w:bidi w:val="0"/>
        <w:rPr>
          <w:rFonts w:hint="default" w:eastAsia="宋体"/>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运输</w:t>
      </w:r>
    </w:p>
    <w:p w14:paraId="32440245">
      <w:pPr>
        <w:keepNext w:val="0"/>
        <w:keepLines w:val="0"/>
        <w:pageBreakBefore w:val="0"/>
        <w:widowControl w:val="0"/>
        <w:wordWrap/>
        <w:overflowPunct/>
        <w:topLinePunct w:val="0"/>
        <w:bidi w:val="0"/>
        <w:rPr>
          <w:rFonts w:hint="eastAsia"/>
          <w:color w:val="auto"/>
          <w:lang w:eastAsia="zh-CN"/>
        </w:rPr>
      </w:pPr>
      <w:r>
        <w:rPr>
          <w:color w:val="auto"/>
        </w:rPr>
        <w:t>主平硐车流量</w:t>
      </w:r>
      <w:r>
        <w:rPr>
          <w:rFonts w:hint="eastAsia"/>
          <w:color w:val="auto"/>
          <w:lang w:val="en-US" w:eastAsia="zh-CN"/>
        </w:rPr>
        <w:t>增加</w:t>
      </w:r>
      <w:r>
        <w:rPr>
          <w:color w:val="auto"/>
        </w:rPr>
        <w:t>，</w:t>
      </w:r>
      <w:r>
        <w:rPr>
          <w:rFonts w:hint="default"/>
          <w:color w:val="auto"/>
        </w:rPr>
        <w:t>人车混行风险增大，需严格执行</w:t>
      </w:r>
      <w:r>
        <w:rPr>
          <w:rFonts w:hint="eastAsia"/>
          <w:color w:val="auto"/>
          <w:lang w:eastAsia="zh-CN"/>
        </w:rPr>
        <w:t>“</w:t>
      </w:r>
      <w:r>
        <w:rPr>
          <w:rFonts w:hint="default"/>
          <w:color w:val="auto"/>
        </w:rPr>
        <w:t>行人不行车、行车不行人</w:t>
      </w:r>
      <w:r>
        <w:rPr>
          <w:rFonts w:hint="eastAsia"/>
          <w:color w:val="auto"/>
          <w:lang w:eastAsia="zh-CN"/>
        </w:rPr>
        <w:t>”</w:t>
      </w:r>
      <w:r>
        <w:rPr>
          <w:rFonts w:hint="default"/>
          <w:color w:val="auto"/>
        </w:rPr>
        <w:t>制度</w:t>
      </w:r>
      <w:r>
        <w:rPr>
          <w:rFonts w:hint="eastAsia"/>
          <w:color w:val="auto"/>
          <w:lang w:val="en-US" w:eastAsia="zh-CN"/>
        </w:rPr>
        <w:t>和</w:t>
      </w:r>
      <w:r>
        <w:rPr>
          <w:color w:val="auto"/>
        </w:rPr>
        <w:t>建立统一生产调度制度</w:t>
      </w:r>
      <w:r>
        <w:rPr>
          <w:rFonts w:hint="eastAsia"/>
          <w:color w:val="auto"/>
          <w:lang w:eastAsia="zh-CN"/>
        </w:rPr>
        <w:t>，</w:t>
      </w:r>
      <w:r>
        <w:rPr>
          <w:color w:val="auto"/>
        </w:rPr>
        <w:t>避免运输安排冲突</w:t>
      </w:r>
      <w:r>
        <w:rPr>
          <w:rFonts w:hint="eastAsia"/>
          <w:color w:val="auto"/>
          <w:lang w:eastAsia="zh-CN"/>
        </w:rPr>
        <w:t>。</w:t>
      </w:r>
    </w:p>
    <w:p w14:paraId="4DB1A5BB">
      <w:pPr>
        <w:keepNext w:val="0"/>
        <w:keepLines w:val="0"/>
        <w:pageBreakBefore w:val="0"/>
        <w:widowControl w:val="0"/>
        <w:numPr>
          <w:ilvl w:val="0"/>
          <w:numId w:val="2"/>
        </w:numPr>
        <w:wordWrap/>
        <w:overflowPunct/>
        <w:topLinePunct w:val="0"/>
        <w:bidi w:val="0"/>
        <w:ind w:left="16" w:leftChars="0" w:firstLine="584" w:firstLineChars="0"/>
        <w:rPr>
          <w:rFonts w:hint="eastAsia"/>
          <w:color w:val="auto"/>
          <w:lang w:val="en-US" w:eastAsia="zh-CN"/>
        </w:rPr>
      </w:pPr>
      <w:r>
        <w:rPr>
          <w:rFonts w:hint="eastAsia"/>
          <w:color w:val="auto"/>
          <w:lang w:val="en-US" w:eastAsia="zh-CN"/>
        </w:rPr>
        <w:t>排水</w:t>
      </w:r>
    </w:p>
    <w:p w14:paraId="352A6DFC">
      <w:pPr>
        <w:keepNext w:val="0"/>
        <w:keepLines w:val="0"/>
        <w:pageBreakBefore w:val="0"/>
        <w:widowControl w:val="0"/>
        <w:wordWrap/>
        <w:overflowPunct/>
        <w:topLinePunct w:val="0"/>
        <w:bidi w:val="0"/>
        <w:rPr>
          <w:rFonts w:hint="eastAsia" w:eastAsia="宋体"/>
          <w:color w:val="auto"/>
          <w:lang w:val="en-US" w:eastAsia="zh-CN"/>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rFonts w:hint="eastAsia"/>
          <w:color w:val="auto"/>
          <w:lang w:val="en-US" w:eastAsia="zh-CN"/>
        </w:rPr>
        <w:t>因</w:t>
      </w:r>
      <w:r>
        <w:rPr>
          <w:color w:val="auto"/>
        </w:rPr>
        <w:t>+270m平硐排水沟</w:t>
      </w:r>
      <w:r>
        <w:rPr>
          <w:rFonts w:hint="eastAsia"/>
          <w:color w:val="auto"/>
          <w:lang w:val="en-US" w:eastAsia="zh-CN"/>
        </w:rPr>
        <w:t>增加了</w:t>
      </w:r>
      <w:r>
        <w:rPr>
          <w:color w:val="auto"/>
        </w:rPr>
        <w:t>探矿系统排水量，需对现有+270m平硐排水沟进行清淤扩容，防止溢流</w:t>
      </w:r>
      <w:r>
        <w:rPr>
          <w:rFonts w:hint="eastAsia"/>
          <w:color w:val="auto"/>
          <w:lang w:eastAsia="zh-CN"/>
        </w:rPr>
        <w:t>。</w:t>
      </w:r>
    </w:p>
    <w:p w14:paraId="5E161878">
      <w:pPr>
        <w:keepNext w:val="0"/>
        <w:keepLines w:val="0"/>
        <w:pageBreakBefore w:val="0"/>
        <w:widowControl w:val="0"/>
        <w:wordWrap/>
        <w:overflowPunct/>
        <w:topLinePunct w:val="0"/>
        <w:bidi w:val="0"/>
        <w:rPr>
          <w:rFonts w:hint="eastAsia"/>
          <w:color w:val="auto"/>
          <w:lang w:eastAsia="zh-CN"/>
        </w:rPr>
      </w:pPr>
      <w:r>
        <w:rPr>
          <w:rFonts w:hint="default"/>
          <w:color w:val="auto"/>
        </w:rPr>
        <w:fldChar w:fldCharType="begin"/>
      </w:r>
      <w:r>
        <w:rPr>
          <w:rFonts w:hint="default"/>
          <w:color w:val="auto"/>
        </w:rPr>
        <w:instrText xml:space="preserve"> = 2 \* GB3 \* MERGEFORMAT </w:instrText>
      </w:r>
      <w:r>
        <w:rPr>
          <w:rFonts w:hint="default"/>
          <w:color w:val="auto"/>
        </w:rPr>
        <w:fldChar w:fldCharType="separate"/>
      </w:r>
      <w:r>
        <w:rPr>
          <w:color w:val="auto"/>
        </w:rPr>
        <w:t>②</w:t>
      </w:r>
      <w:r>
        <w:rPr>
          <w:rFonts w:hint="default"/>
          <w:color w:val="auto"/>
        </w:rPr>
        <w:fldChar w:fldCharType="end"/>
      </w:r>
      <w:r>
        <w:rPr>
          <w:rFonts w:hint="default"/>
          <w:color w:val="auto"/>
        </w:rPr>
        <w:t>若探矿工作面</w:t>
      </w:r>
      <w:r>
        <w:rPr>
          <w:rFonts w:hint="eastAsia"/>
          <w:color w:val="auto"/>
          <w:lang w:val="en-US" w:eastAsia="zh-CN"/>
        </w:rPr>
        <w:t>有</w:t>
      </w:r>
      <w:r>
        <w:rPr>
          <w:rFonts w:hint="default"/>
          <w:color w:val="auto"/>
        </w:rPr>
        <w:t>发生突水</w:t>
      </w:r>
      <w:r>
        <w:rPr>
          <w:rFonts w:hint="eastAsia"/>
          <w:color w:val="auto"/>
          <w:lang w:val="en-US" w:eastAsia="zh-CN"/>
        </w:rPr>
        <w:t>征兆</w:t>
      </w:r>
      <w:r>
        <w:rPr>
          <w:rFonts w:hint="default"/>
          <w:color w:val="auto"/>
        </w:rPr>
        <w:t>，可能通过巷道网络涌入现有采矿中段，需严格执行</w:t>
      </w:r>
      <w:r>
        <w:rPr>
          <w:rFonts w:hint="eastAsia"/>
          <w:color w:val="auto"/>
          <w:lang w:eastAsia="zh-CN"/>
        </w:rPr>
        <w:t>“</w:t>
      </w:r>
      <w:r>
        <w:rPr>
          <w:rFonts w:hint="default"/>
          <w:color w:val="auto"/>
        </w:rPr>
        <w:t>有疑必探、先探后掘</w:t>
      </w:r>
      <w:r>
        <w:rPr>
          <w:rFonts w:hint="eastAsia"/>
          <w:color w:val="auto"/>
          <w:lang w:eastAsia="zh-CN"/>
        </w:rPr>
        <w:t>”</w:t>
      </w:r>
      <w:r>
        <w:rPr>
          <w:rFonts w:hint="default"/>
          <w:color w:val="auto"/>
        </w:rPr>
        <w:t>制度</w:t>
      </w:r>
      <w:r>
        <w:rPr>
          <w:rFonts w:hint="eastAsia"/>
          <w:color w:val="auto"/>
          <w:lang w:eastAsia="zh-CN"/>
        </w:rPr>
        <w:t>。</w:t>
      </w:r>
    </w:p>
    <w:p w14:paraId="26FC1D9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（5）爆破作业</w:t>
      </w:r>
    </w:p>
    <w:p w14:paraId="1F1D1498">
      <w:pPr>
        <w:keepNext w:val="0"/>
        <w:keepLines w:val="0"/>
        <w:pageBreakBefore w:val="0"/>
        <w:widowControl w:val="0"/>
        <w:wordWrap/>
        <w:overflowPunct/>
        <w:topLinePunct w:val="0"/>
        <w:bidi w:val="0"/>
        <w:rPr>
          <w:rFonts w:hint="eastAsia"/>
          <w:color w:val="auto"/>
          <w:lang w:val="en-US" w:eastAsia="zh-CN"/>
        </w:rPr>
      </w:pPr>
      <w:r>
        <w:rPr>
          <w:color w:val="auto"/>
          <w:spacing w:val="-6"/>
          <w:sz w:val="28"/>
        </w:rPr>
        <w:t>探矿爆破震动可能诱发现有采空区失稳</w:t>
      </w:r>
      <w:r>
        <w:rPr>
          <w:rFonts w:hint="eastAsia"/>
          <w:color w:val="auto"/>
          <w:spacing w:val="-6"/>
          <w:sz w:val="28"/>
          <w:lang w:eastAsia="zh-CN"/>
        </w:rPr>
        <w:t>，</w:t>
      </w:r>
      <w:r>
        <w:rPr>
          <w:rFonts w:hint="eastAsia"/>
          <w:color w:val="auto"/>
          <w:spacing w:val="-6"/>
          <w:sz w:val="28"/>
          <w:lang w:val="en-US" w:eastAsia="zh-CN"/>
        </w:rPr>
        <w:t>因此靠近</w:t>
      </w:r>
      <w:r>
        <w:rPr>
          <w:color w:val="auto"/>
          <w:spacing w:val="-6"/>
          <w:sz w:val="28"/>
        </w:rPr>
        <w:t>+320m、+270m中段现有采空区爆破</w:t>
      </w:r>
      <w:r>
        <w:rPr>
          <w:rFonts w:hint="eastAsia"/>
          <w:color w:val="auto"/>
          <w:spacing w:val="-6"/>
          <w:sz w:val="28"/>
          <w:lang w:val="en-US" w:eastAsia="zh-CN"/>
        </w:rPr>
        <w:t>作业时，须做好爆破设计，并按爆破设计控制</w:t>
      </w:r>
      <w:r>
        <w:rPr>
          <w:color w:val="auto"/>
          <w:spacing w:val="-6"/>
          <w:sz w:val="28"/>
        </w:rPr>
        <w:t>最大单段药量</w:t>
      </w:r>
      <w:r>
        <w:rPr>
          <w:rFonts w:hint="eastAsia"/>
          <w:color w:val="auto"/>
          <w:spacing w:val="-6"/>
          <w:sz w:val="28"/>
          <w:lang w:eastAsia="zh-CN"/>
        </w:rPr>
        <w:t>。</w:t>
      </w:r>
    </w:p>
    <w:p w14:paraId="70464015">
      <w:pPr>
        <w:pStyle w:val="3"/>
        <w:keepNext w:val="0"/>
        <w:keepLines w:val="0"/>
        <w:pageBreakBefore w:val="0"/>
        <w:widowControl w:val="0"/>
        <w:wordWrap/>
        <w:overflowPunct/>
        <w:topLinePunct w:val="0"/>
        <w:bidi w:val="0"/>
        <w:spacing w:before="0" w:beforeLines="0" w:after="0" w:afterLines="0"/>
        <w:rPr>
          <w:rFonts w:hint="eastAsia"/>
          <w:color w:val="auto"/>
          <w:lang w:val="en-US" w:eastAsia="zh-CN"/>
        </w:rPr>
      </w:pPr>
      <w:bookmarkStart w:id="694" w:name="_Toc25658"/>
      <w:bookmarkStart w:id="695" w:name="_Toc9834"/>
      <w:bookmarkStart w:id="696" w:name="_Toc293"/>
      <w:bookmarkStart w:id="697" w:name="_Toc4981"/>
      <w:bookmarkStart w:id="698" w:name="_Toc6488"/>
      <w:bookmarkStart w:id="699" w:name="_Toc15541"/>
      <w:bookmarkStart w:id="700" w:name="_Toc5016"/>
      <w:bookmarkStart w:id="701" w:name="_Toc20913"/>
      <w:bookmarkStart w:id="702" w:name="_Toc12746"/>
      <w:bookmarkStart w:id="703" w:name="_Toc8644"/>
      <w:bookmarkStart w:id="704" w:name="_Toc19362"/>
      <w:r>
        <w:rPr>
          <w:rFonts w:hint="eastAsia"/>
          <w:color w:val="auto"/>
          <w:lang w:val="en-US" w:eastAsia="zh-CN"/>
        </w:rPr>
        <w:t>3.7 重大生产安全事故隐患判定</w:t>
      </w:r>
      <w:bookmarkEnd w:id="694"/>
      <w:bookmarkEnd w:id="695"/>
      <w:bookmarkEnd w:id="696"/>
      <w:bookmarkEnd w:id="697"/>
      <w:bookmarkEnd w:id="698"/>
      <w:bookmarkEnd w:id="699"/>
      <w:bookmarkEnd w:id="700"/>
      <w:bookmarkEnd w:id="701"/>
      <w:bookmarkEnd w:id="702"/>
      <w:bookmarkEnd w:id="703"/>
      <w:bookmarkEnd w:id="704"/>
    </w:p>
    <w:p w14:paraId="3F2700DB">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705" w:name="_Toc20742"/>
      <w:bookmarkStart w:id="706" w:name="_Toc2113"/>
      <w:r>
        <w:rPr>
          <w:rFonts w:hint="eastAsia"/>
          <w:color w:val="auto"/>
          <w:lang w:val="en-US" w:eastAsia="zh-CN"/>
        </w:rPr>
        <w:t>3.7.1重大生产安全事故隐患辩识与分析</w:t>
      </w:r>
      <w:bookmarkEnd w:id="705"/>
      <w:bookmarkEnd w:id="706"/>
    </w:p>
    <w:p w14:paraId="7ECC3030">
      <w:pPr>
        <w:keepNext w:val="0"/>
        <w:keepLines w:val="0"/>
        <w:pageBreakBefore w:val="0"/>
        <w:widowControl w:val="0"/>
        <w:wordWrap/>
        <w:overflowPunct/>
        <w:topLinePunct w:val="0"/>
        <w:bidi w:val="0"/>
        <w:rPr>
          <w:rFonts w:hint="default"/>
          <w:color w:val="auto"/>
          <w:lang w:val="en-US" w:eastAsia="zh-CN"/>
        </w:rPr>
      </w:pPr>
      <w:r>
        <w:rPr>
          <w:rFonts w:hint="eastAsia"/>
          <w:color w:val="auto"/>
        </w:rPr>
        <w:t>根据国家安全监管总局关于印发《金属非金属矿山重大事故隐患判定标准》的通知要求（矿安〔2022〕88号）及《金属非金属矿山重大事故隐患判定标准补充情形》的通知（矿安〔2024〕41 号）的要求，对矿山进行</w:t>
      </w:r>
      <w:r>
        <w:rPr>
          <w:rFonts w:hint="eastAsia"/>
          <w:color w:val="auto"/>
          <w:lang w:eastAsia="zh-CN"/>
        </w:rPr>
        <w:t>生产</w:t>
      </w:r>
      <w:r>
        <w:rPr>
          <w:rFonts w:hint="eastAsia"/>
          <w:color w:val="auto"/>
        </w:rPr>
        <w:t>作业有可存在的重大隐患进行分析，编制了该矿山重大生产安全事故隐患分析，见表3-</w:t>
      </w:r>
      <w:r>
        <w:rPr>
          <w:rFonts w:hint="eastAsia"/>
          <w:color w:val="auto"/>
          <w:lang w:val="en-US" w:eastAsia="zh-CN"/>
        </w:rPr>
        <w:t>1</w:t>
      </w:r>
      <w:r>
        <w:rPr>
          <w:rFonts w:hint="eastAsia"/>
          <w:color w:val="auto"/>
        </w:rPr>
        <w:t>：</w:t>
      </w:r>
    </w:p>
    <w:p w14:paraId="5810A525">
      <w:pPr>
        <w:bidi w:val="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表 3-1   重大事故隐患判定表</w:t>
      </w:r>
    </w:p>
    <w:tbl>
      <w:tblPr>
        <w:tblStyle w:val="18"/>
        <w:tblW w:w="9276" w:type="dxa"/>
        <w:tblInd w:w="13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23"/>
        <w:gridCol w:w="4616"/>
        <w:gridCol w:w="3024"/>
        <w:gridCol w:w="913"/>
      </w:tblGrid>
      <w:tr w14:paraId="43F4F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3" w:type="dxa"/>
            <w:tcBorders>
              <w:top w:val="single" w:color="auto" w:sz="12" w:space="0"/>
              <w:left w:val="single" w:color="auto" w:sz="12" w:space="0"/>
              <w:bottom w:val="single" w:color="auto" w:sz="4" w:space="0"/>
              <w:right w:val="single" w:color="auto" w:sz="4" w:space="0"/>
            </w:tcBorders>
            <w:noWrap w:val="0"/>
            <w:vAlign w:val="center"/>
          </w:tcPr>
          <w:p w14:paraId="1630440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序号</w:t>
            </w:r>
          </w:p>
        </w:tc>
        <w:tc>
          <w:tcPr>
            <w:tcW w:w="4616" w:type="dxa"/>
            <w:tcBorders>
              <w:top w:val="single" w:color="auto" w:sz="12" w:space="0"/>
              <w:left w:val="single" w:color="auto" w:sz="4" w:space="0"/>
              <w:bottom w:val="single" w:color="auto" w:sz="4" w:space="0"/>
              <w:right w:val="single" w:color="auto" w:sz="4" w:space="0"/>
            </w:tcBorders>
            <w:noWrap w:val="0"/>
            <w:vAlign w:val="center"/>
          </w:tcPr>
          <w:p w14:paraId="7A4AEF2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20" w:firstLineChars="200"/>
              <w:jc w:val="both"/>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地下矿山重大生产安全事故隐患标准</w:t>
            </w:r>
          </w:p>
        </w:tc>
        <w:tc>
          <w:tcPr>
            <w:tcW w:w="3024" w:type="dxa"/>
            <w:tcBorders>
              <w:top w:val="single" w:color="auto" w:sz="12" w:space="0"/>
              <w:left w:val="single" w:color="auto" w:sz="4" w:space="0"/>
              <w:bottom w:val="single" w:color="auto" w:sz="4" w:space="0"/>
              <w:right w:val="single" w:color="auto" w:sz="12" w:space="0"/>
            </w:tcBorders>
            <w:noWrap w:val="0"/>
            <w:vAlign w:val="center"/>
          </w:tcPr>
          <w:p w14:paraId="54AD550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20" w:firstLineChars="200"/>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检查结果</w:t>
            </w:r>
          </w:p>
        </w:tc>
        <w:tc>
          <w:tcPr>
            <w:tcW w:w="913" w:type="dxa"/>
            <w:tcBorders>
              <w:top w:val="single" w:color="auto" w:sz="12" w:space="0"/>
              <w:left w:val="single" w:color="auto" w:sz="4" w:space="0"/>
              <w:bottom w:val="single" w:color="auto" w:sz="4" w:space="0"/>
              <w:right w:val="single" w:color="auto" w:sz="12" w:space="0"/>
            </w:tcBorders>
            <w:noWrap w:val="0"/>
            <w:vAlign w:val="center"/>
          </w:tcPr>
          <w:p w14:paraId="02A2C20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sz w:val="21"/>
                <w:szCs w:val="21"/>
                <w:vertAlign w:val="baseline"/>
                <w:lang w:val="en-US" w:eastAsia="zh-CN"/>
              </w:rPr>
              <w:t>是否重大隐患</w:t>
            </w:r>
          </w:p>
        </w:tc>
      </w:tr>
      <w:tr w14:paraId="711BB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3" w:type="dxa"/>
            <w:tcBorders>
              <w:top w:val="single" w:color="auto" w:sz="12" w:space="0"/>
              <w:left w:val="single" w:color="auto" w:sz="12" w:space="0"/>
              <w:bottom w:val="single" w:color="auto" w:sz="4" w:space="0"/>
              <w:right w:val="single" w:color="auto" w:sz="4" w:space="0"/>
            </w:tcBorders>
            <w:noWrap w:val="0"/>
            <w:vAlign w:val="center"/>
          </w:tcPr>
          <w:p w14:paraId="0A976D8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w:t>
            </w:r>
          </w:p>
        </w:tc>
        <w:tc>
          <w:tcPr>
            <w:tcW w:w="4616" w:type="dxa"/>
            <w:tcBorders>
              <w:top w:val="single" w:color="auto" w:sz="12" w:space="0"/>
              <w:left w:val="single" w:color="auto" w:sz="4" w:space="0"/>
              <w:bottom w:val="single" w:color="auto" w:sz="4" w:space="0"/>
              <w:right w:val="single" w:color="auto" w:sz="4" w:space="0"/>
            </w:tcBorders>
            <w:noWrap w:val="0"/>
            <w:vAlign w:val="center"/>
          </w:tcPr>
          <w:p w14:paraId="6448992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安全出口存在下列情形之一的：</w:t>
            </w:r>
            <w:r>
              <w:rPr>
                <w:rFonts w:hint="eastAsia" w:ascii="Times New Roman" w:hAnsi="Times New Roman"/>
                <w:color w:val="auto"/>
                <w:sz w:val="21"/>
                <w:szCs w:val="21"/>
              </w:rPr>
              <w:t>1</w:t>
            </w:r>
            <w:r>
              <w:rPr>
                <w:rFonts w:hint="eastAsia" w:ascii="宋体" w:hAnsi="宋体"/>
                <w:color w:val="auto"/>
                <w:sz w:val="21"/>
                <w:szCs w:val="21"/>
              </w:rPr>
              <w:t>）矿井直达地面的独立安全出口少于</w:t>
            </w:r>
            <w:r>
              <w:rPr>
                <w:rFonts w:hint="eastAsia" w:ascii="Times New Roman" w:hAnsi="Times New Roman"/>
                <w:color w:val="auto"/>
                <w:sz w:val="21"/>
                <w:szCs w:val="21"/>
              </w:rPr>
              <w:t>2</w:t>
            </w:r>
            <w:r>
              <w:rPr>
                <w:rFonts w:hint="eastAsia" w:ascii="宋体" w:hAnsi="宋体"/>
                <w:color w:val="auto"/>
                <w:sz w:val="21"/>
                <w:szCs w:val="21"/>
              </w:rPr>
              <w:t>个，或者与设计不一致；</w:t>
            </w:r>
            <w:r>
              <w:rPr>
                <w:rFonts w:hint="eastAsia" w:ascii="Times New Roman" w:hAnsi="Times New Roman"/>
                <w:color w:val="auto"/>
                <w:sz w:val="21"/>
                <w:szCs w:val="21"/>
              </w:rPr>
              <w:t>2</w:t>
            </w:r>
            <w:r>
              <w:rPr>
                <w:rFonts w:hint="eastAsia" w:ascii="宋体" w:hAnsi="宋体"/>
                <w:color w:val="auto"/>
                <w:sz w:val="21"/>
                <w:szCs w:val="21"/>
              </w:rPr>
              <w:t>）矿井只有两个独立直达地面的安全出口且安全出口的间距小于</w:t>
            </w:r>
            <w:r>
              <w:rPr>
                <w:rFonts w:hint="eastAsia" w:ascii="Times New Roman" w:hAnsi="Times New Roman"/>
                <w:color w:val="auto"/>
                <w:sz w:val="21"/>
                <w:szCs w:val="21"/>
              </w:rPr>
              <w:t>30</w:t>
            </w:r>
            <w:r>
              <w:rPr>
                <w:rFonts w:hint="eastAsia" w:ascii="宋体" w:hAnsi="宋体"/>
                <w:color w:val="auto"/>
                <w:sz w:val="21"/>
                <w:szCs w:val="21"/>
              </w:rPr>
              <w:t>米，或者一翼走向长度超过</w:t>
            </w:r>
            <w:r>
              <w:rPr>
                <w:rFonts w:hint="eastAsia" w:ascii="Times New Roman" w:hAnsi="Times New Roman"/>
                <w:color w:val="auto"/>
                <w:sz w:val="21"/>
                <w:szCs w:val="21"/>
              </w:rPr>
              <w:t>1000</w:t>
            </w:r>
            <w:r>
              <w:rPr>
                <w:rFonts w:hint="eastAsia" w:ascii="宋体" w:hAnsi="宋体"/>
                <w:color w:val="auto"/>
                <w:sz w:val="21"/>
                <w:szCs w:val="21"/>
              </w:rPr>
              <w:t>米且未在此翼设置安全出口；</w:t>
            </w:r>
            <w:r>
              <w:rPr>
                <w:rFonts w:hint="eastAsia" w:ascii="Times New Roman" w:hAnsi="Times New Roman"/>
                <w:color w:val="auto"/>
                <w:sz w:val="21"/>
                <w:szCs w:val="21"/>
              </w:rPr>
              <w:t>3</w:t>
            </w:r>
            <w:r>
              <w:rPr>
                <w:rFonts w:hint="eastAsia" w:ascii="宋体" w:hAnsi="宋体"/>
                <w:color w:val="auto"/>
                <w:sz w:val="21"/>
                <w:szCs w:val="21"/>
              </w:rPr>
              <w:t>）矿井的安全出口均为竖井且竖井内均未设置梯子间，或者作为主要安全出口的罐笼提升井只有一套提升系统且未设梯子间；</w:t>
            </w:r>
            <w:r>
              <w:rPr>
                <w:rFonts w:hint="eastAsia" w:ascii="Times New Roman" w:hAnsi="Times New Roman"/>
                <w:color w:val="auto"/>
                <w:sz w:val="21"/>
                <w:szCs w:val="21"/>
              </w:rPr>
              <w:t>4</w:t>
            </w:r>
            <w:r>
              <w:rPr>
                <w:rFonts w:hint="eastAsia" w:ascii="宋体" w:hAnsi="宋体"/>
                <w:color w:val="auto"/>
                <w:sz w:val="21"/>
                <w:szCs w:val="21"/>
              </w:rPr>
              <w:t>）主要生产中段（水平）、单个采区、盘区或者矿块的安全出口少于</w:t>
            </w:r>
            <w:r>
              <w:rPr>
                <w:rFonts w:hint="eastAsia" w:ascii="Times New Roman" w:hAnsi="Times New Roman"/>
                <w:color w:val="auto"/>
                <w:sz w:val="21"/>
                <w:szCs w:val="21"/>
              </w:rPr>
              <w:t>2</w:t>
            </w:r>
            <w:r>
              <w:rPr>
                <w:rFonts w:hint="eastAsia" w:ascii="宋体" w:hAnsi="宋体"/>
                <w:color w:val="auto"/>
                <w:sz w:val="21"/>
                <w:szCs w:val="21"/>
              </w:rPr>
              <w:t>个，或者未与通往地面的安全出口相通；</w:t>
            </w:r>
            <w:r>
              <w:rPr>
                <w:rFonts w:hint="eastAsia" w:ascii="Times New Roman" w:hAnsi="Times New Roman"/>
                <w:color w:val="auto"/>
                <w:sz w:val="21"/>
                <w:szCs w:val="21"/>
              </w:rPr>
              <w:t>5</w:t>
            </w:r>
            <w:r>
              <w:rPr>
                <w:rFonts w:hint="eastAsia" w:ascii="宋体" w:hAnsi="宋体"/>
                <w:color w:val="auto"/>
                <w:sz w:val="21"/>
                <w:szCs w:val="21"/>
              </w:rPr>
              <w:t>）安全出口出现堵塞或者其梯子、踏步等设施不能正常使用，导致安全出口不畅通。</w:t>
            </w:r>
          </w:p>
        </w:tc>
        <w:tc>
          <w:tcPr>
            <w:tcW w:w="3024" w:type="dxa"/>
            <w:tcBorders>
              <w:top w:val="single" w:color="auto" w:sz="12" w:space="0"/>
              <w:left w:val="single" w:color="auto" w:sz="4" w:space="0"/>
              <w:bottom w:val="single" w:color="auto" w:sz="4" w:space="0"/>
              <w:right w:val="single" w:color="auto" w:sz="12" w:space="0"/>
            </w:tcBorders>
            <w:noWrap w:val="0"/>
            <w:vAlign w:val="center"/>
          </w:tcPr>
          <w:p w14:paraId="397C65A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1）</w:t>
            </w:r>
            <w:r>
              <w:rPr>
                <w:rFonts w:hint="eastAsia" w:ascii="宋体" w:hAnsi="宋体" w:eastAsia="宋体" w:cs="Times New Roman"/>
                <w:color w:val="auto"/>
                <w:sz w:val="21"/>
                <w:szCs w:val="21"/>
              </w:rPr>
              <w:t>有2个相互独立通往地表的安全出口</w:t>
            </w:r>
            <w:r>
              <w:rPr>
                <w:rFonts w:hint="eastAsia" w:ascii="宋体" w:hAnsi="宋体" w:eastAsia="宋体" w:cs="Times New Roman"/>
                <w:color w:val="auto"/>
                <w:sz w:val="21"/>
                <w:szCs w:val="21"/>
                <w:lang w:eastAsia="zh-CN"/>
              </w:rPr>
              <w:t>（+</w:t>
            </w:r>
            <w:r>
              <w:rPr>
                <w:rFonts w:hint="eastAsia" w:cs="Times New Roman"/>
                <w:color w:val="auto"/>
                <w:sz w:val="21"/>
                <w:szCs w:val="21"/>
                <w:lang w:val="en-US" w:eastAsia="zh-CN"/>
              </w:rPr>
              <w:t>270</w:t>
            </w:r>
            <w:r>
              <w:rPr>
                <w:rFonts w:hint="eastAsia" w:ascii="宋体" w:hAnsi="宋体" w:eastAsia="宋体" w:cs="Times New Roman"/>
                <w:color w:val="auto"/>
                <w:sz w:val="21"/>
                <w:szCs w:val="21"/>
                <w:lang w:eastAsia="zh-CN"/>
              </w:rPr>
              <w:t>m平硐</w:t>
            </w:r>
            <w:r>
              <w:rPr>
                <w:rFonts w:hint="eastAsia" w:ascii="宋体" w:hAnsi="宋体" w:eastAsia="宋体" w:cs="Times New Roman"/>
                <w:color w:val="auto"/>
                <w:sz w:val="21"/>
                <w:szCs w:val="21"/>
                <w:lang w:val="en-US" w:eastAsia="zh-CN"/>
              </w:rPr>
              <w:t>口和</w:t>
            </w:r>
            <w:r>
              <w:rPr>
                <w:rFonts w:hint="eastAsia" w:ascii="宋体" w:hAnsi="宋体" w:eastAsia="宋体" w:cs="Times New Roman"/>
                <w:color w:val="auto"/>
                <w:sz w:val="21"/>
                <w:szCs w:val="21"/>
                <w:lang w:eastAsia="zh-CN"/>
              </w:rPr>
              <w:t>+</w:t>
            </w:r>
            <w:r>
              <w:rPr>
                <w:rFonts w:hint="eastAsia" w:cs="Times New Roman"/>
                <w:color w:val="auto"/>
                <w:sz w:val="21"/>
                <w:szCs w:val="21"/>
                <w:lang w:val="en-US" w:eastAsia="zh-CN"/>
              </w:rPr>
              <w:t>320</w:t>
            </w:r>
            <w:r>
              <w:rPr>
                <w:rFonts w:hint="eastAsia" w:ascii="宋体" w:hAnsi="宋体" w:eastAsia="宋体" w:cs="Times New Roman"/>
                <w:color w:val="auto"/>
                <w:sz w:val="21"/>
                <w:szCs w:val="21"/>
                <w:lang w:eastAsia="zh-CN"/>
              </w:rPr>
              <w:t>m平硐</w:t>
            </w:r>
            <w:r>
              <w:rPr>
                <w:rFonts w:hint="eastAsia" w:ascii="宋体" w:hAnsi="宋体" w:eastAsia="宋体" w:cs="Times New Roman"/>
                <w:color w:val="auto"/>
                <w:sz w:val="21"/>
                <w:szCs w:val="21"/>
                <w:lang w:val="en-US" w:eastAsia="zh-CN"/>
              </w:rPr>
              <w:t>口</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，与设计不一致</w:t>
            </w:r>
            <w:r>
              <w:rPr>
                <w:rFonts w:hint="eastAsia" w:ascii="宋体" w:hAnsi="宋体" w:eastAsia="宋体" w:cs="Times New Roman"/>
                <w:color w:val="auto"/>
                <w:sz w:val="21"/>
                <w:szCs w:val="21"/>
                <w:lang w:val="en-US" w:eastAsia="zh-CN"/>
              </w:rPr>
              <w:t>；</w:t>
            </w:r>
          </w:p>
          <w:p w14:paraId="73E892F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2）</w:t>
            </w:r>
            <w:r>
              <w:rPr>
                <w:rFonts w:hint="eastAsia" w:ascii="宋体" w:hAnsi="宋体" w:eastAsia="宋体" w:cs="Times New Roman"/>
                <w:color w:val="auto"/>
                <w:sz w:val="21"/>
                <w:szCs w:val="21"/>
              </w:rPr>
              <w:t>安全出口水平距离大于30m，</w:t>
            </w:r>
            <w:r>
              <w:rPr>
                <w:rFonts w:hint="eastAsia" w:ascii="宋体" w:hAnsi="宋体" w:eastAsia="宋体" w:cs="Times New Roman"/>
                <w:color w:val="auto"/>
                <w:sz w:val="21"/>
                <w:szCs w:val="21"/>
                <w:lang w:val="en-US" w:eastAsia="zh-CN"/>
              </w:rPr>
              <w:t>矿体一翼走向长度未超过1000m；</w:t>
            </w:r>
          </w:p>
          <w:p w14:paraId="08FE10E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3）</w:t>
            </w:r>
            <w:r>
              <w:rPr>
                <w:rFonts w:hint="eastAsia" w:cs="Times New Roman"/>
                <w:color w:val="auto"/>
                <w:sz w:val="21"/>
                <w:szCs w:val="21"/>
                <w:lang w:val="en-US" w:eastAsia="zh-CN"/>
              </w:rPr>
              <w:t>无</w:t>
            </w:r>
            <w:r>
              <w:rPr>
                <w:rFonts w:hint="eastAsia" w:ascii="宋体" w:hAnsi="宋体"/>
                <w:color w:val="auto"/>
                <w:sz w:val="21"/>
                <w:szCs w:val="21"/>
              </w:rPr>
              <w:t>竖井</w:t>
            </w:r>
            <w:r>
              <w:rPr>
                <w:rFonts w:hint="eastAsia"/>
                <w:color w:val="auto"/>
                <w:sz w:val="21"/>
                <w:szCs w:val="21"/>
                <w:lang w:eastAsia="zh-CN"/>
              </w:rPr>
              <w:t>。</w:t>
            </w:r>
          </w:p>
          <w:p w14:paraId="70EEAB1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4）主要生产中段(水平)、单个采区、盘区或者矿块的安全出口均有2个与通往地面的安全出口相通</w:t>
            </w:r>
            <w:r>
              <w:rPr>
                <w:rFonts w:hint="eastAsia" w:cs="Times New Roman"/>
                <w:color w:val="auto"/>
                <w:sz w:val="21"/>
                <w:szCs w:val="21"/>
                <w:lang w:val="en-US" w:eastAsia="zh-CN"/>
              </w:rPr>
              <w:t>；</w:t>
            </w:r>
          </w:p>
          <w:p w14:paraId="62DFBE7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eastAsia="宋体" w:cs="Times New Roman"/>
                <w:color w:val="auto"/>
                <w:sz w:val="21"/>
                <w:szCs w:val="21"/>
                <w:lang w:val="en-US" w:eastAsia="zh-CN"/>
              </w:rPr>
              <w:t>5）</w:t>
            </w:r>
            <w:r>
              <w:rPr>
                <w:rFonts w:hint="eastAsia" w:cs="Times New Roman"/>
                <w:color w:val="auto"/>
                <w:sz w:val="21"/>
                <w:szCs w:val="21"/>
                <w:lang w:val="en-US" w:eastAsia="zh-CN"/>
              </w:rPr>
              <w:t>安</w:t>
            </w:r>
            <w:r>
              <w:rPr>
                <w:rFonts w:hint="eastAsia" w:ascii="宋体" w:hAnsi="宋体" w:eastAsia="宋体" w:cs="Times New Roman"/>
                <w:color w:val="auto"/>
                <w:sz w:val="21"/>
                <w:szCs w:val="21"/>
                <w:lang w:val="en-US" w:eastAsia="zh-CN"/>
              </w:rPr>
              <w:t>全出口梯子等设施完好,安全出口畅通。</w:t>
            </w:r>
          </w:p>
        </w:tc>
        <w:tc>
          <w:tcPr>
            <w:tcW w:w="913" w:type="dxa"/>
            <w:tcBorders>
              <w:top w:val="single" w:color="auto" w:sz="12" w:space="0"/>
              <w:left w:val="single" w:color="auto" w:sz="4" w:space="0"/>
              <w:bottom w:val="single" w:color="auto" w:sz="4" w:space="0"/>
              <w:right w:val="single" w:color="auto" w:sz="12" w:space="0"/>
            </w:tcBorders>
            <w:noWrap w:val="0"/>
            <w:vAlign w:val="center"/>
          </w:tcPr>
          <w:p w14:paraId="5D54450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282" w:firstLineChars="0"/>
              <w:jc w:val="left"/>
              <w:textAlignment w:val="auto"/>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否</w:t>
            </w:r>
          </w:p>
        </w:tc>
      </w:tr>
      <w:tr w14:paraId="49EC6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502E625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2</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16E6482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olor w:val="auto"/>
                <w:sz w:val="21"/>
                <w:szCs w:val="21"/>
              </w:rPr>
            </w:pPr>
            <w:r>
              <w:rPr>
                <w:rFonts w:hint="eastAsia" w:ascii="宋体" w:hAnsi="宋体" w:eastAsia="宋体"/>
                <w:color w:val="auto"/>
                <w:sz w:val="21"/>
                <w:szCs w:val="21"/>
              </w:rPr>
              <w:t>使用国家明令禁止使用的设备、材料和工艺。</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1CE70AF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olor w:val="auto"/>
                <w:sz w:val="21"/>
                <w:szCs w:val="21"/>
              </w:rPr>
            </w:pPr>
            <w:r>
              <w:rPr>
                <w:rFonts w:hint="eastAsia" w:ascii="宋体" w:hAnsi="宋体" w:eastAsia="宋体"/>
                <w:color w:val="auto"/>
                <w:sz w:val="21"/>
                <w:szCs w:val="21"/>
              </w:rPr>
              <w:t>未使用国家明令禁止使用的设备、材料和工艺。</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0E0F4A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olor w:val="auto"/>
                <w:sz w:val="21"/>
                <w:szCs w:val="21"/>
                <w:lang w:val="en-US" w:eastAsia="zh-CN"/>
              </w:rPr>
            </w:pPr>
            <w:r>
              <w:rPr>
                <w:rFonts w:hint="eastAsia" w:ascii="宋体" w:hAnsi="宋体"/>
                <w:color w:val="auto"/>
                <w:sz w:val="21"/>
                <w:szCs w:val="21"/>
                <w:lang w:val="en-US" w:eastAsia="zh-CN"/>
              </w:rPr>
              <w:t>否</w:t>
            </w:r>
          </w:p>
        </w:tc>
      </w:tr>
      <w:tr w14:paraId="52847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121EE85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3</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79E5E7D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不同矿权主体的相邻矿山井巷相互贯通，或者同一矿权主体相邻独立生产系统的井巷擅自贯通。</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32CD985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eastAsia="宋体" w:cs="Times New Roman"/>
                <w:color w:val="auto"/>
                <w:sz w:val="21"/>
                <w:szCs w:val="21"/>
                <w:lang w:val="en-US" w:eastAsia="zh-CN"/>
              </w:rPr>
              <w:t>无此类情况</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18A31AD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left"/>
              <w:textAlignment w:val="auto"/>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否</w:t>
            </w:r>
          </w:p>
        </w:tc>
      </w:tr>
      <w:tr w14:paraId="61F6C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2D30527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4</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4C79664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地下矿山现状图纸存在下列情形之一的：</w:t>
            </w:r>
            <w:r>
              <w:rPr>
                <w:rFonts w:hint="eastAsia" w:ascii="Times New Roman" w:hAnsi="Times New Roman"/>
                <w:color w:val="auto"/>
                <w:sz w:val="21"/>
                <w:szCs w:val="21"/>
              </w:rPr>
              <w:t>1</w:t>
            </w:r>
            <w:r>
              <w:rPr>
                <w:rFonts w:hint="eastAsia" w:ascii="宋体" w:hAnsi="宋体"/>
                <w:color w:val="auto"/>
                <w:sz w:val="21"/>
                <w:szCs w:val="21"/>
              </w:rPr>
              <w:t>）未保存《金属非金属矿山安全规程》（</w:t>
            </w:r>
            <w:r>
              <w:rPr>
                <w:rFonts w:hint="eastAsia" w:ascii="Times New Roman" w:hAnsi="Times New Roman"/>
                <w:color w:val="auto"/>
                <w:sz w:val="21"/>
                <w:szCs w:val="21"/>
              </w:rPr>
              <w:t>GB16423-2020</w:t>
            </w:r>
            <w:r>
              <w:rPr>
                <w:rFonts w:hint="eastAsia" w:ascii="宋体" w:hAnsi="宋体"/>
                <w:color w:val="auto"/>
                <w:sz w:val="21"/>
                <w:szCs w:val="21"/>
              </w:rPr>
              <w:t>）第</w:t>
            </w:r>
            <w:r>
              <w:rPr>
                <w:rFonts w:hint="eastAsia" w:ascii="Times New Roman" w:hAnsi="Times New Roman"/>
                <w:color w:val="auto"/>
                <w:sz w:val="21"/>
                <w:szCs w:val="21"/>
              </w:rPr>
              <w:t>4.1.10</w:t>
            </w:r>
            <w:r>
              <w:rPr>
                <w:rFonts w:hint="eastAsia" w:ascii="宋体" w:hAnsi="宋体"/>
                <w:color w:val="auto"/>
                <w:sz w:val="21"/>
                <w:szCs w:val="21"/>
              </w:rPr>
              <w:t>条规定的图纸，或者生产矿山每</w:t>
            </w:r>
            <w:r>
              <w:rPr>
                <w:rFonts w:hint="eastAsia" w:ascii="Times New Roman" w:hAnsi="Times New Roman"/>
                <w:color w:val="auto"/>
                <w:sz w:val="21"/>
                <w:szCs w:val="21"/>
              </w:rPr>
              <w:t>3</w:t>
            </w:r>
            <w:r>
              <w:rPr>
                <w:rFonts w:hint="eastAsia" w:ascii="宋体" w:hAnsi="宋体"/>
                <w:color w:val="auto"/>
                <w:sz w:val="21"/>
                <w:szCs w:val="21"/>
              </w:rPr>
              <w:t>个月、基建矿山每</w:t>
            </w:r>
            <w:r>
              <w:rPr>
                <w:rFonts w:hint="eastAsia" w:ascii="Times New Roman" w:hAnsi="Times New Roman"/>
                <w:color w:val="auto"/>
                <w:sz w:val="21"/>
                <w:szCs w:val="21"/>
              </w:rPr>
              <w:t>1</w:t>
            </w:r>
            <w:r>
              <w:rPr>
                <w:rFonts w:hint="eastAsia" w:ascii="宋体" w:hAnsi="宋体"/>
                <w:color w:val="auto"/>
                <w:sz w:val="21"/>
                <w:szCs w:val="21"/>
              </w:rPr>
              <w:t>个月未更新上述图纸；</w:t>
            </w:r>
            <w:r>
              <w:rPr>
                <w:rFonts w:hint="eastAsia" w:ascii="Times New Roman" w:hAnsi="Times New Roman"/>
                <w:color w:val="auto"/>
                <w:sz w:val="21"/>
                <w:szCs w:val="21"/>
              </w:rPr>
              <w:t>2</w:t>
            </w:r>
            <w:r>
              <w:rPr>
                <w:rFonts w:hint="eastAsia" w:ascii="宋体" w:hAnsi="宋体"/>
                <w:color w:val="auto"/>
                <w:sz w:val="21"/>
                <w:szCs w:val="21"/>
              </w:rPr>
              <w:t>）岩体移动范围内的地面建构筑物、运输道路及沟谷河流与实际不符；</w:t>
            </w:r>
            <w:r>
              <w:rPr>
                <w:rFonts w:hint="eastAsia" w:ascii="Times New Roman" w:hAnsi="Times New Roman"/>
                <w:color w:val="auto"/>
                <w:sz w:val="21"/>
                <w:szCs w:val="21"/>
              </w:rPr>
              <w:t>3</w:t>
            </w:r>
            <w:r>
              <w:rPr>
                <w:rFonts w:hint="eastAsia" w:ascii="宋体" w:hAnsi="宋体"/>
                <w:color w:val="auto"/>
                <w:sz w:val="21"/>
                <w:szCs w:val="21"/>
              </w:rPr>
              <w:t>）开拓工程和采准工程的井巷或者井下采区与实际不符；</w:t>
            </w:r>
            <w:r>
              <w:rPr>
                <w:rFonts w:hint="eastAsia" w:ascii="Times New Roman" w:hAnsi="Times New Roman"/>
                <w:color w:val="auto"/>
                <w:sz w:val="21"/>
                <w:szCs w:val="21"/>
              </w:rPr>
              <w:t>4</w:t>
            </w:r>
            <w:r>
              <w:rPr>
                <w:rFonts w:hint="eastAsia" w:ascii="宋体" w:hAnsi="宋体"/>
                <w:color w:val="auto"/>
                <w:sz w:val="21"/>
                <w:szCs w:val="21"/>
              </w:rPr>
              <w:t>）相邻矿山采区位置关系与实际不符；</w:t>
            </w:r>
            <w:r>
              <w:rPr>
                <w:rFonts w:hint="eastAsia" w:ascii="Times New Roman" w:hAnsi="Times New Roman"/>
                <w:color w:val="auto"/>
                <w:sz w:val="21"/>
                <w:szCs w:val="21"/>
              </w:rPr>
              <w:t>5</w:t>
            </w:r>
            <w:r>
              <w:rPr>
                <w:rFonts w:hint="eastAsia" w:ascii="宋体" w:hAnsi="宋体"/>
                <w:color w:val="auto"/>
                <w:sz w:val="21"/>
                <w:szCs w:val="21"/>
              </w:rPr>
              <w:t>）采空区和废弃井巷的位置、处理方式、现状，以及地表塌陷区的位置与实际不符。</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082830A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矿山现状图纸将按要求及时更新，不会存在上述情形。</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B3FEB7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6656B8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1FB3D89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5</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181F44E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露天转地下开采存在下列情形之一的：</w:t>
            </w:r>
            <w:r>
              <w:rPr>
                <w:rFonts w:hint="eastAsia" w:ascii="Times New Roman" w:hAnsi="Times New Roman"/>
                <w:color w:val="auto"/>
                <w:sz w:val="21"/>
                <w:szCs w:val="21"/>
              </w:rPr>
              <w:t>1</w:t>
            </w:r>
            <w:r>
              <w:rPr>
                <w:rFonts w:hint="eastAsia" w:ascii="宋体" w:hAnsi="宋体"/>
                <w:color w:val="auto"/>
                <w:sz w:val="21"/>
                <w:szCs w:val="21"/>
              </w:rPr>
              <w:t>）未按设计采取防排水措施；</w:t>
            </w:r>
            <w:r>
              <w:rPr>
                <w:rFonts w:hint="eastAsia" w:ascii="Times New Roman" w:hAnsi="Times New Roman"/>
                <w:color w:val="auto"/>
                <w:sz w:val="21"/>
                <w:szCs w:val="21"/>
              </w:rPr>
              <w:t>2</w:t>
            </w:r>
            <w:r>
              <w:rPr>
                <w:rFonts w:hint="eastAsia" w:ascii="宋体" w:hAnsi="宋体"/>
                <w:color w:val="auto"/>
                <w:sz w:val="21"/>
                <w:szCs w:val="21"/>
              </w:rPr>
              <w:t>）露天与地下联合开采时，回采顺序与设计不符；</w:t>
            </w:r>
            <w:r>
              <w:rPr>
                <w:rFonts w:hint="eastAsia" w:ascii="Times New Roman" w:hAnsi="Times New Roman"/>
                <w:color w:val="auto"/>
                <w:sz w:val="21"/>
                <w:szCs w:val="21"/>
              </w:rPr>
              <w:t>3</w:t>
            </w:r>
            <w:r>
              <w:rPr>
                <w:rFonts w:hint="eastAsia" w:ascii="宋体" w:hAnsi="宋体"/>
                <w:color w:val="auto"/>
                <w:sz w:val="21"/>
                <w:szCs w:val="21"/>
              </w:rPr>
              <w:t>）未按设计采取留设安全顶柱或者岩石垫层等防护措施。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0805C94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Times New Roman" w:eastAsia="宋体" w:cs="仿宋"/>
                <w:color w:val="auto"/>
                <w:kern w:val="2"/>
                <w:sz w:val="21"/>
                <w:szCs w:val="21"/>
                <w:lang w:val="en-US" w:eastAsia="zh-CN" w:bidi="ar-SA"/>
              </w:rPr>
              <w:t>无此类情况</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53BDF64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02C45F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6A28ED8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6</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72AA6FDE">
            <w:pPr>
              <w:keepNext w:val="0"/>
              <w:keepLines w:val="0"/>
              <w:pageBreakBefore w:val="0"/>
              <w:widowControl w:val="0"/>
              <w:tabs>
                <w:tab w:val="left" w:pos="4200"/>
              </w:tabs>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矿区及其附近的地表水或者大气降水危及井下安全时，未按照设计要求采取防治水措施。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3F8D360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Times New Roman" w:eastAsia="宋体" w:cs="仿宋"/>
                <w:color w:val="auto"/>
                <w:kern w:val="2"/>
                <w:sz w:val="21"/>
                <w:szCs w:val="21"/>
                <w:lang w:val="en-US" w:eastAsia="zh-CN" w:bidi="ar-SA"/>
              </w:rPr>
              <w:t>矿区范围内无地表水体，按照设计布置截排洪沟。</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5CF4FEA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4EA778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6EB929B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7</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546B4C1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井下主要排水系统存在下列情形之一的：</w:t>
            </w:r>
            <w:r>
              <w:rPr>
                <w:rFonts w:hint="eastAsia" w:ascii="Times New Roman" w:hAnsi="Times New Roman"/>
                <w:color w:val="auto"/>
                <w:sz w:val="21"/>
                <w:szCs w:val="21"/>
              </w:rPr>
              <w:t>1</w:t>
            </w:r>
            <w:r>
              <w:rPr>
                <w:rFonts w:hint="eastAsia" w:ascii="宋体" w:hAnsi="宋体"/>
                <w:color w:val="auto"/>
                <w:sz w:val="21"/>
                <w:szCs w:val="21"/>
              </w:rPr>
              <w:t>）排水泵数量少于</w:t>
            </w:r>
            <w:r>
              <w:rPr>
                <w:rFonts w:hint="eastAsia" w:ascii="Times New Roman" w:hAnsi="Times New Roman"/>
                <w:color w:val="auto"/>
                <w:sz w:val="21"/>
                <w:szCs w:val="21"/>
              </w:rPr>
              <w:t>3</w:t>
            </w:r>
            <w:r>
              <w:rPr>
                <w:rFonts w:hint="eastAsia" w:ascii="宋体" w:hAnsi="宋体"/>
                <w:color w:val="auto"/>
                <w:sz w:val="21"/>
                <w:szCs w:val="21"/>
              </w:rPr>
              <w:t>台，或者工作水泵、备用水泵的额定排水能力低于设计要求；</w:t>
            </w:r>
            <w:r>
              <w:rPr>
                <w:rFonts w:hint="eastAsia" w:ascii="Times New Roman" w:hAnsi="Times New Roman"/>
                <w:color w:val="auto"/>
                <w:sz w:val="21"/>
                <w:szCs w:val="21"/>
              </w:rPr>
              <w:t>2</w:t>
            </w:r>
            <w:r>
              <w:rPr>
                <w:rFonts w:hint="eastAsia" w:ascii="宋体" w:hAnsi="宋体"/>
                <w:color w:val="auto"/>
                <w:sz w:val="21"/>
                <w:szCs w:val="21"/>
              </w:rPr>
              <w:t>）井巷中未按设计设置工作和备用排水管路，或者排水管路与水泵未有效连接；</w:t>
            </w:r>
            <w:r>
              <w:rPr>
                <w:rFonts w:hint="eastAsia" w:ascii="Times New Roman" w:hAnsi="Times New Roman"/>
                <w:color w:val="auto"/>
                <w:sz w:val="21"/>
                <w:szCs w:val="21"/>
              </w:rPr>
              <w:t>3</w:t>
            </w:r>
            <w:r>
              <w:rPr>
                <w:rFonts w:hint="eastAsia" w:ascii="宋体" w:hAnsi="宋体"/>
                <w:color w:val="auto"/>
                <w:sz w:val="21"/>
                <w:szCs w:val="21"/>
              </w:rPr>
              <w:t>）井下最低中段的主要水泵房通往中段巷道的出口未装设防水门，或者另外一个出口未高于水泵房地面</w:t>
            </w:r>
            <w:r>
              <w:rPr>
                <w:rFonts w:hint="eastAsia" w:ascii="Times New Roman" w:hAnsi="Times New Roman"/>
                <w:color w:val="auto"/>
                <w:sz w:val="21"/>
                <w:szCs w:val="21"/>
              </w:rPr>
              <w:t>7</w:t>
            </w:r>
            <w:r>
              <w:rPr>
                <w:rFonts w:hint="eastAsia" w:ascii="宋体" w:hAnsi="宋体"/>
                <w:color w:val="auto"/>
                <w:sz w:val="21"/>
                <w:szCs w:val="21"/>
              </w:rPr>
              <w:t>米以上；</w:t>
            </w:r>
            <w:r>
              <w:rPr>
                <w:rFonts w:hint="eastAsia" w:ascii="Times New Roman" w:hAnsi="Times New Roman"/>
                <w:color w:val="auto"/>
                <w:sz w:val="21"/>
                <w:szCs w:val="21"/>
              </w:rPr>
              <w:t>4</w:t>
            </w:r>
            <w:r>
              <w:rPr>
                <w:rFonts w:hint="eastAsia" w:ascii="宋体" w:hAnsi="宋体"/>
                <w:color w:val="auto"/>
                <w:sz w:val="21"/>
                <w:szCs w:val="21"/>
              </w:rPr>
              <w:t>）利用采空区或者其他废弃巷道作为水仓。</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57DAFD7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eastAsia="宋体" w:cs="宋体"/>
                <w:color w:val="auto"/>
                <w:kern w:val="0"/>
                <w:sz w:val="21"/>
                <w:szCs w:val="21"/>
                <w:lang w:val="en-US" w:eastAsia="zh-CN" w:bidi="ar"/>
              </w:rPr>
              <w:t>自流排水，符合设计要求。没有利用利用采空区或者其他废弃巷道作为水仓。</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520A22A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lang w:eastAsia="zh-CN"/>
              </w:rPr>
            </w:pPr>
            <w:r>
              <w:rPr>
                <w:rFonts w:hint="eastAsia" w:ascii="宋体" w:hAnsi="宋体" w:eastAsia="宋体" w:cs="Times New Roman"/>
                <w:color w:val="auto"/>
                <w:sz w:val="21"/>
                <w:szCs w:val="21"/>
                <w:lang w:val="en-US" w:eastAsia="zh-CN"/>
              </w:rPr>
              <w:t>否</w:t>
            </w:r>
          </w:p>
        </w:tc>
      </w:tr>
      <w:tr w14:paraId="1033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77411DD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8</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12AE23E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井口标高在当地历史最高洪水位</w:t>
            </w:r>
            <w:r>
              <w:rPr>
                <w:rFonts w:hint="eastAsia" w:ascii="Times New Roman" w:hAnsi="Times New Roman"/>
                <w:color w:val="auto"/>
                <w:sz w:val="21"/>
                <w:szCs w:val="21"/>
              </w:rPr>
              <w:t>1</w:t>
            </w:r>
            <w:r>
              <w:rPr>
                <w:rFonts w:hint="eastAsia" w:ascii="宋体" w:hAnsi="宋体"/>
                <w:color w:val="auto"/>
                <w:sz w:val="21"/>
                <w:szCs w:val="21"/>
              </w:rPr>
              <w:t>米以下，未采取相应防护措施。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64FBCFA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井口标高大于历史最高洪水位，超出</w:t>
            </w:r>
            <w:r>
              <w:rPr>
                <w:rFonts w:hint="eastAsia" w:ascii="Times New Roman" w:hAnsi="Times New Roman"/>
                <w:color w:val="auto"/>
                <w:sz w:val="21"/>
                <w:szCs w:val="21"/>
              </w:rPr>
              <w:t>1</w:t>
            </w:r>
            <w:r>
              <w:rPr>
                <w:rFonts w:hint="eastAsia" w:ascii="宋体" w:hAnsi="宋体"/>
                <w:color w:val="auto"/>
                <w:sz w:val="21"/>
                <w:szCs w:val="21"/>
              </w:rPr>
              <w:t>米以上。</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15C5EF5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049E16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10C2376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9</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38A8092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水文地质类型为中等或者复杂的矿井，存在下列情形之一的：</w:t>
            </w:r>
            <w:r>
              <w:rPr>
                <w:rFonts w:hint="eastAsia" w:ascii="Times New Roman" w:hAnsi="Times New Roman"/>
                <w:color w:val="auto"/>
                <w:sz w:val="21"/>
                <w:szCs w:val="21"/>
              </w:rPr>
              <w:t>1</w:t>
            </w:r>
            <w:r>
              <w:rPr>
                <w:rFonts w:hint="eastAsia" w:ascii="宋体" w:hAnsi="宋体"/>
                <w:color w:val="auto"/>
                <w:sz w:val="21"/>
                <w:szCs w:val="21"/>
              </w:rPr>
              <w:t>）未配备防治水专业技术人员；</w:t>
            </w:r>
            <w:r>
              <w:rPr>
                <w:rFonts w:hint="eastAsia" w:ascii="Times New Roman" w:hAnsi="Times New Roman"/>
                <w:color w:val="auto"/>
                <w:sz w:val="21"/>
                <w:szCs w:val="21"/>
              </w:rPr>
              <w:t>2</w:t>
            </w:r>
            <w:r>
              <w:rPr>
                <w:rFonts w:hint="eastAsia" w:ascii="宋体" w:hAnsi="宋体"/>
                <w:color w:val="auto"/>
                <w:sz w:val="21"/>
                <w:szCs w:val="21"/>
              </w:rPr>
              <w:t>）未设置专门防治水机构，或未建立探放水队伍；</w:t>
            </w:r>
            <w:r>
              <w:rPr>
                <w:rFonts w:hint="eastAsia" w:ascii="Times New Roman" w:hAnsi="Times New Roman"/>
                <w:color w:val="auto"/>
                <w:sz w:val="21"/>
                <w:szCs w:val="21"/>
              </w:rPr>
              <w:t>3</w:t>
            </w:r>
            <w:r>
              <w:rPr>
                <w:rFonts w:hint="eastAsia" w:ascii="宋体" w:hAnsi="宋体"/>
                <w:color w:val="auto"/>
                <w:sz w:val="21"/>
                <w:szCs w:val="21"/>
              </w:rPr>
              <w:t>）未配齐专用探放水设备，或未按设计进行探放水。</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7A0445D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水文地质类型为简单类型。</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4661C5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520C0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1D0D096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10</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21A796F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水文地质类型复杂的矿山存在下列情形之一的：</w:t>
            </w:r>
            <w:r>
              <w:rPr>
                <w:rFonts w:hint="eastAsia" w:ascii="Times New Roman" w:hAnsi="Times New Roman"/>
                <w:color w:val="auto"/>
                <w:sz w:val="21"/>
                <w:szCs w:val="21"/>
              </w:rPr>
              <w:t>1</w:t>
            </w:r>
            <w:r>
              <w:rPr>
                <w:rFonts w:hint="eastAsia" w:ascii="宋体" w:hAnsi="宋体"/>
                <w:color w:val="auto"/>
                <w:sz w:val="21"/>
                <w:szCs w:val="21"/>
              </w:rPr>
              <w:t>）关键巷道防水门设置与设计要求不符；</w:t>
            </w:r>
            <w:r>
              <w:rPr>
                <w:rFonts w:hint="eastAsia" w:ascii="Times New Roman" w:hAnsi="Times New Roman"/>
                <w:color w:val="auto"/>
                <w:sz w:val="21"/>
                <w:szCs w:val="21"/>
              </w:rPr>
              <w:t>2</w:t>
            </w:r>
            <w:r>
              <w:rPr>
                <w:rFonts w:hint="eastAsia" w:ascii="宋体" w:hAnsi="宋体"/>
                <w:color w:val="auto"/>
                <w:sz w:val="21"/>
                <w:szCs w:val="21"/>
              </w:rPr>
              <w:t>）主要排水系统的水仓与水泵房之间的隔墙或者配水阀未按设计设置。</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609B004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水文地质类型为简单类型。</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0A471FB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A19A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0CE638E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11</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0F645ED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在突水威胁区域或可疑区域进行采掘作业，存在下列情形之一的：</w:t>
            </w:r>
            <w:r>
              <w:rPr>
                <w:rFonts w:hint="eastAsia" w:ascii="Times New Roman" w:hAnsi="Times New Roman"/>
                <w:color w:val="auto"/>
                <w:sz w:val="21"/>
                <w:szCs w:val="21"/>
              </w:rPr>
              <w:t>1</w:t>
            </w:r>
            <w:r>
              <w:rPr>
                <w:rFonts w:hint="eastAsia" w:ascii="宋体" w:hAnsi="宋体"/>
                <w:color w:val="auto"/>
                <w:sz w:val="21"/>
                <w:szCs w:val="21"/>
              </w:rPr>
              <w:t>）未编制防治水技术方案，或者未在施工前制定专门的施工安全技术措施；</w:t>
            </w:r>
            <w:r>
              <w:rPr>
                <w:rFonts w:hint="eastAsia" w:ascii="Times New Roman" w:hAnsi="Times New Roman"/>
                <w:color w:val="auto"/>
                <w:sz w:val="21"/>
                <w:szCs w:val="21"/>
              </w:rPr>
              <w:t>2</w:t>
            </w:r>
            <w:r>
              <w:rPr>
                <w:rFonts w:hint="eastAsia" w:ascii="宋体" w:hAnsi="宋体"/>
                <w:color w:val="auto"/>
                <w:sz w:val="21"/>
                <w:szCs w:val="21"/>
              </w:rPr>
              <w:t>）未超前探放水，或者超前钻孔的数量、深度低于设计要求，或者超前钻孔方位不符合设计要求。</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63F3681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Times New Roman" w:eastAsia="宋体" w:cs="仿宋"/>
                <w:color w:val="auto"/>
                <w:kern w:val="2"/>
                <w:sz w:val="21"/>
                <w:szCs w:val="21"/>
                <w:lang w:val="en-US" w:eastAsia="zh-CN" w:bidi="ar-SA"/>
              </w:rPr>
              <w:t>无此类情况。</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62E9A4E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88906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1459033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12</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612A471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受地表水倒灌威胁的矿井在强降雨天气或其来水上游发生洪水期间，不实施停产撤人。</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1D7C11B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Times New Roman" w:eastAsia="宋体" w:cs="仿宋"/>
                <w:color w:val="auto"/>
                <w:kern w:val="2"/>
                <w:sz w:val="21"/>
                <w:szCs w:val="21"/>
                <w:lang w:val="en-US" w:eastAsia="zh-CN" w:bidi="ar-SA"/>
              </w:rPr>
              <w:t>无此类情况。</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251545B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7BDD2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6BF8D5C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13</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699E208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有自然发火危险的矿山，存在下列情形之一的：</w:t>
            </w:r>
            <w:r>
              <w:rPr>
                <w:rFonts w:hint="eastAsia" w:ascii="Times New Roman" w:hAnsi="Times New Roman"/>
                <w:color w:val="auto"/>
                <w:sz w:val="21"/>
                <w:szCs w:val="21"/>
              </w:rPr>
              <w:t>1</w:t>
            </w:r>
            <w:r>
              <w:rPr>
                <w:rFonts w:hint="eastAsia" w:ascii="宋体" w:hAnsi="宋体"/>
                <w:color w:val="auto"/>
                <w:sz w:val="21"/>
                <w:szCs w:val="21"/>
              </w:rPr>
              <w:t>）未安装井下环境监测系统，实现自动监测与报警；</w:t>
            </w:r>
            <w:r>
              <w:rPr>
                <w:rFonts w:hint="eastAsia" w:ascii="Times New Roman" w:hAnsi="Times New Roman"/>
                <w:color w:val="auto"/>
                <w:sz w:val="21"/>
                <w:szCs w:val="21"/>
              </w:rPr>
              <w:t>2</w:t>
            </w:r>
            <w:r>
              <w:rPr>
                <w:rFonts w:hint="eastAsia" w:ascii="宋体" w:hAnsi="宋体"/>
                <w:color w:val="auto"/>
                <w:sz w:val="21"/>
                <w:szCs w:val="21"/>
              </w:rPr>
              <w:t>）未按设计或国家标准、行业标准采取防灭火措施；</w:t>
            </w:r>
            <w:r>
              <w:rPr>
                <w:rFonts w:hint="eastAsia" w:ascii="Times New Roman" w:hAnsi="Times New Roman"/>
                <w:color w:val="auto"/>
                <w:sz w:val="21"/>
                <w:szCs w:val="21"/>
              </w:rPr>
              <w:t>3</w:t>
            </w:r>
            <w:r>
              <w:rPr>
                <w:rFonts w:hint="eastAsia" w:ascii="宋体" w:hAnsi="宋体"/>
                <w:color w:val="auto"/>
                <w:sz w:val="21"/>
                <w:szCs w:val="21"/>
              </w:rPr>
              <w:t>）发现自然发火预兆，未采取有效处理措施。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31FF5CC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Times New Roman" w:eastAsia="宋体" w:cs="仿宋"/>
                <w:color w:val="auto"/>
                <w:kern w:val="2"/>
                <w:sz w:val="21"/>
                <w:szCs w:val="21"/>
                <w:lang w:val="en-US" w:eastAsia="zh-CN" w:bidi="ar-SA"/>
              </w:rPr>
              <w:t>无此类情况。</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50B8C3D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EBFD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23" w:type="dxa"/>
            <w:tcBorders>
              <w:top w:val="single" w:color="auto" w:sz="4" w:space="0"/>
              <w:left w:val="single" w:color="auto" w:sz="12" w:space="0"/>
              <w:bottom w:val="single" w:color="auto" w:sz="4" w:space="0"/>
              <w:right w:val="single" w:color="auto" w:sz="4" w:space="0"/>
            </w:tcBorders>
            <w:noWrap w:val="0"/>
            <w:vAlign w:val="center"/>
          </w:tcPr>
          <w:p w14:paraId="1B6B4F5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14</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1FE66A6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相邻矿山开采岩体移动范围存在交叉重叠等相互影响时，未按设计留设保安矿（岩）柱或者采取其他措施。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18DEC47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Times New Roman" w:cs="仿宋"/>
                <w:color w:val="auto"/>
                <w:kern w:val="2"/>
                <w:sz w:val="21"/>
                <w:szCs w:val="21"/>
                <w:lang w:bidi="ar-SA"/>
              </w:rPr>
            </w:pPr>
            <w:r>
              <w:rPr>
                <w:rFonts w:hint="eastAsia" w:hAnsi="Times New Roman" w:cs="仿宋"/>
                <w:b w:val="0"/>
                <w:color w:val="auto"/>
                <w:kern w:val="2"/>
                <w:sz w:val="21"/>
                <w:szCs w:val="21"/>
                <w:lang w:bidi="ar-SA"/>
              </w:rPr>
              <w:t>茅排金矿</w:t>
            </w:r>
            <w:r>
              <w:rPr>
                <w:rFonts w:hint="eastAsia" w:hAnsi="Times New Roman" w:cs="仿宋"/>
                <w:color w:val="auto"/>
                <w:kern w:val="2"/>
                <w:sz w:val="21"/>
                <w:szCs w:val="21"/>
                <w:lang w:bidi="ar-SA"/>
              </w:rPr>
              <w:t>的地表岩石移动界线与徐坊金矿地表岩石移动范围界限相距大于195m</w:t>
            </w:r>
            <w:r>
              <w:rPr>
                <w:rFonts w:hint="eastAsia" w:hAnsi="Times New Roman" w:cs="仿宋"/>
                <w:color w:val="auto"/>
                <w:kern w:val="2"/>
                <w:sz w:val="21"/>
                <w:szCs w:val="21"/>
                <w:lang w:eastAsia="zh-CN" w:bidi="ar-SA"/>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3AD5328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BC08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113BB44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15</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32FF4F9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地表设施设置存在下列情形之一，未按设计采取有效安全措施的：</w:t>
            </w:r>
            <w:r>
              <w:rPr>
                <w:rFonts w:hint="eastAsia" w:ascii="Times New Roman" w:hAnsi="Times New Roman"/>
                <w:color w:val="auto"/>
                <w:sz w:val="21"/>
                <w:szCs w:val="21"/>
              </w:rPr>
              <w:t>1</w:t>
            </w:r>
            <w:r>
              <w:rPr>
                <w:rFonts w:hint="eastAsia" w:ascii="宋体" w:hAnsi="宋体"/>
                <w:color w:val="auto"/>
                <w:sz w:val="21"/>
                <w:szCs w:val="21"/>
              </w:rPr>
              <w:t>）岩体移动范围内存在居民村庄或者重要设备设施；</w:t>
            </w:r>
            <w:r>
              <w:rPr>
                <w:rFonts w:hint="eastAsia" w:ascii="Times New Roman" w:hAnsi="Times New Roman"/>
                <w:color w:val="auto"/>
                <w:sz w:val="21"/>
                <w:szCs w:val="21"/>
              </w:rPr>
              <w:t>2</w:t>
            </w:r>
            <w:r>
              <w:rPr>
                <w:rFonts w:hint="eastAsia" w:ascii="宋体" w:hAnsi="宋体"/>
                <w:color w:val="auto"/>
                <w:sz w:val="21"/>
                <w:szCs w:val="21"/>
              </w:rPr>
              <w:t>）主要开拓工程出入口易受地表滑坡、滚石、泥石流等地质灾害影响。</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54D35B0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Times New Roman" w:eastAsia="宋体" w:cs="仿宋"/>
                <w:color w:val="auto"/>
                <w:kern w:val="2"/>
                <w:sz w:val="21"/>
                <w:szCs w:val="21"/>
                <w:lang w:val="en-US" w:eastAsia="zh-CN" w:bidi="ar-SA"/>
              </w:rPr>
              <w:t>无此类情况。</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02C2DF9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FDF83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352CBEA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16</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0B67A39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保安矿（岩）柱或者采场矿柱存在下列情形之一的：</w:t>
            </w:r>
            <w:r>
              <w:rPr>
                <w:rFonts w:hint="eastAsia" w:ascii="Times New Roman" w:hAnsi="Times New Roman"/>
                <w:color w:val="auto"/>
                <w:sz w:val="21"/>
                <w:szCs w:val="21"/>
              </w:rPr>
              <w:t>1</w:t>
            </w:r>
            <w:r>
              <w:rPr>
                <w:rFonts w:hint="eastAsia" w:ascii="宋体" w:hAnsi="宋体"/>
                <w:color w:val="auto"/>
                <w:sz w:val="21"/>
                <w:szCs w:val="21"/>
              </w:rPr>
              <w:t>）未按设计留设矿（岩）柱；</w:t>
            </w:r>
            <w:r>
              <w:rPr>
                <w:rFonts w:hint="eastAsia" w:ascii="Times New Roman" w:hAnsi="Times New Roman"/>
                <w:color w:val="auto"/>
                <w:sz w:val="21"/>
                <w:szCs w:val="21"/>
              </w:rPr>
              <w:t>2</w:t>
            </w:r>
            <w:r>
              <w:rPr>
                <w:rFonts w:hint="eastAsia" w:ascii="宋体" w:hAnsi="宋体"/>
                <w:color w:val="auto"/>
                <w:sz w:val="21"/>
                <w:szCs w:val="21"/>
              </w:rPr>
              <w:t>）未按设计回采矿柱；</w:t>
            </w:r>
            <w:r>
              <w:rPr>
                <w:rFonts w:hint="eastAsia" w:ascii="Times New Roman" w:hAnsi="Times New Roman"/>
                <w:color w:val="auto"/>
                <w:sz w:val="21"/>
                <w:szCs w:val="21"/>
              </w:rPr>
              <w:t>3</w:t>
            </w:r>
            <w:r>
              <w:rPr>
                <w:rFonts w:hint="eastAsia" w:ascii="宋体" w:hAnsi="宋体"/>
                <w:color w:val="auto"/>
                <w:sz w:val="21"/>
                <w:szCs w:val="21"/>
              </w:rPr>
              <w:t>）擅自开采、损毁矿（岩）柱。</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08B40C6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Times New Roman" w:eastAsia="宋体" w:cs="仿宋"/>
                <w:color w:val="auto"/>
                <w:kern w:val="2"/>
                <w:sz w:val="21"/>
                <w:szCs w:val="21"/>
                <w:lang w:val="en-US" w:eastAsia="zh-CN" w:bidi="ar-SA"/>
              </w:rPr>
              <w:t>无此类情况。</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07D0D6F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587FB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4318576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17</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299DFC7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未按照设计要求的处理方式或者时间对采空区进行处理。</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0F33B59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矿山</w:t>
            </w:r>
            <w:r>
              <w:rPr>
                <w:rFonts w:hint="eastAsia" w:ascii="宋体" w:hAnsi="宋体"/>
                <w:color w:val="auto"/>
                <w:sz w:val="21"/>
                <w:szCs w:val="21"/>
                <w:lang w:eastAsia="zh-CN"/>
              </w:rPr>
              <w:t>已按</w:t>
            </w:r>
            <w:r>
              <w:rPr>
                <w:rFonts w:hint="eastAsia" w:ascii="宋体" w:hAnsi="宋体"/>
                <w:color w:val="auto"/>
                <w:sz w:val="21"/>
                <w:szCs w:val="21"/>
                <w:lang w:val="en-US" w:eastAsia="zh-CN"/>
              </w:rPr>
              <w:t>设计</w:t>
            </w:r>
            <w:r>
              <w:rPr>
                <w:rFonts w:hint="eastAsia" w:ascii="宋体" w:hAnsi="宋体"/>
                <w:color w:val="auto"/>
                <w:sz w:val="21"/>
                <w:szCs w:val="21"/>
                <w:lang w:eastAsia="zh-CN"/>
              </w:rPr>
              <w:t>要求封闭了</w:t>
            </w:r>
            <w:r>
              <w:rPr>
                <w:rFonts w:hint="eastAsia" w:ascii="宋体" w:hAnsi="宋体"/>
                <w:color w:val="auto"/>
                <w:sz w:val="21"/>
                <w:szCs w:val="21"/>
              </w:rPr>
              <w:t>采空区。</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003A37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7E035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43AC0EA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18</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722CBEF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工程地质类型复杂、有严重地压活动的矿山存在下列情形之一的：</w:t>
            </w:r>
            <w:r>
              <w:rPr>
                <w:rFonts w:hint="eastAsia" w:ascii="Times New Roman" w:hAnsi="Times New Roman"/>
                <w:color w:val="auto"/>
                <w:sz w:val="21"/>
                <w:szCs w:val="21"/>
              </w:rPr>
              <w:t>1</w:t>
            </w:r>
            <w:r>
              <w:rPr>
                <w:rFonts w:hint="eastAsia" w:ascii="宋体" w:hAnsi="宋体"/>
                <w:color w:val="auto"/>
                <w:sz w:val="21"/>
                <w:szCs w:val="21"/>
              </w:rPr>
              <w:t>）未设置专门机构、配备专门人员负责地压防治工作；</w:t>
            </w:r>
            <w:r>
              <w:rPr>
                <w:rFonts w:hint="eastAsia" w:ascii="Times New Roman" w:hAnsi="Times New Roman"/>
                <w:color w:val="auto"/>
                <w:sz w:val="21"/>
                <w:szCs w:val="21"/>
              </w:rPr>
              <w:t>2</w:t>
            </w:r>
            <w:r>
              <w:rPr>
                <w:rFonts w:hint="eastAsia" w:ascii="宋体" w:hAnsi="宋体"/>
                <w:color w:val="auto"/>
                <w:sz w:val="21"/>
                <w:szCs w:val="21"/>
              </w:rPr>
              <w:t>）未制定防治地压灾害的专门技术措施；</w:t>
            </w:r>
            <w:r>
              <w:rPr>
                <w:rFonts w:hint="eastAsia" w:ascii="Times New Roman" w:hAnsi="Times New Roman"/>
                <w:color w:val="auto"/>
                <w:sz w:val="21"/>
                <w:szCs w:val="21"/>
              </w:rPr>
              <w:t>3</w:t>
            </w:r>
            <w:r>
              <w:rPr>
                <w:rFonts w:hint="eastAsia" w:ascii="宋体" w:hAnsi="宋体"/>
                <w:color w:val="auto"/>
                <w:sz w:val="21"/>
                <w:szCs w:val="21"/>
              </w:rPr>
              <w:t>）发现大面积地压活动预兆，未立即停止作业、撤出人员。</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08F31A8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Times New Roman" w:hAnsi="Times New Roman" w:eastAsia="宋体"/>
                <w:color w:val="auto"/>
                <w:sz w:val="21"/>
                <w:szCs w:val="21"/>
                <w:lang w:eastAsia="zh-CN"/>
              </w:rPr>
            </w:pPr>
            <w:r>
              <w:rPr>
                <w:rFonts w:hint="eastAsia" w:ascii="宋体" w:hAnsi="宋体" w:eastAsia="宋体" w:cs="Times New Roman"/>
                <w:color w:val="auto"/>
                <w:sz w:val="21"/>
                <w:szCs w:val="21"/>
              </w:rPr>
              <w:t>工程地质条件复杂程度类型属简单型</w:t>
            </w:r>
            <w:r>
              <w:rPr>
                <w:rFonts w:hint="eastAsia" w:ascii="宋体" w:hAnsi="宋体" w:eastAsia="宋体" w:cs="Times New Roman"/>
                <w:color w:val="auto"/>
                <w:sz w:val="21"/>
                <w:szCs w:val="21"/>
                <w:lang w:eastAsia="zh-CN"/>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C88BD5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1BDCA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23" w:type="dxa"/>
            <w:tcBorders>
              <w:top w:val="single" w:color="auto" w:sz="4" w:space="0"/>
              <w:left w:val="single" w:color="auto" w:sz="12" w:space="0"/>
              <w:bottom w:val="single" w:color="auto" w:sz="4" w:space="0"/>
              <w:right w:val="single" w:color="auto" w:sz="4" w:space="0"/>
            </w:tcBorders>
            <w:noWrap w:val="0"/>
            <w:vAlign w:val="center"/>
          </w:tcPr>
          <w:p w14:paraId="0381BD4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19</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1B1D006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巷道或者采场顶板未按照设计要求采取支护措施。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7D195CB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color w:val="auto"/>
                <w:sz w:val="21"/>
                <w:szCs w:val="21"/>
                <w:lang w:val="en-US" w:eastAsia="zh-CN"/>
              </w:rPr>
              <w:t>不稳固地段</w:t>
            </w:r>
            <w:r>
              <w:rPr>
                <w:rFonts w:hint="eastAsia" w:ascii="宋体" w:hAnsi="宋体"/>
                <w:color w:val="auto"/>
                <w:sz w:val="21"/>
                <w:szCs w:val="21"/>
              </w:rPr>
              <w:t>按设计要求采取</w:t>
            </w:r>
            <w:r>
              <w:rPr>
                <w:rFonts w:hint="eastAsia"/>
                <w:color w:val="auto"/>
                <w:sz w:val="21"/>
                <w:szCs w:val="21"/>
                <w:lang w:val="en-US" w:eastAsia="zh-CN"/>
              </w:rPr>
              <w:t>金属支架或加固等</w:t>
            </w:r>
            <w:r>
              <w:rPr>
                <w:rFonts w:hint="eastAsia" w:ascii="宋体" w:hAnsi="宋体"/>
                <w:color w:val="auto"/>
                <w:sz w:val="21"/>
                <w:szCs w:val="21"/>
              </w:rPr>
              <w:t>支护措施。</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4A7F5F4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07A13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0" w:hRule="atLeast"/>
        </w:trPr>
        <w:tc>
          <w:tcPr>
            <w:tcW w:w="723" w:type="dxa"/>
            <w:tcBorders>
              <w:top w:val="single" w:color="auto" w:sz="4" w:space="0"/>
              <w:left w:val="single" w:color="auto" w:sz="12" w:space="0"/>
              <w:bottom w:val="single" w:color="auto" w:sz="4" w:space="0"/>
              <w:right w:val="single" w:color="auto" w:sz="4" w:space="0"/>
            </w:tcBorders>
            <w:noWrap w:val="0"/>
            <w:vAlign w:val="center"/>
          </w:tcPr>
          <w:p w14:paraId="5265E81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20</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63A8772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矿井未采用机械通风，或者采用机械通风的矿井存在下列情形之一的：</w:t>
            </w:r>
            <w:r>
              <w:rPr>
                <w:rFonts w:hint="eastAsia" w:ascii="Times New Roman" w:hAnsi="Times New Roman"/>
                <w:color w:val="auto"/>
                <w:sz w:val="21"/>
                <w:szCs w:val="21"/>
              </w:rPr>
              <w:t>1</w:t>
            </w:r>
            <w:r>
              <w:rPr>
                <w:rFonts w:hint="eastAsia" w:ascii="宋体" w:hAnsi="宋体"/>
                <w:color w:val="auto"/>
                <w:sz w:val="21"/>
                <w:szCs w:val="21"/>
              </w:rPr>
              <w:t>）在正常生产情况下主通风机未连续运转；</w:t>
            </w:r>
            <w:r>
              <w:rPr>
                <w:rFonts w:hint="eastAsia" w:ascii="Times New Roman" w:hAnsi="Times New Roman"/>
                <w:color w:val="auto"/>
                <w:sz w:val="21"/>
                <w:szCs w:val="21"/>
              </w:rPr>
              <w:t>2</w:t>
            </w:r>
            <w:r>
              <w:rPr>
                <w:rFonts w:hint="eastAsia" w:ascii="宋体" w:hAnsi="宋体"/>
                <w:color w:val="auto"/>
                <w:sz w:val="21"/>
                <w:szCs w:val="21"/>
              </w:rPr>
              <w:t>）主通风机发生故障或者停机检查时，未立即向调度室和企业负责人报告，或者未采取必要安全措施；</w:t>
            </w:r>
            <w:r>
              <w:rPr>
                <w:rFonts w:hint="eastAsia" w:ascii="Times New Roman" w:hAnsi="Times New Roman"/>
                <w:color w:val="auto"/>
                <w:sz w:val="21"/>
                <w:szCs w:val="21"/>
              </w:rPr>
              <w:t>3</w:t>
            </w:r>
            <w:r>
              <w:rPr>
                <w:rFonts w:hint="eastAsia" w:ascii="宋体" w:hAnsi="宋体"/>
                <w:color w:val="auto"/>
                <w:sz w:val="21"/>
                <w:szCs w:val="21"/>
              </w:rPr>
              <w:t>）主通风机未按规定配备备用电动机，或者未配备能迅速调换电动机的设备及工具；</w:t>
            </w:r>
            <w:r>
              <w:rPr>
                <w:rFonts w:hint="eastAsia" w:ascii="Times New Roman" w:hAnsi="Times New Roman"/>
                <w:color w:val="auto"/>
                <w:sz w:val="21"/>
                <w:szCs w:val="21"/>
              </w:rPr>
              <w:t>4</w:t>
            </w:r>
            <w:r>
              <w:rPr>
                <w:rFonts w:hint="eastAsia" w:ascii="宋体" w:hAnsi="宋体"/>
                <w:color w:val="auto"/>
                <w:sz w:val="21"/>
                <w:szCs w:val="21"/>
              </w:rPr>
              <w:t>）作业工作面风速、风量、风质不符合国家标准或者行业标准要求；</w:t>
            </w:r>
            <w:r>
              <w:rPr>
                <w:rFonts w:hint="eastAsia" w:ascii="Times New Roman" w:hAnsi="Times New Roman"/>
                <w:color w:val="auto"/>
                <w:sz w:val="21"/>
                <w:szCs w:val="21"/>
              </w:rPr>
              <w:t>5</w:t>
            </w:r>
            <w:r>
              <w:rPr>
                <w:rFonts w:hint="eastAsia" w:ascii="宋体" w:hAnsi="宋体"/>
                <w:color w:val="auto"/>
                <w:sz w:val="21"/>
                <w:szCs w:val="21"/>
              </w:rPr>
              <w:t>）未设置通风系统在线监测系统的矿井，未按国家标准规定每年对通风系统进行</w:t>
            </w:r>
            <w:r>
              <w:rPr>
                <w:rFonts w:hint="eastAsia" w:ascii="Times New Roman" w:hAnsi="Times New Roman"/>
                <w:color w:val="auto"/>
                <w:sz w:val="21"/>
                <w:szCs w:val="21"/>
              </w:rPr>
              <w:t>1</w:t>
            </w:r>
            <w:r>
              <w:rPr>
                <w:rFonts w:hint="eastAsia" w:ascii="宋体" w:hAnsi="宋体"/>
                <w:color w:val="auto"/>
                <w:sz w:val="21"/>
                <w:szCs w:val="21"/>
              </w:rPr>
              <w:t>次检测；</w:t>
            </w:r>
            <w:r>
              <w:rPr>
                <w:rFonts w:hint="eastAsia" w:ascii="Times New Roman" w:hAnsi="Times New Roman"/>
                <w:color w:val="auto"/>
                <w:sz w:val="21"/>
                <w:szCs w:val="21"/>
              </w:rPr>
              <w:t>6</w:t>
            </w:r>
            <w:r>
              <w:rPr>
                <w:rFonts w:hint="eastAsia" w:ascii="宋体" w:hAnsi="宋体"/>
                <w:color w:val="auto"/>
                <w:sz w:val="21"/>
                <w:szCs w:val="21"/>
              </w:rPr>
              <w:t>）主通风设施不能在</w:t>
            </w:r>
            <w:r>
              <w:rPr>
                <w:rFonts w:hint="eastAsia" w:ascii="Times New Roman" w:hAnsi="Times New Roman"/>
                <w:color w:val="auto"/>
                <w:sz w:val="21"/>
                <w:szCs w:val="21"/>
              </w:rPr>
              <w:t>10</w:t>
            </w:r>
            <w:r>
              <w:rPr>
                <w:rFonts w:hint="eastAsia" w:ascii="宋体" w:hAnsi="宋体"/>
                <w:color w:val="auto"/>
                <w:sz w:val="21"/>
                <w:szCs w:val="21"/>
              </w:rPr>
              <w:t>分钟之内实现矿井反风，或者反风试验周期超过</w:t>
            </w:r>
            <w:r>
              <w:rPr>
                <w:rFonts w:hint="eastAsia" w:ascii="Times New Roman" w:hAnsi="Times New Roman"/>
                <w:color w:val="auto"/>
                <w:sz w:val="21"/>
                <w:szCs w:val="21"/>
              </w:rPr>
              <w:t>1</w:t>
            </w:r>
            <w:r>
              <w:rPr>
                <w:rFonts w:hint="eastAsia" w:ascii="宋体" w:hAnsi="宋体"/>
                <w:color w:val="auto"/>
                <w:sz w:val="21"/>
                <w:szCs w:val="21"/>
              </w:rPr>
              <w:t>年。</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198DE30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eastAsia="宋体" w:cs="Times New Roman"/>
                <w:color w:val="auto"/>
                <w:sz w:val="21"/>
                <w:szCs w:val="21"/>
                <w:lang w:val="en-US" w:eastAsia="zh-CN"/>
              </w:rPr>
              <w:t>矿井按照设计要求建立机械通风系统并经检测合格，定期进行了反风试验</w:t>
            </w:r>
            <w:r>
              <w:rPr>
                <w:rFonts w:hint="eastAsia" w:ascii="宋体" w:hAnsi="宋体" w:eastAsia="宋体" w:cs="Times New Roman"/>
                <w:color w:val="auto"/>
                <w:sz w:val="21"/>
                <w:szCs w:val="21"/>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37FBBCD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1DE1E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6E0BC81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21</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209FBBA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未配齐或者随身携带具有矿用产品安全标志的便携式气体检测报警仪和自救器，或者从业人员不能正确使用自救器。</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42375F2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矿山配齐具有矿用产品安全标志的便携式气体检测报警仪和自救器，从业人员能正确使用自救器。</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154A262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4727E4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7ACE89C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22</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15AD7B4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担负提升人员的提升系统，存在下列情形之一的：</w:t>
            </w:r>
            <w:r>
              <w:rPr>
                <w:rFonts w:hint="eastAsia" w:ascii="Times New Roman" w:hAnsi="Times New Roman"/>
                <w:color w:val="auto"/>
                <w:sz w:val="21"/>
                <w:szCs w:val="21"/>
              </w:rPr>
              <w:t>1</w:t>
            </w:r>
            <w:r>
              <w:rPr>
                <w:rFonts w:hint="eastAsia" w:ascii="宋体" w:hAnsi="宋体"/>
                <w:color w:val="auto"/>
                <w:sz w:val="21"/>
                <w:szCs w:val="21"/>
              </w:rPr>
              <w:t>）提升机、防坠器、钢丝绳、连接装置、提升容器未按国家规定进行定期检测检验，或者提升设备的安全保护装置失效；</w:t>
            </w:r>
            <w:r>
              <w:rPr>
                <w:rFonts w:hint="eastAsia" w:ascii="Times New Roman" w:hAnsi="Times New Roman"/>
                <w:color w:val="auto"/>
                <w:sz w:val="21"/>
                <w:szCs w:val="21"/>
              </w:rPr>
              <w:t>2</w:t>
            </w:r>
            <w:r>
              <w:rPr>
                <w:rFonts w:hint="eastAsia" w:ascii="宋体" w:hAnsi="宋体"/>
                <w:color w:val="auto"/>
                <w:sz w:val="21"/>
                <w:szCs w:val="21"/>
              </w:rPr>
              <w:t>）竖井井口和井下各中段马头门设置的安全门或者摇台与提升机未实现联锁；</w:t>
            </w:r>
            <w:r>
              <w:rPr>
                <w:rFonts w:hint="eastAsia" w:ascii="Times New Roman" w:hAnsi="Times New Roman"/>
                <w:color w:val="auto"/>
                <w:sz w:val="21"/>
                <w:szCs w:val="21"/>
              </w:rPr>
              <w:t>3</w:t>
            </w:r>
            <w:r>
              <w:rPr>
                <w:rFonts w:hint="eastAsia" w:ascii="宋体" w:hAnsi="宋体"/>
                <w:color w:val="auto"/>
                <w:sz w:val="21"/>
                <w:szCs w:val="21"/>
              </w:rPr>
              <w:t>）竖井提升系统过卷段未按国家规定设置过卷缓冲装置、楔形罐道、过卷挡梁或者不能正常使用，或者提升人员的罐笼提升系统未按国家规定在井架或者井塔的过卷段内设置罐笼防坠装置；</w:t>
            </w:r>
            <w:r>
              <w:rPr>
                <w:rFonts w:hint="eastAsia" w:ascii="Times New Roman" w:hAnsi="Times New Roman"/>
                <w:color w:val="auto"/>
                <w:sz w:val="21"/>
                <w:szCs w:val="21"/>
              </w:rPr>
              <w:t>4</w:t>
            </w:r>
            <w:r>
              <w:rPr>
                <w:rFonts w:hint="eastAsia" w:ascii="宋体" w:hAnsi="宋体"/>
                <w:color w:val="auto"/>
                <w:sz w:val="21"/>
                <w:szCs w:val="21"/>
              </w:rPr>
              <w:t>）斜井串车提升系统未按国家规定设置常闭式防跑车装置、阻车器、挡车栏，或者连接链、连接插销不符合国家规定；</w:t>
            </w:r>
            <w:r>
              <w:rPr>
                <w:rFonts w:hint="eastAsia" w:ascii="Times New Roman" w:hAnsi="Times New Roman"/>
                <w:color w:val="auto"/>
                <w:sz w:val="21"/>
                <w:szCs w:val="21"/>
              </w:rPr>
              <w:t>5</w:t>
            </w:r>
            <w:r>
              <w:rPr>
                <w:rFonts w:hint="eastAsia" w:ascii="宋体" w:hAnsi="宋体"/>
                <w:color w:val="auto"/>
                <w:sz w:val="21"/>
                <w:szCs w:val="21"/>
              </w:rPr>
              <w:t>）斜井提升信号系统与提升机之间未实现闭锁。</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073E09E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lang w:eastAsia="zh-CN"/>
              </w:rPr>
              <w:t>矿山采用平硐</w:t>
            </w:r>
            <w:r>
              <w:rPr>
                <w:rFonts w:hint="eastAsia" w:ascii="宋体" w:hAnsi="宋体"/>
                <w:color w:val="auto"/>
                <w:sz w:val="21"/>
                <w:szCs w:val="21"/>
                <w:lang w:val="en-US" w:eastAsia="zh-CN"/>
              </w:rPr>
              <w:t>开拓</w:t>
            </w:r>
            <w:r>
              <w:rPr>
                <w:rFonts w:hint="eastAsia" w:ascii="宋体" w:hAnsi="Times New Roman" w:eastAsia="宋体" w:cs="仿宋"/>
                <w:color w:val="auto"/>
                <w:kern w:val="2"/>
                <w:sz w:val="21"/>
                <w:szCs w:val="21"/>
                <w:lang w:val="en-US" w:eastAsia="zh-CN" w:bidi="ar-SA"/>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416CEAD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lang w:eastAsia="zh-CN"/>
              </w:rPr>
            </w:pPr>
            <w:r>
              <w:rPr>
                <w:rFonts w:hint="eastAsia" w:ascii="宋体" w:hAnsi="宋体" w:eastAsia="宋体" w:cs="Times New Roman"/>
                <w:color w:val="auto"/>
                <w:sz w:val="21"/>
                <w:szCs w:val="21"/>
                <w:lang w:val="en-US" w:eastAsia="zh-CN"/>
              </w:rPr>
              <w:t>否</w:t>
            </w:r>
          </w:p>
        </w:tc>
      </w:tr>
      <w:tr w14:paraId="443C06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723" w:type="dxa"/>
            <w:tcBorders>
              <w:top w:val="single" w:color="auto" w:sz="4" w:space="0"/>
              <w:left w:val="single" w:color="auto" w:sz="12" w:space="0"/>
              <w:bottom w:val="single" w:color="auto" w:sz="4" w:space="0"/>
              <w:right w:val="single" w:color="auto" w:sz="4" w:space="0"/>
            </w:tcBorders>
            <w:noWrap w:val="0"/>
            <w:vAlign w:val="center"/>
          </w:tcPr>
          <w:p w14:paraId="1AED625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23</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5FD36D6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井下无轨运人车辆存在下列情形之一的：</w:t>
            </w:r>
            <w:r>
              <w:rPr>
                <w:rFonts w:hint="eastAsia" w:ascii="Times New Roman" w:hAnsi="Times New Roman"/>
                <w:color w:val="auto"/>
                <w:sz w:val="21"/>
                <w:szCs w:val="21"/>
              </w:rPr>
              <w:t>1</w:t>
            </w:r>
            <w:r>
              <w:rPr>
                <w:rFonts w:hint="eastAsia" w:ascii="宋体" w:hAnsi="宋体"/>
                <w:color w:val="auto"/>
                <w:sz w:val="21"/>
                <w:szCs w:val="21"/>
              </w:rPr>
              <w:t>）未取得金属非金属矿山矿用产品安全标志；</w:t>
            </w:r>
            <w:r>
              <w:rPr>
                <w:rFonts w:hint="eastAsia" w:ascii="Times New Roman" w:hAnsi="Times New Roman"/>
                <w:color w:val="auto"/>
                <w:sz w:val="21"/>
                <w:szCs w:val="21"/>
              </w:rPr>
              <w:t>2</w:t>
            </w:r>
            <w:r>
              <w:rPr>
                <w:rFonts w:hint="eastAsia" w:ascii="宋体" w:hAnsi="宋体"/>
                <w:color w:val="auto"/>
                <w:sz w:val="21"/>
                <w:szCs w:val="21"/>
              </w:rPr>
              <w:t>）载人数量超过</w:t>
            </w:r>
            <w:r>
              <w:rPr>
                <w:rFonts w:hint="eastAsia" w:ascii="Times New Roman" w:hAnsi="Times New Roman"/>
                <w:color w:val="auto"/>
                <w:sz w:val="21"/>
                <w:szCs w:val="21"/>
              </w:rPr>
              <w:t>25</w:t>
            </w:r>
            <w:r>
              <w:rPr>
                <w:rFonts w:hint="eastAsia" w:ascii="宋体" w:hAnsi="宋体"/>
                <w:color w:val="auto"/>
                <w:sz w:val="21"/>
                <w:szCs w:val="21"/>
              </w:rPr>
              <w:t>人或超过核载人数；</w:t>
            </w:r>
            <w:r>
              <w:rPr>
                <w:rFonts w:hint="eastAsia" w:ascii="Times New Roman" w:hAnsi="Times New Roman"/>
                <w:color w:val="auto"/>
                <w:sz w:val="21"/>
                <w:szCs w:val="21"/>
              </w:rPr>
              <w:t>3</w:t>
            </w:r>
            <w:r>
              <w:rPr>
                <w:rFonts w:hint="eastAsia" w:ascii="宋体" w:hAnsi="宋体"/>
                <w:color w:val="auto"/>
                <w:sz w:val="21"/>
                <w:szCs w:val="21"/>
              </w:rPr>
              <w:t>）制动采用干式制动器，或未同时配备行车制动系统、驻车制动系统和应急制动系统；</w:t>
            </w:r>
            <w:r>
              <w:rPr>
                <w:rFonts w:hint="eastAsia" w:ascii="Times New Roman" w:hAnsi="Times New Roman"/>
                <w:color w:val="auto"/>
                <w:sz w:val="21"/>
                <w:szCs w:val="21"/>
              </w:rPr>
              <w:t>4</w:t>
            </w:r>
            <w:r>
              <w:rPr>
                <w:rFonts w:hint="eastAsia" w:ascii="宋体" w:hAnsi="宋体"/>
                <w:color w:val="auto"/>
                <w:sz w:val="21"/>
                <w:szCs w:val="21"/>
              </w:rPr>
              <w:t>）未按国家规定对车辆进行检测检验。</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49CF76A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Times New Roman" w:hAnsi="Times New Roman" w:eastAsia="宋体"/>
                <w:color w:val="auto"/>
                <w:sz w:val="21"/>
                <w:szCs w:val="21"/>
                <w:lang w:eastAsia="zh-CN"/>
              </w:rPr>
            </w:pPr>
            <w:r>
              <w:rPr>
                <w:rFonts w:hint="eastAsia"/>
                <w:color w:val="auto"/>
                <w:sz w:val="21"/>
                <w:szCs w:val="21"/>
                <w:lang w:val="en-US" w:eastAsia="zh-CN"/>
              </w:rPr>
              <w:t>无</w:t>
            </w:r>
            <w:r>
              <w:rPr>
                <w:rFonts w:hint="eastAsia" w:ascii="宋体" w:hAnsi="宋体"/>
                <w:color w:val="auto"/>
                <w:sz w:val="21"/>
                <w:szCs w:val="21"/>
              </w:rPr>
              <w:t>井下无轨运人车辆</w:t>
            </w:r>
            <w:r>
              <w:rPr>
                <w:rFonts w:hint="eastAsia"/>
                <w:color w:val="auto"/>
                <w:sz w:val="21"/>
                <w:szCs w:val="21"/>
                <w:lang w:eastAsia="zh-CN"/>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543C8F0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lang w:eastAsia="zh-CN"/>
              </w:rPr>
            </w:pPr>
            <w:r>
              <w:rPr>
                <w:rFonts w:hint="eastAsia" w:ascii="宋体" w:hAnsi="宋体" w:eastAsia="宋体" w:cs="Times New Roman"/>
                <w:color w:val="auto"/>
                <w:sz w:val="21"/>
                <w:szCs w:val="21"/>
                <w:lang w:val="en-US" w:eastAsia="zh-CN"/>
              </w:rPr>
              <w:t>否</w:t>
            </w:r>
          </w:p>
        </w:tc>
      </w:tr>
      <w:tr w14:paraId="51A42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23" w:type="dxa"/>
            <w:tcBorders>
              <w:top w:val="single" w:color="auto" w:sz="4" w:space="0"/>
              <w:left w:val="single" w:color="auto" w:sz="12" w:space="0"/>
              <w:bottom w:val="single" w:color="auto" w:sz="4" w:space="0"/>
              <w:right w:val="single" w:color="auto" w:sz="4" w:space="0"/>
            </w:tcBorders>
            <w:noWrap w:val="0"/>
            <w:vAlign w:val="center"/>
          </w:tcPr>
          <w:p w14:paraId="4F9D557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olor w:val="auto"/>
                <w:sz w:val="21"/>
                <w:szCs w:val="21"/>
              </w:rPr>
            </w:pPr>
            <w:r>
              <w:rPr>
                <w:rFonts w:hint="eastAsia" w:ascii="Times New Roman" w:hAnsi="Times New Roman"/>
                <w:color w:val="auto"/>
                <w:sz w:val="21"/>
                <w:szCs w:val="21"/>
              </w:rPr>
              <w:t>24</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67103F4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color w:val="auto"/>
                <w:sz w:val="21"/>
                <w:szCs w:val="21"/>
              </w:rPr>
              <w:t>一级负荷没有采用双重电源供电，或双重电源中任一电源不能满足全部一级负荷需要。</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1212840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olor w:val="auto"/>
                <w:sz w:val="21"/>
                <w:szCs w:val="21"/>
              </w:rPr>
            </w:pPr>
            <w:r>
              <w:rPr>
                <w:rFonts w:hint="eastAsia" w:ascii="宋体" w:hAnsi="宋体" w:eastAsia="宋体" w:cs="宋体"/>
                <w:color w:val="auto"/>
                <w:kern w:val="0"/>
                <w:sz w:val="21"/>
                <w:szCs w:val="21"/>
                <w:lang w:val="en-US" w:eastAsia="zh-CN" w:bidi="ar"/>
              </w:rPr>
              <w:t>无一级负荷</w:t>
            </w:r>
            <w:r>
              <w:rPr>
                <w:rFonts w:hint="eastAsia" w:ascii="宋体" w:hAnsi="宋体"/>
                <w:color w:val="auto"/>
                <w:sz w:val="21"/>
                <w:szCs w:val="21"/>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44528F39">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AC72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23" w:type="dxa"/>
            <w:tcBorders>
              <w:top w:val="single" w:color="auto" w:sz="4" w:space="0"/>
              <w:left w:val="single" w:color="auto" w:sz="12" w:space="0"/>
              <w:bottom w:val="single" w:color="auto" w:sz="4" w:space="0"/>
              <w:right w:val="single" w:color="auto" w:sz="4" w:space="0"/>
            </w:tcBorders>
            <w:noWrap w:val="0"/>
            <w:vAlign w:val="center"/>
          </w:tcPr>
          <w:p w14:paraId="529518E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25</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74D986A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向井下采场供电的</w:t>
            </w:r>
            <w:r>
              <w:rPr>
                <w:rFonts w:hint="eastAsia" w:ascii="Times New Roman" w:hAnsi="Times New Roman"/>
                <w:color w:val="auto"/>
                <w:sz w:val="21"/>
                <w:szCs w:val="21"/>
              </w:rPr>
              <w:t>6kv-35kv</w:t>
            </w:r>
            <w:r>
              <w:rPr>
                <w:rFonts w:hint="eastAsia" w:ascii="宋体" w:hAnsi="宋体"/>
                <w:color w:val="auto"/>
                <w:sz w:val="21"/>
                <w:szCs w:val="21"/>
              </w:rPr>
              <w:t>系统的中性点采用直接接地</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6DDCA26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未出现此类情形。</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7FCF3A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4764E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23" w:type="dxa"/>
            <w:tcBorders>
              <w:top w:val="single" w:color="auto" w:sz="4" w:space="0"/>
              <w:left w:val="single" w:color="auto" w:sz="12" w:space="0"/>
              <w:bottom w:val="single" w:color="auto" w:sz="4" w:space="0"/>
              <w:right w:val="single" w:color="auto" w:sz="4" w:space="0"/>
            </w:tcBorders>
            <w:noWrap w:val="0"/>
            <w:vAlign w:val="center"/>
          </w:tcPr>
          <w:p w14:paraId="2F60D48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26</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53BF564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工程地质或水文地质类型复杂的矿山，井巷工程施工未进行施工组织设计，或未按施工组织设计落实安全措施。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339F271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Times New Roman" w:hAnsi="Times New Roman" w:eastAsia="宋体" w:cs="宋体"/>
                <w:color w:val="auto"/>
                <w:sz w:val="21"/>
                <w:szCs w:val="21"/>
                <w:lang w:eastAsia="zh-CN"/>
              </w:rPr>
            </w:pPr>
            <w:r>
              <w:rPr>
                <w:rFonts w:hint="eastAsia" w:ascii="宋体" w:hAnsi="宋体" w:eastAsia="宋体" w:cs="宋体"/>
                <w:b w:val="0"/>
                <w:bCs w:val="0"/>
                <w:color w:val="auto"/>
                <w:sz w:val="21"/>
                <w:szCs w:val="21"/>
              </w:rPr>
              <w:t>属简单类型</w:t>
            </w:r>
            <w:r>
              <w:rPr>
                <w:rFonts w:hint="eastAsia" w:ascii="宋体" w:hAnsi="宋体" w:eastAsia="宋体" w:cs="宋体"/>
                <w:b w:val="0"/>
                <w:bCs w:val="0"/>
                <w:color w:val="auto"/>
                <w:sz w:val="21"/>
                <w:szCs w:val="21"/>
                <w:lang w:eastAsia="zh-CN"/>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2049042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19C07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5708707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27</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7CEF4C0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新建、改扩建矿山建设项目有下列行为之一的：</w:t>
            </w:r>
            <w:r>
              <w:rPr>
                <w:rFonts w:hint="eastAsia" w:ascii="Times New Roman" w:hAnsi="Times New Roman"/>
                <w:color w:val="auto"/>
                <w:sz w:val="21"/>
                <w:szCs w:val="21"/>
              </w:rPr>
              <w:t>1</w:t>
            </w:r>
            <w:r>
              <w:rPr>
                <w:rFonts w:hint="eastAsia" w:ascii="宋体" w:hAnsi="宋体"/>
                <w:color w:val="auto"/>
                <w:sz w:val="21"/>
                <w:szCs w:val="21"/>
              </w:rPr>
              <w:t>）安全设施设计未经批准或出现重大变更未经再次批准擅自组织施工；</w:t>
            </w:r>
            <w:r>
              <w:rPr>
                <w:rFonts w:hint="eastAsia" w:ascii="Times New Roman" w:hAnsi="Times New Roman"/>
                <w:color w:val="auto"/>
                <w:sz w:val="21"/>
                <w:szCs w:val="21"/>
              </w:rPr>
              <w:t>2</w:t>
            </w:r>
            <w:r>
              <w:rPr>
                <w:rFonts w:hint="eastAsia" w:ascii="宋体" w:hAnsi="宋体"/>
                <w:color w:val="auto"/>
                <w:sz w:val="21"/>
                <w:szCs w:val="21"/>
              </w:rPr>
              <w:t>）竣工验收前组织生产，经批准的联合试运转除外。</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4D90DB9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不属于新建、改扩建矿山。</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480A6B4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2F9A2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68D40E1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28</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1BF78FC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矿山企业违反国家有关工程项目发包规定，有下列行为之一的：</w:t>
            </w:r>
            <w:r>
              <w:rPr>
                <w:rFonts w:hint="eastAsia" w:ascii="Times New Roman" w:hAnsi="Times New Roman"/>
                <w:color w:val="auto"/>
                <w:sz w:val="21"/>
                <w:szCs w:val="21"/>
              </w:rPr>
              <w:t>1</w:t>
            </w:r>
            <w:r>
              <w:rPr>
                <w:rFonts w:hint="eastAsia" w:ascii="宋体" w:hAnsi="宋体"/>
                <w:color w:val="auto"/>
                <w:sz w:val="21"/>
                <w:szCs w:val="21"/>
              </w:rPr>
              <w:t>）将工程项目发包给不具有法定资质和条件的单位，或者承包单位数量超过国家规定的数量；</w:t>
            </w:r>
            <w:r>
              <w:rPr>
                <w:rFonts w:hint="eastAsia" w:ascii="Times New Roman" w:hAnsi="Times New Roman"/>
                <w:color w:val="auto"/>
                <w:sz w:val="21"/>
                <w:szCs w:val="21"/>
              </w:rPr>
              <w:t>2</w:t>
            </w:r>
            <w:r>
              <w:rPr>
                <w:rFonts w:hint="eastAsia" w:ascii="宋体" w:hAnsi="宋体"/>
                <w:color w:val="auto"/>
                <w:sz w:val="21"/>
                <w:szCs w:val="21"/>
              </w:rPr>
              <w:t>）承包单位项目部的负责人、安全生产管理人员、专业技术人员、特种作业人员不符合国家规定的数量、条件或者不属于承包单位正式职工。</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149A6B3B">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eastAsia="宋体" w:cs="Times New Roman"/>
                <w:color w:val="auto"/>
                <w:sz w:val="21"/>
                <w:szCs w:val="21"/>
                <w:lang w:val="en-US" w:eastAsia="zh-CN"/>
              </w:rPr>
              <w:t>企业只将</w:t>
            </w:r>
            <w:r>
              <w:rPr>
                <w:rFonts w:hint="eastAsia" w:ascii="宋体" w:hAnsi="宋体" w:eastAsia="宋体" w:cs="Times New Roman"/>
                <w:color w:val="auto"/>
                <w:sz w:val="21"/>
                <w:szCs w:val="21"/>
                <w:lang w:eastAsia="zh-CN"/>
              </w:rPr>
              <w:t>爆破</w:t>
            </w:r>
            <w:r>
              <w:rPr>
                <w:rFonts w:hint="eastAsia" w:ascii="宋体" w:hAnsi="宋体" w:eastAsia="宋体" w:cs="Times New Roman"/>
                <w:color w:val="auto"/>
                <w:sz w:val="21"/>
                <w:szCs w:val="21"/>
                <w:lang w:val="en-US" w:eastAsia="zh-CN"/>
              </w:rPr>
              <w:t>作业外</w:t>
            </w:r>
            <w:r>
              <w:rPr>
                <w:rFonts w:hint="eastAsia" w:ascii="宋体" w:hAnsi="宋体" w:eastAsia="宋体" w:cs="Times New Roman"/>
                <w:color w:val="auto"/>
                <w:sz w:val="21"/>
                <w:szCs w:val="21"/>
                <w:lang w:eastAsia="zh-CN"/>
              </w:rPr>
              <w:t>包，</w:t>
            </w:r>
            <w:r>
              <w:rPr>
                <w:rFonts w:hint="eastAsia" w:ascii="宋体" w:hAnsi="宋体" w:eastAsia="宋体" w:cs="Times New Roman"/>
                <w:color w:val="auto"/>
                <w:sz w:val="21"/>
                <w:szCs w:val="21"/>
                <w:lang w:val="en-US" w:eastAsia="zh-CN"/>
              </w:rPr>
              <w:t>相关人员符合国家规定的数量、条件。</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69D2EA8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6A4014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3889C53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29</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67753C3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井下或者井口动火作业未按国家规定落实审批制度或安全措施。</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79134D0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Times New Roman" w:hAnsi="Times New Roman" w:eastAsia="宋体" w:cs="宋体"/>
                <w:color w:val="auto"/>
                <w:sz w:val="21"/>
                <w:szCs w:val="21"/>
                <w:lang w:eastAsia="zh-CN"/>
              </w:rPr>
            </w:pPr>
            <w:r>
              <w:rPr>
                <w:rFonts w:hint="eastAsia" w:ascii="宋体" w:hAnsi="宋体"/>
                <w:color w:val="auto"/>
                <w:sz w:val="21"/>
                <w:szCs w:val="21"/>
              </w:rPr>
              <w:t>井下或者井口动火作业将按国家规定落实审批制度或安全措施</w:t>
            </w:r>
            <w:r>
              <w:rPr>
                <w:rFonts w:hint="eastAsia" w:ascii="宋体" w:hAnsi="宋体"/>
                <w:color w:val="auto"/>
                <w:sz w:val="21"/>
                <w:szCs w:val="21"/>
                <w:lang w:eastAsia="zh-CN"/>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39EAE9F4">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20E5C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53012BC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30</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7A40AEB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矿山年产量超过矿山设计年生产能力幅度在</w:t>
            </w:r>
            <w:r>
              <w:rPr>
                <w:rFonts w:hint="eastAsia" w:ascii="Times New Roman" w:hAnsi="Times New Roman"/>
                <w:color w:val="auto"/>
                <w:sz w:val="21"/>
                <w:szCs w:val="21"/>
              </w:rPr>
              <w:t>20%</w:t>
            </w:r>
            <w:r>
              <w:rPr>
                <w:rFonts w:hint="eastAsia" w:ascii="宋体" w:hAnsi="宋体"/>
                <w:color w:val="auto"/>
                <w:sz w:val="21"/>
                <w:szCs w:val="21"/>
              </w:rPr>
              <w:t>及以上，或者月产量大于矿山设计年生产能力的</w:t>
            </w:r>
            <w:r>
              <w:rPr>
                <w:rFonts w:hint="eastAsia" w:ascii="Times New Roman" w:hAnsi="Times New Roman"/>
                <w:color w:val="auto"/>
                <w:sz w:val="21"/>
                <w:szCs w:val="21"/>
              </w:rPr>
              <w:t>20%</w:t>
            </w:r>
            <w:r>
              <w:rPr>
                <w:rFonts w:hint="eastAsia" w:ascii="宋体" w:hAnsi="宋体"/>
                <w:color w:val="auto"/>
                <w:sz w:val="21"/>
                <w:szCs w:val="21"/>
              </w:rPr>
              <w:t>及以上。</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24940DA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eastAsia="宋体" w:cs="宋体"/>
                <w:color w:val="auto"/>
                <w:spacing w:val="8"/>
                <w:sz w:val="21"/>
                <w:szCs w:val="21"/>
                <w:lang w:val="en-US" w:eastAsia="zh-CN"/>
              </w:rPr>
              <w:t>2025年1月至今，</w:t>
            </w:r>
            <w:r>
              <w:rPr>
                <w:rFonts w:hint="eastAsia" w:ascii="宋体" w:hAnsi="宋体" w:eastAsia="宋体" w:cs="宋体"/>
                <w:color w:val="auto"/>
                <w:sz w:val="21"/>
                <w:szCs w:val="21"/>
                <w:lang w:val="en-US" w:eastAsia="zh-CN"/>
              </w:rPr>
              <w:t>茅排金矿处于停止生产状态。</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F09B97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lang w:eastAsia="zh-CN"/>
              </w:rPr>
            </w:pPr>
            <w:r>
              <w:rPr>
                <w:rFonts w:hint="eastAsia" w:ascii="宋体" w:hAnsi="宋体" w:eastAsia="宋体" w:cs="Times New Roman"/>
                <w:color w:val="auto"/>
                <w:sz w:val="21"/>
                <w:szCs w:val="21"/>
                <w:lang w:val="en-US" w:eastAsia="zh-CN"/>
              </w:rPr>
              <w:t>否</w:t>
            </w:r>
          </w:p>
        </w:tc>
      </w:tr>
      <w:tr w14:paraId="1DBD7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14E5818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31</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6465838A">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矿井未建立安全监测监控系统、人员定位系统、通信联络系统，或者已经建立的系统不符合国家有关规定，或者运行不正常未及时修复，或者关闭、破坏该系统，或者篡改、隐瞒、销毁其相关数据、信息。</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1E932E0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Times New Roman" w:eastAsia="宋体" w:cs="仿宋"/>
                <w:color w:val="auto"/>
                <w:kern w:val="2"/>
                <w:sz w:val="21"/>
                <w:szCs w:val="21"/>
                <w:lang w:val="en-US" w:eastAsia="zh-CN" w:bidi="ar-SA"/>
              </w:rPr>
              <w:t>矿山已建设安全避险“六大系统”</w:t>
            </w:r>
            <w:r>
              <w:rPr>
                <w:rFonts w:hint="eastAsia" w:ascii="宋体" w:hAnsi="宋体"/>
                <w:color w:val="auto"/>
                <w:sz w:val="21"/>
                <w:szCs w:val="21"/>
                <w:lang w:eastAsia="zh-CN"/>
              </w:rPr>
              <w:t>，符合相关要求</w:t>
            </w:r>
            <w:r>
              <w:rPr>
                <w:rFonts w:hint="eastAsia" w:ascii="宋体" w:hAnsi="宋体"/>
                <w:color w:val="auto"/>
                <w:sz w:val="21"/>
                <w:szCs w:val="21"/>
              </w:rPr>
              <w:t>。</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4C3487B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A95C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58BD5FA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ascii="Times New Roman" w:hAnsi="Times New Roman" w:cs="宋体"/>
                <w:color w:val="auto"/>
                <w:sz w:val="21"/>
                <w:szCs w:val="21"/>
              </w:rPr>
            </w:pPr>
            <w:r>
              <w:rPr>
                <w:rFonts w:hint="eastAsia" w:ascii="Times New Roman" w:hAnsi="Times New Roman"/>
                <w:color w:val="auto"/>
                <w:sz w:val="21"/>
                <w:szCs w:val="21"/>
              </w:rPr>
              <w:t>32</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4FB8DCF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宋体"/>
                <w:color w:val="auto"/>
                <w:sz w:val="21"/>
                <w:szCs w:val="21"/>
              </w:rPr>
              <w:t>未配备具有矿山相关专业的专职矿长、总工程师以及分管安全、生产、机电的副矿长，或者未配备具有采矿、地质、测量、机电等专业的技术人员。</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6950BFA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ascii="Times New Roman" w:hAnsi="Times New Roman" w:cs="宋体"/>
                <w:color w:val="auto"/>
                <w:sz w:val="21"/>
                <w:szCs w:val="21"/>
              </w:rPr>
            </w:pPr>
            <w:r>
              <w:rPr>
                <w:rFonts w:hint="eastAsia" w:ascii="宋体" w:hAnsi="Times New Roman" w:eastAsia="宋体" w:cs="仿宋"/>
                <w:color w:val="auto"/>
                <w:kern w:val="2"/>
                <w:sz w:val="21"/>
                <w:szCs w:val="21"/>
                <w:lang w:val="en-US" w:eastAsia="zh-CN" w:bidi="ar-SA"/>
              </w:rPr>
              <w:t>配备了具有矿山相关专业的专职矿长、总工程师以及分管安全、生产、机电的副矿长，配备了具有采矿、地质、测量、机电等专业的技术人员。</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284AE47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Times New Roman"/>
                <w:color w:val="auto"/>
                <w:sz w:val="21"/>
                <w:szCs w:val="21"/>
                <w:lang w:val="en-US" w:eastAsia="zh-CN"/>
              </w:rPr>
              <w:t>否</w:t>
            </w:r>
          </w:p>
        </w:tc>
      </w:tr>
      <w:tr w14:paraId="36531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71E4FDA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olor w:val="auto"/>
                <w:sz w:val="21"/>
                <w:szCs w:val="21"/>
              </w:rPr>
            </w:pPr>
            <w:r>
              <w:rPr>
                <w:rFonts w:hint="eastAsia" w:ascii="宋体" w:hAnsi="宋体" w:eastAsia="宋体" w:cs="宋体"/>
                <w:color w:val="auto"/>
                <w:sz w:val="21"/>
                <w:szCs w:val="21"/>
                <w:lang w:val="en-US" w:eastAsia="zh-CN"/>
              </w:rPr>
              <w:t>33</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00517CB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宋体"/>
                <w:color w:val="auto"/>
                <w:sz w:val="21"/>
                <w:szCs w:val="21"/>
                <w:lang w:val="en-US" w:eastAsia="zh-CN"/>
              </w:rPr>
              <w:t>地表距进风进口和平硐口50m范围内存放油料或其他易燃、易爆材料。</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7F93B36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Times New Roman" w:eastAsia="宋体" w:cs="仿宋"/>
                <w:color w:val="auto"/>
                <w:kern w:val="2"/>
                <w:sz w:val="21"/>
                <w:szCs w:val="21"/>
                <w:lang w:val="en-US" w:eastAsia="zh-CN" w:bidi="ar-SA"/>
              </w:rPr>
            </w:pPr>
            <w:r>
              <w:rPr>
                <w:rFonts w:hint="eastAsia" w:ascii="宋体" w:hAnsi="宋体" w:eastAsia="宋体" w:cs="宋体"/>
                <w:color w:val="auto"/>
                <w:sz w:val="21"/>
                <w:szCs w:val="21"/>
                <w:lang w:val="en-US" w:eastAsia="zh-CN"/>
              </w:rPr>
              <w:t>地表距进风井口和平硐口50m范围内未存放油料或其他易燃、易爆材料。</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314A295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eastAsia="宋体" w:cs="宋体"/>
                <w:color w:val="auto"/>
                <w:sz w:val="21"/>
                <w:szCs w:val="21"/>
                <w:lang w:val="en-US" w:eastAsia="zh-CN"/>
              </w:rPr>
            </w:pPr>
            <w:r>
              <w:rPr>
                <w:rFonts w:hint="eastAsia" w:ascii="宋体" w:hAnsi="宋体" w:eastAsia="宋体" w:cs="Times New Roman"/>
                <w:color w:val="auto"/>
                <w:sz w:val="21"/>
                <w:szCs w:val="21"/>
                <w:lang w:val="en-US" w:eastAsia="zh-CN"/>
              </w:rPr>
              <w:t>否</w:t>
            </w:r>
          </w:p>
        </w:tc>
      </w:tr>
      <w:tr w14:paraId="49E9B4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20B17B2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olor w:val="auto"/>
                <w:sz w:val="21"/>
                <w:szCs w:val="21"/>
              </w:rPr>
            </w:pPr>
            <w:r>
              <w:rPr>
                <w:rFonts w:hint="eastAsia" w:ascii="宋体" w:hAnsi="宋体" w:eastAsia="宋体" w:cs="宋体"/>
                <w:color w:val="auto"/>
                <w:sz w:val="21"/>
                <w:szCs w:val="21"/>
                <w:lang w:val="en-US" w:eastAsia="zh-CN"/>
              </w:rPr>
              <w:t>34</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6C82E4F2">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宋体"/>
                <w:color w:val="auto"/>
                <w:sz w:val="21"/>
                <w:szCs w:val="21"/>
                <w:lang w:val="en-US" w:eastAsia="zh-CN"/>
              </w:rPr>
              <w:t>受地表水威胁的矿井，未查清矿山及周边地面裂缝、废弃井巷、封闭不良钻孔、采空区、水力联络通道等隐蔽制灾因素或者未采取有效治理措施，在井下受威胁区域组织生产建设。</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79CF7E0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宋体" w:hAnsi="Times New Roman" w:eastAsia="宋体" w:cs="仿宋"/>
                <w:color w:val="auto"/>
                <w:kern w:val="2"/>
                <w:sz w:val="21"/>
                <w:szCs w:val="21"/>
                <w:lang w:val="en-US" w:eastAsia="zh-CN" w:bidi="ar-SA"/>
              </w:rPr>
            </w:pPr>
            <w:r>
              <w:rPr>
                <w:rFonts w:hint="eastAsia" w:ascii="宋体" w:hAnsi="Times New Roman" w:eastAsia="宋体" w:cs="仿宋"/>
                <w:color w:val="auto"/>
                <w:kern w:val="2"/>
                <w:sz w:val="21"/>
                <w:szCs w:val="21"/>
                <w:lang w:val="en-US" w:eastAsia="zh-CN" w:bidi="ar-SA"/>
              </w:rPr>
              <w:t>已查清矿山及周边地面裂缝、废弃井巷、封闭不良钻孔、采空区、水力联系通道等隐蔽致灾因素并采取有效治理措施，在井下受威胁区域未组织生产建设。</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664019D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Times New Roman"/>
                <w:color w:val="auto"/>
                <w:sz w:val="21"/>
                <w:szCs w:val="21"/>
                <w:lang w:val="en-US" w:eastAsia="zh-CN"/>
              </w:rPr>
              <w:t>否</w:t>
            </w:r>
          </w:p>
        </w:tc>
      </w:tr>
      <w:tr w14:paraId="0FBED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47C278D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olor w:val="auto"/>
                <w:sz w:val="21"/>
                <w:szCs w:val="21"/>
              </w:rPr>
            </w:pPr>
            <w:r>
              <w:rPr>
                <w:rFonts w:hint="eastAsia" w:ascii="宋体" w:hAnsi="宋体" w:eastAsia="宋体" w:cs="宋体"/>
                <w:color w:val="auto"/>
                <w:sz w:val="21"/>
                <w:szCs w:val="21"/>
                <w:lang w:val="en-US" w:eastAsia="zh-CN"/>
              </w:rPr>
              <w:t>35</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3AE9712E">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宋体"/>
                <w:color w:val="auto"/>
                <w:sz w:val="21"/>
                <w:szCs w:val="21"/>
                <w:lang w:val="en-US" w:eastAsia="zh-CN"/>
              </w:rPr>
              <w:t>办公区、生活区等人员聚集场所设在危崖、塌陷区、崩落区，或洪水、泥石流、滑坡等灾害威胁范围内。</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23336F43">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宋体" w:hAnsi="Times New Roman" w:eastAsia="宋体" w:cs="仿宋"/>
                <w:color w:val="auto"/>
                <w:kern w:val="2"/>
                <w:sz w:val="21"/>
                <w:szCs w:val="21"/>
                <w:lang w:val="en-US" w:eastAsia="zh-CN" w:bidi="ar-SA"/>
              </w:rPr>
            </w:pPr>
            <w:r>
              <w:rPr>
                <w:rFonts w:hint="eastAsia" w:ascii="宋体" w:hAnsi="Times New Roman" w:eastAsia="宋体" w:cs="仿宋"/>
                <w:color w:val="auto"/>
                <w:kern w:val="2"/>
                <w:sz w:val="21"/>
                <w:szCs w:val="21"/>
                <w:lang w:val="en-US" w:eastAsia="zh-CN" w:bidi="ar-SA"/>
              </w:rPr>
              <w:t>办公区、生活区等人员集聚场所不设在危崖、塌陷区、崩落区，或洪水、泥石流、滑坡等灾害威胁范围内。</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64542E58">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Times New Roman"/>
                <w:color w:val="auto"/>
                <w:sz w:val="21"/>
                <w:szCs w:val="21"/>
                <w:lang w:val="en-US" w:eastAsia="zh-CN"/>
              </w:rPr>
              <w:t>否</w:t>
            </w:r>
          </w:p>
        </w:tc>
      </w:tr>
      <w:tr w14:paraId="118B8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single" w:color="auto" w:sz="12" w:space="0"/>
              <w:bottom w:val="single" w:color="auto" w:sz="4" w:space="0"/>
              <w:right w:val="single" w:color="auto" w:sz="4" w:space="0"/>
            </w:tcBorders>
            <w:noWrap w:val="0"/>
            <w:vAlign w:val="center"/>
          </w:tcPr>
          <w:p w14:paraId="2BFD549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Times New Roman" w:hAnsi="Times New Roman"/>
                <w:color w:val="auto"/>
                <w:sz w:val="21"/>
                <w:szCs w:val="21"/>
              </w:rPr>
            </w:pPr>
            <w:r>
              <w:rPr>
                <w:rFonts w:hint="eastAsia" w:ascii="宋体" w:hAnsi="宋体" w:eastAsia="宋体" w:cs="宋体"/>
                <w:color w:val="auto"/>
                <w:sz w:val="21"/>
                <w:szCs w:val="21"/>
                <w:lang w:val="en-US" w:eastAsia="zh-CN"/>
              </w:rPr>
              <w:t>36</w:t>
            </w:r>
          </w:p>
        </w:tc>
        <w:tc>
          <w:tcPr>
            <w:tcW w:w="4616" w:type="dxa"/>
            <w:tcBorders>
              <w:top w:val="single" w:color="auto" w:sz="4" w:space="0"/>
              <w:left w:val="single" w:color="auto" w:sz="4" w:space="0"/>
              <w:bottom w:val="single" w:color="auto" w:sz="4" w:space="0"/>
              <w:right w:val="single" w:color="auto" w:sz="4" w:space="0"/>
            </w:tcBorders>
            <w:noWrap w:val="0"/>
            <w:vAlign w:val="center"/>
          </w:tcPr>
          <w:p w14:paraId="4CAF20E7">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color w:val="auto"/>
                <w:sz w:val="21"/>
                <w:szCs w:val="21"/>
              </w:rPr>
            </w:pPr>
            <w:r>
              <w:rPr>
                <w:rFonts w:hint="eastAsia" w:ascii="宋体" w:hAnsi="宋体" w:eastAsia="宋体" w:cs="宋体"/>
                <w:color w:val="auto"/>
                <w:sz w:val="21"/>
                <w:szCs w:val="21"/>
                <w:lang w:val="en-US" w:eastAsia="zh-CN"/>
              </w:rPr>
              <w:t>遇极端天气地下矿山未及时停止作业、撤出现场作业人员。</w:t>
            </w:r>
          </w:p>
        </w:tc>
        <w:tc>
          <w:tcPr>
            <w:tcW w:w="3024" w:type="dxa"/>
            <w:tcBorders>
              <w:top w:val="single" w:color="auto" w:sz="4" w:space="0"/>
              <w:left w:val="single" w:color="auto" w:sz="4" w:space="0"/>
              <w:bottom w:val="single" w:color="auto" w:sz="4" w:space="0"/>
              <w:right w:val="single" w:color="auto" w:sz="12" w:space="0"/>
            </w:tcBorders>
            <w:noWrap w:val="0"/>
            <w:vAlign w:val="center"/>
          </w:tcPr>
          <w:p w14:paraId="54C1DC1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宋体" w:hAnsi="Times New Roman" w:eastAsia="宋体" w:cs="仿宋"/>
                <w:color w:val="auto"/>
                <w:kern w:val="2"/>
                <w:sz w:val="21"/>
                <w:szCs w:val="21"/>
                <w:lang w:val="en-US" w:eastAsia="zh-CN" w:bidi="ar-SA"/>
              </w:rPr>
            </w:pPr>
            <w:r>
              <w:rPr>
                <w:rFonts w:hint="eastAsia" w:ascii="宋体" w:hAnsi="Times New Roman" w:eastAsia="宋体" w:cs="仿宋"/>
                <w:color w:val="auto"/>
                <w:kern w:val="2"/>
                <w:sz w:val="21"/>
                <w:szCs w:val="21"/>
                <w:lang w:val="en-US" w:eastAsia="zh-CN" w:bidi="ar-SA"/>
              </w:rPr>
              <w:t>遇极端天气时，地下矿山及时停止作业、撤出现场作业人员。</w:t>
            </w:r>
          </w:p>
        </w:tc>
        <w:tc>
          <w:tcPr>
            <w:tcW w:w="913" w:type="dxa"/>
            <w:tcBorders>
              <w:top w:val="single" w:color="auto" w:sz="4" w:space="0"/>
              <w:left w:val="single" w:color="auto" w:sz="4" w:space="0"/>
              <w:bottom w:val="single" w:color="auto" w:sz="4" w:space="0"/>
              <w:right w:val="single" w:color="auto" w:sz="12" w:space="0"/>
            </w:tcBorders>
            <w:noWrap w:val="0"/>
            <w:vAlign w:val="center"/>
          </w:tcPr>
          <w:p w14:paraId="7FB5CF86">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Times New Roman"/>
                <w:color w:val="auto"/>
                <w:sz w:val="21"/>
                <w:szCs w:val="21"/>
                <w:lang w:val="en-US" w:eastAsia="zh-CN"/>
              </w:rPr>
              <w:t>否</w:t>
            </w:r>
          </w:p>
        </w:tc>
      </w:tr>
    </w:tbl>
    <w:p w14:paraId="4ED9EFAB">
      <w:pPr>
        <w:spacing w:before="42" w:line="190" w:lineRule="auto"/>
        <w:outlineLvl w:val="9"/>
        <w:rPr>
          <w:rFonts w:hint="eastAsia" w:ascii="宋体" w:hAnsi="宋体" w:eastAsia="宋体" w:cs="宋体"/>
          <w:b/>
          <w:bCs/>
          <w:color w:val="auto"/>
          <w:sz w:val="28"/>
          <w:szCs w:val="28"/>
        </w:rPr>
        <w:sectPr>
          <w:pgSz w:w="11906" w:h="16839"/>
          <w:pgMar w:top="1417" w:right="1417" w:bottom="1417" w:left="1417" w:header="850" w:footer="964" w:gutter="0"/>
          <w:pgBorders>
            <w:top w:val="none" w:sz="0" w:space="0"/>
            <w:left w:val="none" w:sz="0" w:space="0"/>
            <w:bottom w:val="none" w:sz="0" w:space="0"/>
            <w:right w:val="none" w:sz="0" w:space="0"/>
          </w:pgBorders>
          <w:pgNumType w:fmt="decimal"/>
          <w:cols w:space="0" w:num="1"/>
          <w:rtlGutter w:val="0"/>
          <w:docGrid w:linePitch="0" w:charSpace="0"/>
        </w:sectPr>
      </w:pPr>
      <w:bookmarkStart w:id="707" w:name="_Toc8151"/>
      <w:bookmarkStart w:id="708" w:name="_Toc8045"/>
    </w:p>
    <w:bookmarkEnd w:id="707"/>
    <w:bookmarkEnd w:id="708"/>
    <w:p w14:paraId="2A6A0D78">
      <w:pPr>
        <w:pStyle w:val="4"/>
        <w:bidi w:val="0"/>
        <w:rPr>
          <w:rFonts w:hint="eastAsia"/>
          <w:color w:val="auto"/>
          <w:lang w:val="en-US" w:eastAsia="zh-CN"/>
        </w:rPr>
      </w:pPr>
      <w:bookmarkStart w:id="709" w:name="_Toc23557"/>
      <w:bookmarkStart w:id="710" w:name="_Toc6310"/>
      <w:bookmarkStart w:id="711" w:name="_Toc24927"/>
      <w:bookmarkStart w:id="712" w:name="_Toc26779"/>
      <w:bookmarkStart w:id="713" w:name="_Toc5162"/>
      <w:bookmarkStart w:id="714" w:name="_Toc30701"/>
      <w:bookmarkStart w:id="715" w:name="_Toc23013"/>
      <w:bookmarkStart w:id="716" w:name="_Toc17654"/>
      <w:bookmarkStart w:id="717" w:name="_Toc12729"/>
      <w:bookmarkStart w:id="718" w:name="_Toc7051"/>
      <w:r>
        <w:rPr>
          <w:rFonts w:hint="eastAsia"/>
          <w:color w:val="auto"/>
          <w:lang w:val="en-US" w:eastAsia="zh-CN"/>
        </w:rPr>
        <w:t>3.7.2 重大生产安全事故隐患辩识与分析结果</w:t>
      </w:r>
      <w:bookmarkEnd w:id="709"/>
      <w:bookmarkEnd w:id="710"/>
    </w:p>
    <w:p w14:paraId="08490B24">
      <w:pPr>
        <w:bidi w:val="0"/>
        <w:rPr>
          <w:rFonts w:hint="eastAsia"/>
          <w:color w:val="auto"/>
        </w:rPr>
      </w:pPr>
      <w:r>
        <w:rPr>
          <w:rFonts w:hint="eastAsia"/>
          <w:color w:val="auto"/>
        </w:rPr>
        <w:t>经安全检查表</w:t>
      </w:r>
      <w:r>
        <w:rPr>
          <w:rFonts w:hint="eastAsia"/>
          <w:color w:val="auto"/>
          <w:lang w:val="en-US" w:eastAsia="zh-CN"/>
        </w:rPr>
        <w:t>3</w:t>
      </w:r>
      <w:r>
        <w:rPr>
          <w:rFonts w:hint="eastAsia"/>
          <w:color w:val="auto"/>
        </w:rPr>
        <w:t>-1分析可知，重大生产安全事故隐患判定单元共检查3</w:t>
      </w:r>
      <w:r>
        <w:rPr>
          <w:rFonts w:hint="eastAsia"/>
          <w:color w:val="auto"/>
          <w:lang w:val="en-US" w:eastAsia="zh-CN"/>
        </w:rPr>
        <w:t>6</w:t>
      </w:r>
      <w:r>
        <w:rPr>
          <w:rFonts w:hint="eastAsia"/>
          <w:color w:val="auto"/>
        </w:rPr>
        <w:t>项，均不构成重大安全事故隐患。</w:t>
      </w:r>
    </w:p>
    <w:p w14:paraId="7F9AD653">
      <w:pPr>
        <w:bidi w:val="0"/>
        <w:rPr>
          <w:rFonts w:hint="eastAsia" w:ascii="Times New Roman" w:hAnsi="Times New Roman" w:eastAsia="宋体" w:cs="Times New Roman"/>
          <w:color w:val="auto"/>
        </w:rPr>
      </w:pPr>
      <w:r>
        <w:rPr>
          <w:rFonts w:hint="eastAsia"/>
          <w:color w:val="auto"/>
        </w:rPr>
        <w:t>综上所述，矿山不存在重大生产安全事故隐患。</w:t>
      </w:r>
    </w:p>
    <w:bookmarkEnd w:id="711"/>
    <w:bookmarkEnd w:id="712"/>
    <w:bookmarkEnd w:id="713"/>
    <w:bookmarkEnd w:id="714"/>
    <w:bookmarkEnd w:id="715"/>
    <w:bookmarkEnd w:id="716"/>
    <w:p w14:paraId="50748C15">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562" w:firstLineChars="200"/>
        <w:textAlignment w:val="baseline"/>
        <w:rPr>
          <w:rFonts w:hint="eastAsia" w:ascii="宋体" w:hAnsi="宋体" w:eastAsia="宋体" w:cs="宋体"/>
          <w:b/>
          <w:bCs/>
          <w:color w:val="auto"/>
          <w:sz w:val="28"/>
          <w:szCs w:val="28"/>
          <w:lang w:eastAsia="zh-CN"/>
        </w:rPr>
        <w:sectPr>
          <w:type w:val="continuous"/>
          <w:pgSz w:w="11906" w:h="16839"/>
          <w:pgMar w:top="1417" w:right="1417" w:bottom="1417" w:left="1417" w:header="0" w:footer="0" w:gutter="0"/>
          <w:pgBorders>
            <w:top w:val="none" w:sz="0" w:space="0"/>
            <w:left w:val="none" w:sz="0" w:space="0"/>
            <w:bottom w:val="none" w:sz="0" w:space="0"/>
            <w:right w:val="none" w:sz="0" w:space="0"/>
          </w:pgBorders>
          <w:pgNumType w:fmt="decimal"/>
          <w:cols w:space="0" w:num="1"/>
          <w:rtlGutter w:val="0"/>
          <w:docGrid w:linePitch="0" w:charSpace="0"/>
        </w:sectPr>
      </w:pPr>
    </w:p>
    <w:p w14:paraId="3CC26422">
      <w:pPr>
        <w:pStyle w:val="2"/>
        <w:bidi w:val="0"/>
        <w:rPr>
          <w:rFonts w:hint="eastAsia"/>
          <w:color w:val="auto"/>
          <w:lang w:val="en-US" w:eastAsia="zh-CN"/>
        </w:rPr>
      </w:pPr>
      <w:bookmarkStart w:id="719" w:name="_Toc23866"/>
      <w:bookmarkStart w:id="720" w:name="_Toc19123"/>
      <w:bookmarkStart w:id="721" w:name="_Toc7940"/>
      <w:bookmarkStart w:id="722" w:name="_Toc28572"/>
      <w:bookmarkStart w:id="723" w:name="_Toc671"/>
      <w:bookmarkStart w:id="724" w:name="_Toc23734"/>
      <w:bookmarkStart w:id="725" w:name="_Toc18989"/>
      <w:bookmarkStart w:id="726" w:name="_Toc21958"/>
      <w:r>
        <w:rPr>
          <w:rFonts w:hint="eastAsia"/>
          <w:color w:val="auto"/>
          <w:lang w:val="en-US" w:eastAsia="zh-CN"/>
        </w:rPr>
        <w:t>4 安全评价方法选择</w:t>
      </w:r>
      <w:bookmarkEnd w:id="717"/>
      <w:bookmarkEnd w:id="718"/>
      <w:bookmarkEnd w:id="719"/>
      <w:bookmarkEnd w:id="720"/>
      <w:bookmarkEnd w:id="721"/>
      <w:bookmarkEnd w:id="722"/>
      <w:bookmarkEnd w:id="723"/>
      <w:bookmarkEnd w:id="724"/>
      <w:bookmarkEnd w:id="725"/>
      <w:bookmarkEnd w:id="726"/>
    </w:p>
    <w:p w14:paraId="2AB386AE">
      <w:pPr>
        <w:pStyle w:val="4"/>
        <w:bidi w:val="0"/>
        <w:rPr>
          <w:rFonts w:hint="eastAsia"/>
          <w:color w:val="auto"/>
          <w:lang w:val="en-US" w:eastAsia="zh-CN"/>
        </w:rPr>
      </w:pPr>
      <w:bookmarkStart w:id="727" w:name="_Toc31268"/>
      <w:bookmarkStart w:id="728" w:name="_Toc5287"/>
      <w:bookmarkStart w:id="729" w:name="_Toc26587"/>
      <w:bookmarkStart w:id="730" w:name="_Toc17539"/>
      <w:bookmarkStart w:id="731" w:name="_Toc22201"/>
      <w:bookmarkStart w:id="732" w:name="_Toc9187"/>
      <w:bookmarkStart w:id="733" w:name="_Toc25671"/>
      <w:bookmarkStart w:id="734" w:name="_Toc15448"/>
      <w:bookmarkStart w:id="735" w:name="_Toc27046"/>
      <w:r>
        <w:rPr>
          <w:rFonts w:hint="eastAsia"/>
          <w:color w:val="auto"/>
          <w:lang w:val="en-US" w:eastAsia="zh-CN"/>
        </w:rPr>
        <w:t>4.1 评价单元的划分</w:t>
      </w:r>
      <w:bookmarkEnd w:id="727"/>
      <w:bookmarkEnd w:id="728"/>
      <w:bookmarkEnd w:id="729"/>
      <w:bookmarkEnd w:id="730"/>
      <w:bookmarkEnd w:id="731"/>
      <w:bookmarkEnd w:id="732"/>
      <w:bookmarkEnd w:id="733"/>
      <w:bookmarkEnd w:id="734"/>
      <w:bookmarkEnd w:id="735"/>
    </w:p>
    <w:p w14:paraId="04AD4ECC">
      <w:pPr>
        <w:pStyle w:val="5"/>
        <w:bidi w:val="0"/>
        <w:rPr>
          <w:rFonts w:hint="eastAsia"/>
          <w:color w:val="auto"/>
          <w:lang w:val="en-US" w:eastAsia="zh-CN"/>
        </w:rPr>
      </w:pPr>
      <w:bookmarkStart w:id="736" w:name="_Toc29135"/>
      <w:bookmarkStart w:id="737" w:name="_Toc15218"/>
      <w:bookmarkStart w:id="738" w:name="_Toc13172"/>
      <w:bookmarkStart w:id="739" w:name="_Toc9469"/>
      <w:r>
        <w:rPr>
          <w:rFonts w:hint="eastAsia"/>
          <w:color w:val="auto"/>
          <w:lang w:val="en-US" w:eastAsia="zh-CN"/>
        </w:rPr>
        <w:t>4.1.1 概述</w:t>
      </w:r>
      <w:bookmarkEnd w:id="736"/>
      <w:bookmarkEnd w:id="737"/>
      <w:bookmarkEnd w:id="738"/>
      <w:bookmarkEnd w:id="739"/>
    </w:p>
    <w:p w14:paraId="292D5B4D">
      <w:pPr>
        <w:bidi w:val="0"/>
        <w:rPr>
          <w:rFonts w:hint="eastAsia"/>
          <w:color w:val="auto"/>
          <w:lang w:eastAsia="zh-CN"/>
        </w:rPr>
      </w:pPr>
      <w:r>
        <w:rPr>
          <w:rFonts w:hint="eastAsia"/>
          <w:color w:val="auto"/>
        </w:rPr>
        <w:t>一个作为评价对象的建设项目、装置(系统)，一般是由相对独立、相互联系的若干部分(子系统、单元)组成，各部分的功能、含有的物质、存在的危险因素和有害因素、危险性和危害以安全指标均不尽相同。以整个系统作为评价对象实施评价时，一般先按一定原则将评价对象分成若干有限、确定范围的单元进行评价</w:t>
      </w:r>
      <w:r>
        <w:rPr>
          <w:rFonts w:hint="eastAsia"/>
          <w:color w:val="auto"/>
          <w:lang w:eastAsia="zh-CN"/>
        </w:rPr>
        <w:t>，</w:t>
      </w:r>
      <w:r>
        <w:rPr>
          <w:rFonts w:hint="eastAsia"/>
          <w:color w:val="auto"/>
        </w:rPr>
        <w:t>然后再综合为整个系统的评价</w:t>
      </w:r>
      <w:r>
        <w:rPr>
          <w:rFonts w:hint="eastAsia"/>
          <w:color w:val="auto"/>
          <w:lang w:eastAsia="zh-CN"/>
        </w:rPr>
        <w:t>。</w:t>
      </w:r>
    </w:p>
    <w:p w14:paraId="0264CE21">
      <w:pPr>
        <w:bidi w:val="0"/>
        <w:rPr>
          <w:rFonts w:hint="eastAsia"/>
          <w:color w:val="auto"/>
        </w:rPr>
      </w:pPr>
      <w:r>
        <w:rPr>
          <w:rFonts w:hint="eastAsia"/>
          <w:color w:val="auto"/>
        </w:rPr>
        <w:t>评价单元是为了安全评价需要，在危险、有害因素识别的基础上，根据评价目的和评价方法需要，按照被评价项目生产工艺或场所的特点，将生产工艺场所划分为若干个相对独立、不同类型的多个评价单元。</w:t>
      </w:r>
    </w:p>
    <w:p w14:paraId="696C3026">
      <w:pPr>
        <w:bidi w:val="0"/>
        <w:rPr>
          <w:rFonts w:hint="eastAsia"/>
          <w:color w:val="auto"/>
        </w:rPr>
      </w:pPr>
      <w:r>
        <w:rPr>
          <w:rFonts w:hint="eastAsia"/>
          <w:color w:val="auto"/>
        </w:rPr>
        <w:t>将系统划分为不同类型的单元进行评价</w:t>
      </w:r>
      <w:r>
        <w:rPr>
          <w:rFonts w:hint="eastAsia"/>
          <w:color w:val="auto"/>
          <w:lang w:eastAsia="zh-CN"/>
        </w:rPr>
        <w:t>，</w:t>
      </w:r>
      <w:r>
        <w:rPr>
          <w:rFonts w:hint="eastAsia"/>
          <w:color w:val="auto"/>
        </w:rPr>
        <w:t>不仅可以简化评价工作、减少评价工作量、避免遗漏，而且由于能够得出各个评价单元危险性 (危害性)的比较概念，避免了以最危险单元的危险性(危害性)来表征整个系统的危险性(危害性)，导致夸大整个系统的危险性(危害性)的可能性，从而提高了评价的准确性，降低了采取对策措施的安全投资经费。</w:t>
      </w:r>
    </w:p>
    <w:p w14:paraId="325D043B">
      <w:pPr>
        <w:pStyle w:val="5"/>
        <w:bidi w:val="0"/>
        <w:rPr>
          <w:rFonts w:hint="eastAsia"/>
          <w:color w:val="auto"/>
          <w:lang w:val="en-US" w:eastAsia="zh-CN"/>
        </w:rPr>
      </w:pPr>
      <w:bookmarkStart w:id="740" w:name="_Toc14287"/>
      <w:bookmarkStart w:id="741" w:name="_Toc3280"/>
      <w:bookmarkStart w:id="742" w:name="_Toc27769"/>
      <w:bookmarkStart w:id="743" w:name="_Toc27463"/>
      <w:r>
        <w:rPr>
          <w:rFonts w:hint="eastAsia"/>
          <w:color w:val="auto"/>
          <w:lang w:val="en-US" w:eastAsia="zh-CN"/>
        </w:rPr>
        <w:t>4.1.2 评价单元划分</w:t>
      </w:r>
      <w:bookmarkEnd w:id="740"/>
      <w:bookmarkEnd w:id="741"/>
      <w:bookmarkEnd w:id="742"/>
      <w:bookmarkEnd w:id="743"/>
    </w:p>
    <w:p w14:paraId="087405DD">
      <w:pPr>
        <w:bidi w:val="0"/>
        <w:rPr>
          <w:rFonts w:hint="eastAsia"/>
          <w:color w:val="auto"/>
        </w:rPr>
      </w:pPr>
      <w:r>
        <w:rPr>
          <w:rFonts w:hint="eastAsia"/>
          <w:color w:val="auto"/>
        </w:rPr>
        <w:t>按照评价单元划分原则和方法，综合考虑矿山生产活动，以及相关配套工业设施的危险、有害因素特性和采取的生产流程等情况</w:t>
      </w:r>
      <w:r>
        <w:rPr>
          <w:rFonts w:hint="eastAsia"/>
          <w:color w:val="auto"/>
          <w:lang w:eastAsia="zh-CN"/>
        </w:rPr>
        <w:t>，</w:t>
      </w:r>
      <w:r>
        <w:rPr>
          <w:rFonts w:hint="eastAsia"/>
          <w:color w:val="auto"/>
        </w:rPr>
        <w:t>决定将矿山安全现状划分为1</w:t>
      </w:r>
      <w:r>
        <w:rPr>
          <w:rFonts w:hint="eastAsia"/>
          <w:color w:val="auto"/>
          <w:lang w:val="en-US" w:eastAsia="zh-CN"/>
        </w:rPr>
        <w:t>1</w:t>
      </w:r>
      <w:r>
        <w:rPr>
          <w:rFonts w:hint="eastAsia"/>
          <w:color w:val="auto"/>
        </w:rPr>
        <w:t>个评价单元：</w:t>
      </w:r>
    </w:p>
    <w:p w14:paraId="754D9618">
      <w:pPr>
        <w:bidi w:val="0"/>
        <w:rPr>
          <w:rFonts w:hint="eastAsia"/>
          <w:color w:val="auto"/>
          <w:lang w:val="en-US" w:eastAsia="zh-CN"/>
        </w:rPr>
      </w:pPr>
      <w:r>
        <w:rPr>
          <w:rFonts w:hint="eastAsia"/>
          <w:color w:val="auto"/>
          <w:lang w:val="en-US" w:eastAsia="zh-CN"/>
        </w:rPr>
        <w:t>1) 综合管理单元；</w:t>
      </w:r>
    </w:p>
    <w:p w14:paraId="21FD133E">
      <w:pPr>
        <w:bidi w:val="0"/>
        <w:rPr>
          <w:rFonts w:hint="eastAsia"/>
          <w:color w:val="auto"/>
          <w:lang w:val="en-US" w:eastAsia="zh-CN"/>
        </w:rPr>
      </w:pPr>
      <w:r>
        <w:rPr>
          <w:rFonts w:hint="eastAsia"/>
          <w:color w:val="auto"/>
          <w:lang w:val="en-US" w:eastAsia="zh-CN"/>
        </w:rPr>
        <w:t>2) 开采综合单元；</w:t>
      </w:r>
    </w:p>
    <w:p w14:paraId="5E0828D7">
      <w:pPr>
        <w:bidi w:val="0"/>
        <w:rPr>
          <w:rFonts w:hint="eastAsia"/>
          <w:color w:val="auto"/>
          <w:lang w:val="en-US" w:eastAsia="zh-CN"/>
        </w:rPr>
      </w:pPr>
      <w:r>
        <w:rPr>
          <w:rFonts w:hint="eastAsia"/>
          <w:color w:val="auto"/>
          <w:lang w:val="en-US" w:eastAsia="zh-CN"/>
        </w:rPr>
        <w:t>3) 爆破单元；</w:t>
      </w:r>
    </w:p>
    <w:p w14:paraId="2AF348C1">
      <w:pPr>
        <w:bidi w:val="0"/>
        <w:rPr>
          <w:rFonts w:hint="eastAsia"/>
          <w:color w:val="auto"/>
          <w:lang w:val="en-US" w:eastAsia="zh-CN"/>
        </w:rPr>
      </w:pPr>
      <w:r>
        <w:rPr>
          <w:rFonts w:hint="eastAsia"/>
          <w:color w:val="auto"/>
          <w:lang w:val="en-US" w:eastAsia="zh-CN"/>
        </w:rPr>
        <w:t>4) 矿井通风与防尘单元；</w:t>
      </w:r>
    </w:p>
    <w:p w14:paraId="16C924C9">
      <w:pPr>
        <w:bidi w:val="0"/>
        <w:rPr>
          <w:rFonts w:hint="eastAsia"/>
          <w:color w:val="auto"/>
          <w:lang w:val="en-US" w:eastAsia="zh-CN"/>
        </w:rPr>
      </w:pPr>
      <w:r>
        <w:rPr>
          <w:rFonts w:hint="eastAsia"/>
          <w:color w:val="auto"/>
          <w:lang w:val="en-US" w:eastAsia="zh-CN"/>
        </w:rPr>
        <w:t>5) 电气安全单元；</w:t>
      </w:r>
    </w:p>
    <w:p w14:paraId="4D8D130C">
      <w:pPr>
        <w:bidi w:val="0"/>
        <w:rPr>
          <w:rFonts w:hint="eastAsia"/>
          <w:color w:val="auto"/>
          <w:lang w:val="en-US" w:eastAsia="zh-CN"/>
        </w:rPr>
      </w:pPr>
      <w:r>
        <w:rPr>
          <w:rFonts w:hint="eastAsia"/>
          <w:color w:val="auto"/>
          <w:lang w:val="en-US" w:eastAsia="zh-CN"/>
        </w:rPr>
        <w:t>6) 运输单元；</w:t>
      </w:r>
    </w:p>
    <w:p w14:paraId="608BB2EA">
      <w:pPr>
        <w:bidi w:val="0"/>
        <w:rPr>
          <w:rFonts w:hint="eastAsia"/>
          <w:color w:val="auto"/>
          <w:lang w:val="en-US" w:eastAsia="zh-CN"/>
        </w:rPr>
      </w:pPr>
      <w:r>
        <w:rPr>
          <w:rFonts w:hint="eastAsia"/>
          <w:color w:val="auto"/>
          <w:lang w:val="en-US" w:eastAsia="zh-CN"/>
        </w:rPr>
        <w:t>7) 防排水及防雷电单元；</w:t>
      </w:r>
    </w:p>
    <w:p w14:paraId="59B7F462">
      <w:pPr>
        <w:bidi w:val="0"/>
        <w:rPr>
          <w:rFonts w:hint="eastAsia"/>
          <w:color w:val="auto"/>
          <w:lang w:val="en-US" w:eastAsia="zh-CN"/>
        </w:rPr>
      </w:pPr>
      <w:r>
        <w:rPr>
          <w:rFonts w:hint="eastAsia"/>
          <w:color w:val="auto"/>
          <w:lang w:val="en-US" w:eastAsia="zh-CN"/>
        </w:rPr>
        <w:t>8) 井下防灭火单元；</w:t>
      </w:r>
    </w:p>
    <w:p w14:paraId="6F733411">
      <w:pPr>
        <w:bidi w:val="0"/>
        <w:rPr>
          <w:rFonts w:hint="eastAsia"/>
          <w:color w:val="auto"/>
          <w:lang w:val="en-US" w:eastAsia="zh-CN"/>
        </w:rPr>
      </w:pPr>
      <w:r>
        <w:rPr>
          <w:rFonts w:hint="eastAsia"/>
          <w:color w:val="auto"/>
          <w:lang w:val="en-US" w:eastAsia="zh-CN"/>
        </w:rPr>
        <w:t>9) 废石场单元；</w:t>
      </w:r>
    </w:p>
    <w:p w14:paraId="35CEC9E8">
      <w:pPr>
        <w:bidi w:val="0"/>
        <w:rPr>
          <w:rFonts w:hint="eastAsia"/>
          <w:color w:val="auto"/>
          <w:lang w:val="en-US" w:eastAsia="zh-CN"/>
        </w:rPr>
      </w:pPr>
      <w:r>
        <w:rPr>
          <w:rFonts w:hint="eastAsia"/>
          <w:color w:val="auto"/>
          <w:lang w:val="en-US" w:eastAsia="zh-CN"/>
        </w:rPr>
        <w:t>10) 供气单元；</w:t>
      </w:r>
    </w:p>
    <w:p w14:paraId="1BFE89AF">
      <w:pPr>
        <w:bidi w:val="0"/>
        <w:rPr>
          <w:rFonts w:hint="eastAsia"/>
          <w:color w:val="auto"/>
          <w:lang w:val="en-US" w:eastAsia="zh-CN"/>
        </w:rPr>
      </w:pPr>
      <w:r>
        <w:rPr>
          <w:rFonts w:hint="eastAsia"/>
          <w:color w:val="auto"/>
          <w:lang w:val="en-US" w:eastAsia="zh-CN"/>
        </w:rPr>
        <w:t>11) 安全避险“六大系统”单元。</w:t>
      </w:r>
    </w:p>
    <w:p w14:paraId="3375456F">
      <w:pPr>
        <w:pStyle w:val="3"/>
        <w:bidi w:val="0"/>
        <w:rPr>
          <w:rFonts w:hint="eastAsia"/>
          <w:color w:val="auto"/>
          <w:lang w:val="en-US" w:eastAsia="zh-CN"/>
        </w:rPr>
      </w:pPr>
      <w:bookmarkStart w:id="744" w:name="_Toc21917"/>
      <w:bookmarkStart w:id="745" w:name="_Toc11060"/>
      <w:bookmarkStart w:id="746" w:name="_Toc32393"/>
      <w:bookmarkStart w:id="747" w:name="_Toc6010"/>
      <w:bookmarkStart w:id="748" w:name="_Toc4738"/>
      <w:bookmarkStart w:id="749" w:name="_Toc28491"/>
      <w:bookmarkStart w:id="750" w:name="_Toc8474"/>
      <w:bookmarkStart w:id="751" w:name="_Toc224"/>
      <w:bookmarkStart w:id="752" w:name="_Toc19822"/>
      <w:r>
        <w:rPr>
          <w:rFonts w:hint="eastAsia"/>
          <w:color w:val="auto"/>
          <w:lang w:val="en-US" w:eastAsia="zh-CN"/>
        </w:rPr>
        <w:t>4.2 评价方法选择</w:t>
      </w:r>
      <w:bookmarkEnd w:id="744"/>
      <w:bookmarkEnd w:id="745"/>
      <w:bookmarkEnd w:id="746"/>
      <w:bookmarkEnd w:id="747"/>
      <w:bookmarkEnd w:id="748"/>
      <w:bookmarkEnd w:id="749"/>
      <w:bookmarkEnd w:id="750"/>
      <w:bookmarkEnd w:id="751"/>
      <w:bookmarkEnd w:id="752"/>
    </w:p>
    <w:p w14:paraId="3D8388AC">
      <w:pPr>
        <w:pStyle w:val="4"/>
        <w:bidi w:val="0"/>
        <w:rPr>
          <w:rFonts w:hint="eastAsia"/>
          <w:color w:val="auto"/>
          <w:lang w:val="en-US" w:eastAsia="zh-CN"/>
        </w:rPr>
      </w:pPr>
      <w:bookmarkStart w:id="753" w:name="_Toc7662"/>
      <w:bookmarkStart w:id="754" w:name="_Toc32539"/>
      <w:bookmarkStart w:id="755" w:name="_Toc31315"/>
      <w:bookmarkStart w:id="756" w:name="_Toc27806"/>
      <w:bookmarkStart w:id="757" w:name="_Toc2764"/>
      <w:r>
        <w:rPr>
          <w:rFonts w:hint="eastAsia"/>
          <w:color w:val="auto"/>
          <w:lang w:val="en-US" w:eastAsia="zh-CN"/>
        </w:rPr>
        <w:t>4.2.1 各单元评价方法选择</w:t>
      </w:r>
      <w:bookmarkEnd w:id="753"/>
      <w:bookmarkEnd w:id="754"/>
      <w:bookmarkEnd w:id="755"/>
      <w:bookmarkEnd w:id="756"/>
      <w:bookmarkEnd w:id="757"/>
    </w:p>
    <w:p w14:paraId="524D17A3">
      <w:pPr>
        <w:bidi w:val="0"/>
        <w:rPr>
          <w:rFonts w:hint="eastAsia"/>
          <w:color w:val="auto"/>
        </w:rPr>
      </w:pPr>
      <w:r>
        <w:rPr>
          <w:rFonts w:hint="eastAsia"/>
          <w:color w:val="auto"/>
        </w:rPr>
        <w:t>各单元评价方法选择见表4-1。</w:t>
      </w:r>
    </w:p>
    <w:p w14:paraId="07FF8DC0">
      <w:pPr>
        <w:bidi w:val="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表 4-1   各单元评价方法选择表</w:t>
      </w:r>
    </w:p>
    <w:tbl>
      <w:tblPr>
        <w:tblStyle w:val="27"/>
        <w:tblW w:w="8774" w:type="dxa"/>
        <w:tblInd w:w="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2"/>
        <w:gridCol w:w="2972"/>
        <w:gridCol w:w="4660"/>
      </w:tblGrid>
      <w:tr w14:paraId="7F65F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142" w:type="dxa"/>
            <w:tcBorders>
              <w:right w:val="single" w:color="000000" w:sz="4" w:space="0"/>
            </w:tcBorders>
            <w:vAlign w:val="center"/>
          </w:tcPr>
          <w:p w14:paraId="42C395FB">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序号</w:t>
            </w:r>
          </w:p>
        </w:tc>
        <w:tc>
          <w:tcPr>
            <w:tcW w:w="2972" w:type="dxa"/>
            <w:tcBorders>
              <w:left w:val="single" w:color="000000" w:sz="4" w:space="0"/>
              <w:right w:val="single" w:color="000000" w:sz="4" w:space="0"/>
            </w:tcBorders>
            <w:vAlign w:val="center"/>
          </w:tcPr>
          <w:p w14:paraId="0CCA7BD8">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评价单元</w:t>
            </w:r>
          </w:p>
        </w:tc>
        <w:tc>
          <w:tcPr>
            <w:tcW w:w="4660" w:type="dxa"/>
            <w:tcBorders>
              <w:left w:val="single" w:color="000000" w:sz="4" w:space="0"/>
            </w:tcBorders>
            <w:vAlign w:val="center"/>
          </w:tcPr>
          <w:p w14:paraId="43B87C0A">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评价方法</w:t>
            </w:r>
          </w:p>
        </w:tc>
      </w:tr>
      <w:tr w14:paraId="27186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5CBE3C8B">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w:t>
            </w:r>
          </w:p>
        </w:tc>
        <w:tc>
          <w:tcPr>
            <w:tcW w:w="2972" w:type="dxa"/>
            <w:tcBorders>
              <w:left w:val="single" w:color="000000" w:sz="4" w:space="0"/>
              <w:right w:val="single" w:color="000000" w:sz="4" w:space="0"/>
            </w:tcBorders>
            <w:vAlign w:val="top"/>
          </w:tcPr>
          <w:p w14:paraId="0F687B20">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综合管理单元</w:t>
            </w:r>
          </w:p>
        </w:tc>
        <w:tc>
          <w:tcPr>
            <w:tcW w:w="4660" w:type="dxa"/>
            <w:tcBorders>
              <w:left w:val="single" w:color="000000" w:sz="4" w:space="0"/>
            </w:tcBorders>
            <w:vAlign w:val="top"/>
          </w:tcPr>
          <w:p w14:paraId="41A51A2D">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w:t>
            </w:r>
          </w:p>
        </w:tc>
      </w:tr>
      <w:tr w14:paraId="40607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5C3686A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2</w:t>
            </w:r>
          </w:p>
        </w:tc>
        <w:tc>
          <w:tcPr>
            <w:tcW w:w="2972" w:type="dxa"/>
            <w:tcBorders>
              <w:left w:val="single" w:color="000000" w:sz="4" w:space="0"/>
              <w:right w:val="single" w:color="000000" w:sz="4" w:space="0"/>
            </w:tcBorders>
            <w:vAlign w:val="top"/>
          </w:tcPr>
          <w:p w14:paraId="4C94F0A6">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开采综合单元</w:t>
            </w:r>
          </w:p>
        </w:tc>
        <w:tc>
          <w:tcPr>
            <w:tcW w:w="4660" w:type="dxa"/>
            <w:tcBorders>
              <w:left w:val="single" w:color="000000" w:sz="4" w:space="0"/>
            </w:tcBorders>
            <w:vAlign w:val="top"/>
          </w:tcPr>
          <w:p w14:paraId="79EF4647">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3619F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30EB81C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3</w:t>
            </w:r>
          </w:p>
        </w:tc>
        <w:tc>
          <w:tcPr>
            <w:tcW w:w="2972" w:type="dxa"/>
            <w:tcBorders>
              <w:left w:val="single" w:color="000000" w:sz="4" w:space="0"/>
              <w:right w:val="single" w:color="000000" w:sz="4" w:space="0"/>
            </w:tcBorders>
            <w:vAlign w:val="top"/>
          </w:tcPr>
          <w:p w14:paraId="04CA1B20">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爆破单元</w:t>
            </w:r>
          </w:p>
        </w:tc>
        <w:tc>
          <w:tcPr>
            <w:tcW w:w="4660" w:type="dxa"/>
            <w:tcBorders>
              <w:left w:val="single" w:color="000000" w:sz="4" w:space="0"/>
            </w:tcBorders>
            <w:vAlign w:val="top"/>
          </w:tcPr>
          <w:p w14:paraId="0CDD69CC">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5C47D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2430494B">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4</w:t>
            </w:r>
          </w:p>
        </w:tc>
        <w:tc>
          <w:tcPr>
            <w:tcW w:w="2972" w:type="dxa"/>
            <w:tcBorders>
              <w:left w:val="single" w:color="000000" w:sz="4" w:space="0"/>
              <w:right w:val="single" w:color="000000" w:sz="4" w:space="0"/>
            </w:tcBorders>
            <w:vAlign w:val="top"/>
          </w:tcPr>
          <w:p w14:paraId="58AE19DD">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矿井通风与防尘单元</w:t>
            </w:r>
          </w:p>
        </w:tc>
        <w:tc>
          <w:tcPr>
            <w:tcW w:w="4660" w:type="dxa"/>
            <w:tcBorders>
              <w:left w:val="single" w:color="000000" w:sz="4" w:space="0"/>
            </w:tcBorders>
            <w:vAlign w:val="top"/>
          </w:tcPr>
          <w:p w14:paraId="1F327AAC">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26213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2EA3481E">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5</w:t>
            </w:r>
          </w:p>
        </w:tc>
        <w:tc>
          <w:tcPr>
            <w:tcW w:w="2972" w:type="dxa"/>
            <w:tcBorders>
              <w:left w:val="single" w:color="000000" w:sz="4" w:space="0"/>
              <w:right w:val="single" w:color="000000" w:sz="4" w:space="0"/>
            </w:tcBorders>
            <w:vAlign w:val="top"/>
          </w:tcPr>
          <w:p w14:paraId="45800E80">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电气安全单元</w:t>
            </w:r>
          </w:p>
        </w:tc>
        <w:tc>
          <w:tcPr>
            <w:tcW w:w="4660" w:type="dxa"/>
            <w:tcBorders>
              <w:left w:val="single" w:color="000000" w:sz="4" w:space="0"/>
            </w:tcBorders>
            <w:vAlign w:val="top"/>
          </w:tcPr>
          <w:p w14:paraId="490504EF">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51ED9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7DDA63CD">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6</w:t>
            </w:r>
          </w:p>
        </w:tc>
        <w:tc>
          <w:tcPr>
            <w:tcW w:w="2972" w:type="dxa"/>
            <w:tcBorders>
              <w:left w:val="single" w:color="000000" w:sz="4" w:space="0"/>
              <w:right w:val="single" w:color="000000" w:sz="4" w:space="0"/>
            </w:tcBorders>
            <w:vAlign w:val="top"/>
          </w:tcPr>
          <w:p w14:paraId="2116759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运输单元</w:t>
            </w:r>
          </w:p>
        </w:tc>
        <w:tc>
          <w:tcPr>
            <w:tcW w:w="4660" w:type="dxa"/>
            <w:tcBorders>
              <w:left w:val="single" w:color="000000" w:sz="4" w:space="0"/>
            </w:tcBorders>
            <w:vAlign w:val="top"/>
          </w:tcPr>
          <w:p w14:paraId="3CF4F493">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5F75A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49CEBD8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7</w:t>
            </w:r>
          </w:p>
        </w:tc>
        <w:tc>
          <w:tcPr>
            <w:tcW w:w="2972" w:type="dxa"/>
            <w:tcBorders>
              <w:left w:val="single" w:color="000000" w:sz="4" w:space="0"/>
              <w:right w:val="single" w:color="000000" w:sz="4" w:space="0"/>
            </w:tcBorders>
            <w:vAlign w:val="top"/>
          </w:tcPr>
          <w:p w14:paraId="7B7EAFFD">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防排水及防雷电单元</w:t>
            </w:r>
          </w:p>
        </w:tc>
        <w:tc>
          <w:tcPr>
            <w:tcW w:w="4660" w:type="dxa"/>
            <w:tcBorders>
              <w:left w:val="single" w:color="000000" w:sz="4" w:space="0"/>
            </w:tcBorders>
            <w:vAlign w:val="top"/>
          </w:tcPr>
          <w:p w14:paraId="7847DAB0">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523FA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30C40703">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8</w:t>
            </w:r>
          </w:p>
        </w:tc>
        <w:tc>
          <w:tcPr>
            <w:tcW w:w="2972" w:type="dxa"/>
            <w:tcBorders>
              <w:left w:val="single" w:color="000000" w:sz="4" w:space="0"/>
              <w:right w:val="single" w:color="000000" w:sz="4" w:space="0"/>
            </w:tcBorders>
            <w:vAlign w:val="top"/>
          </w:tcPr>
          <w:p w14:paraId="772B500B">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井下防灭火单元</w:t>
            </w:r>
          </w:p>
        </w:tc>
        <w:tc>
          <w:tcPr>
            <w:tcW w:w="4660" w:type="dxa"/>
            <w:tcBorders>
              <w:left w:val="single" w:color="000000" w:sz="4" w:space="0"/>
            </w:tcBorders>
            <w:vAlign w:val="top"/>
          </w:tcPr>
          <w:p w14:paraId="2C7765E3">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1F466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390CA73C">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9</w:t>
            </w:r>
          </w:p>
        </w:tc>
        <w:tc>
          <w:tcPr>
            <w:tcW w:w="2972" w:type="dxa"/>
            <w:tcBorders>
              <w:left w:val="single" w:color="000000" w:sz="4" w:space="0"/>
              <w:right w:val="single" w:color="000000" w:sz="4" w:space="0"/>
            </w:tcBorders>
            <w:vAlign w:val="top"/>
          </w:tcPr>
          <w:p w14:paraId="2E7550B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废石场单元</w:t>
            </w:r>
          </w:p>
        </w:tc>
        <w:tc>
          <w:tcPr>
            <w:tcW w:w="4660" w:type="dxa"/>
            <w:tcBorders>
              <w:left w:val="single" w:color="000000" w:sz="4" w:space="0"/>
            </w:tcBorders>
            <w:vAlign w:val="top"/>
          </w:tcPr>
          <w:p w14:paraId="505F281C">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3C09F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23CE01F7">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10</w:t>
            </w:r>
          </w:p>
        </w:tc>
        <w:tc>
          <w:tcPr>
            <w:tcW w:w="2972" w:type="dxa"/>
            <w:tcBorders>
              <w:left w:val="single" w:color="000000" w:sz="4" w:space="0"/>
              <w:right w:val="single" w:color="000000" w:sz="4" w:space="0"/>
            </w:tcBorders>
            <w:vAlign w:val="top"/>
          </w:tcPr>
          <w:p w14:paraId="16D25AE1">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供气单元</w:t>
            </w:r>
          </w:p>
        </w:tc>
        <w:tc>
          <w:tcPr>
            <w:tcW w:w="4660" w:type="dxa"/>
            <w:tcBorders>
              <w:left w:val="single" w:color="000000" w:sz="4" w:space="0"/>
            </w:tcBorders>
            <w:vAlign w:val="top"/>
          </w:tcPr>
          <w:p w14:paraId="0B162CCC">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安全检查表分析法、作业条件危险性分析法</w:t>
            </w:r>
          </w:p>
        </w:tc>
      </w:tr>
      <w:tr w14:paraId="6D230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1142" w:type="dxa"/>
            <w:tcBorders>
              <w:right w:val="single" w:color="000000" w:sz="4" w:space="0"/>
            </w:tcBorders>
            <w:vAlign w:val="top"/>
          </w:tcPr>
          <w:p w14:paraId="0C1E2521">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11</w:t>
            </w:r>
          </w:p>
        </w:tc>
        <w:tc>
          <w:tcPr>
            <w:tcW w:w="2972" w:type="dxa"/>
            <w:tcBorders>
              <w:left w:val="single" w:color="000000" w:sz="4" w:space="0"/>
              <w:right w:val="single" w:color="000000" w:sz="4" w:space="0"/>
            </w:tcBorders>
            <w:vAlign w:val="top"/>
          </w:tcPr>
          <w:p w14:paraId="02E19124">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安全避险“六大系统”单元</w:t>
            </w:r>
          </w:p>
        </w:tc>
        <w:tc>
          <w:tcPr>
            <w:tcW w:w="4660" w:type="dxa"/>
            <w:tcBorders>
              <w:left w:val="single" w:color="000000" w:sz="4" w:space="0"/>
            </w:tcBorders>
            <w:vAlign w:val="top"/>
          </w:tcPr>
          <w:p w14:paraId="7DCD2EDA">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安全检查表分析法</w:t>
            </w:r>
          </w:p>
        </w:tc>
      </w:tr>
    </w:tbl>
    <w:p w14:paraId="122A072D">
      <w:pPr>
        <w:pStyle w:val="3"/>
        <w:bidi w:val="0"/>
        <w:rPr>
          <w:rFonts w:hint="eastAsia"/>
          <w:color w:val="auto"/>
          <w:lang w:val="en-US" w:eastAsia="zh-CN"/>
        </w:rPr>
      </w:pPr>
      <w:bookmarkStart w:id="758" w:name="_Toc16677"/>
      <w:bookmarkStart w:id="759" w:name="_Toc12270"/>
      <w:bookmarkStart w:id="760" w:name="_Toc5801"/>
      <w:bookmarkStart w:id="761" w:name="_Toc24760"/>
      <w:bookmarkStart w:id="762" w:name="_Toc29952"/>
      <w:r>
        <w:rPr>
          <w:rFonts w:hint="eastAsia"/>
          <w:color w:val="auto"/>
          <w:lang w:val="en-US" w:eastAsia="zh-CN"/>
        </w:rPr>
        <w:t>4.3 评价方法简介</w:t>
      </w:r>
      <w:bookmarkEnd w:id="758"/>
    </w:p>
    <w:p w14:paraId="0C14E3D6">
      <w:pPr>
        <w:pStyle w:val="4"/>
        <w:bidi w:val="0"/>
        <w:rPr>
          <w:color w:val="auto"/>
        </w:rPr>
      </w:pPr>
      <w:bookmarkStart w:id="763" w:name="_Toc522869137"/>
      <w:bookmarkStart w:id="764" w:name="_Toc100065153"/>
      <w:bookmarkStart w:id="765" w:name="_Toc19106"/>
      <w:bookmarkStart w:id="766" w:name="_Toc3675"/>
      <w:r>
        <w:rPr>
          <w:color w:val="auto"/>
        </w:rPr>
        <w:t>4.3.1</w:t>
      </w:r>
      <w:r>
        <w:rPr>
          <w:rFonts w:hint="eastAsia"/>
          <w:color w:val="auto"/>
        </w:rPr>
        <w:t>安全检查表分析法</w:t>
      </w:r>
      <w:bookmarkEnd w:id="763"/>
      <w:bookmarkEnd w:id="764"/>
      <w:bookmarkEnd w:id="765"/>
      <w:bookmarkEnd w:id="766"/>
    </w:p>
    <w:p w14:paraId="1620D46B">
      <w:pPr>
        <w:ind w:firstLine="5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安全检查表分析法是将一系列分析项目列出检查表进行分析以确定系统的状态，这些项目包括设备、贮运、操作、管理等各个方面。评价人员通过确定标准的设计或操作以建立传统的安全检查表，然后用它产生一系列基于缺陷或差异的问题。所完成的安全检查表包括对提出的问题回答“是”、“否”、“符合”、“不符合”或以“打分"的形式将检查项目列表逐项检查。本次评价利用《关于印发江西省非煤矿山安全检查表的通知》的安全检查表进行检查评价，矿山最终分级类型见表4-2。</w:t>
      </w:r>
    </w:p>
    <w:p w14:paraId="243983EB">
      <w:pPr>
        <w:ind w:firstLine="480"/>
        <w:jc w:val="center"/>
        <w:rPr>
          <w:rFonts w:hint="eastAsia" w:ascii="宋体" w:hAnsi="宋体" w:eastAsia="宋体" w:cs="宋体"/>
          <w:color w:val="auto"/>
          <w:szCs w:val="28"/>
        </w:rPr>
      </w:pPr>
      <w:r>
        <w:rPr>
          <w:rFonts w:hint="eastAsia" w:ascii="宋体" w:hAnsi="宋体" w:eastAsia="宋体" w:cs="宋体"/>
          <w:color w:val="auto"/>
        </w:rPr>
        <w:t>表4-</w:t>
      </w:r>
      <w:r>
        <w:rPr>
          <w:rFonts w:hint="eastAsia" w:ascii="宋体" w:hAnsi="宋体" w:cs="宋体"/>
          <w:color w:val="auto"/>
          <w:lang w:val="en-US" w:eastAsia="zh-CN"/>
        </w:rPr>
        <w:t>2</w:t>
      </w:r>
      <w:r>
        <w:rPr>
          <w:rFonts w:hint="eastAsia" w:ascii="宋体" w:hAnsi="宋体" w:eastAsia="宋体" w:cs="宋体"/>
          <w:color w:val="auto"/>
        </w:rPr>
        <w:t xml:space="preserve"> 检 查 表 说 明</w:t>
      </w:r>
    </w:p>
    <w:tbl>
      <w:tblPr>
        <w:tblStyle w:val="18"/>
        <w:tblW w:w="9228" w:type="dxa"/>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1058"/>
        <w:gridCol w:w="6047"/>
        <w:gridCol w:w="2123"/>
      </w:tblGrid>
      <w:tr w14:paraId="59F7F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 w:hRule="atLeast"/>
        </w:trPr>
        <w:tc>
          <w:tcPr>
            <w:tcW w:w="1058" w:type="dxa"/>
            <w:tcBorders>
              <w:top w:val="single" w:color="000000" w:sz="2" w:space="0"/>
              <w:left w:val="single" w:color="000000" w:sz="2" w:space="0"/>
              <w:bottom w:val="single" w:color="000000" w:sz="2" w:space="0"/>
              <w:right w:val="single" w:color="000000" w:sz="2" w:space="0"/>
            </w:tcBorders>
            <w:noWrap w:val="0"/>
            <w:vAlign w:val="center"/>
          </w:tcPr>
          <w:p w14:paraId="12811E38">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类 型</w:t>
            </w:r>
          </w:p>
        </w:tc>
        <w:tc>
          <w:tcPr>
            <w:tcW w:w="6047" w:type="dxa"/>
            <w:tcBorders>
              <w:top w:val="single" w:color="000000" w:sz="2" w:space="0"/>
              <w:left w:val="single" w:color="auto" w:sz="4" w:space="0"/>
              <w:bottom w:val="single" w:color="000000" w:sz="2" w:space="0"/>
              <w:right w:val="single" w:color="000000" w:sz="2" w:space="0"/>
            </w:tcBorders>
            <w:noWrap w:val="0"/>
            <w:vAlign w:val="center"/>
          </w:tcPr>
          <w:p w14:paraId="02D504BF">
            <w:pPr>
              <w:keepNext w:val="0"/>
              <w:keepLines w:val="0"/>
              <w:pageBreakBefore w:val="0"/>
              <w:widowControl/>
              <w:wordWrap/>
              <w:overflowPunct/>
              <w:topLinePunct w:val="0"/>
              <w:autoSpaceDE/>
              <w:autoSpaceDN/>
              <w:bidi w:val="0"/>
              <w:spacing w:beforeAutospacing="0" w:afterAutospacing="0" w:line="400" w:lineRule="exact"/>
              <w:ind w:firstLine="42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概         念</w:t>
            </w:r>
          </w:p>
        </w:tc>
        <w:tc>
          <w:tcPr>
            <w:tcW w:w="2123" w:type="dxa"/>
            <w:tcBorders>
              <w:top w:val="single" w:color="000000" w:sz="2" w:space="0"/>
              <w:left w:val="single" w:color="auto" w:sz="4" w:space="0"/>
              <w:bottom w:val="single" w:color="000000" w:sz="2" w:space="0"/>
              <w:right w:val="single" w:color="000000" w:sz="2" w:space="0"/>
            </w:tcBorders>
            <w:noWrap w:val="0"/>
            <w:vAlign w:val="center"/>
          </w:tcPr>
          <w:p w14:paraId="35362C70">
            <w:pPr>
              <w:keepNext w:val="0"/>
              <w:keepLines w:val="0"/>
              <w:pageBreakBefore w:val="0"/>
              <w:widowControl/>
              <w:wordWrap/>
              <w:overflowPunct/>
              <w:topLinePunct w:val="0"/>
              <w:autoSpaceDE/>
              <w:autoSpaceDN/>
              <w:bidi w:val="0"/>
              <w:spacing w:beforeAutospacing="0" w:afterAutospacing="0" w:line="400" w:lineRule="exact"/>
              <w:ind w:firstLine="42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条   件</w:t>
            </w:r>
          </w:p>
        </w:tc>
      </w:tr>
      <w:tr w14:paraId="52EE5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 w:hRule="atLeast"/>
        </w:trPr>
        <w:tc>
          <w:tcPr>
            <w:tcW w:w="1058" w:type="dxa"/>
            <w:tcBorders>
              <w:top w:val="single" w:color="auto" w:sz="4" w:space="0"/>
              <w:left w:val="single" w:color="000000" w:sz="2" w:space="0"/>
              <w:bottom w:val="single" w:color="000000" w:sz="2" w:space="0"/>
              <w:right w:val="single" w:color="000000" w:sz="2" w:space="0"/>
            </w:tcBorders>
            <w:noWrap w:val="0"/>
            <w:vAlign w:val="center"/>
          </w:tcPr>
          <w:p w14:paraId="2B419C86">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A类矿山</w:t>
            </w:r>
          </w:p>
        </w:tc>
        <w:tc>
          <w:tcPr>
            <w:tcW w:w="6047" w:type="dxa"/>
            <w:tcBorders>
              <w:top w:val="single" w:color="auto" w:sz="4" w:space="0"/>
              <w:left w:val="single" w:color="auto" w:sz="4" w:space="0"/>
              <w:bottom w:val="single" w:color="000000" w:sz="2" w:space="0"/>
              <w:right w:val="single" w:color="000000" w:sz="2" w:space="0"/>
            </w:tcBorders>
            <w:noWrap w:val="0"/>
            <w:vAlign w:val="center"/>
          </w:tcPr>
          <w:p w14:paraId="51B05254">
            <w:pPr>
              <w:keepNext w:val="0"/>
              <w:keepLines w:val="0"/>
              <w:pageBreakBefore w:val="0"/>
              <w:widowControl/>
              <w:wordWrap/>
              <w:overflowPunct/>
              <w:topLinePunct w:val="0"/>
              <w:autoSpaceDE/>
              <w:autoSpaceDN/>
              <w:bidi w:val="0"/>
              <w:spacing w:beforeAutospacing="0" w:afterAutospacing="0" w:line="400" w:lineRule="exact"/>
              <w:ind w:firstLine="525" w:firstLineChars="25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安全生产条件好，生产活动有安全保障。</w:t>
            </w:r>
          </w:p>
        </w:tc>
        <w:tc>
          <w:tcPr>
            <w:tcW w:w="2123" w:type="dxa"/>
            <w:tcBorders>
              <w:top w:val="single" w:color="auto" w:sz="4" w:space="0"/>
              <w:left w:val="single" w:color="auto" w:sz="4" w:space="0"/>
              <w:bottom w:val="single" w:color="000000" w:sz="2" w:space="0"/>
              <w:right w:val="single" w:color="000000" w:sz="2" w:space="0"/>
            </w:tcBorders>
            <w:noWrap w:val="0"/>
            <w:vAlign w:val="center"/>
          </w:tcPr>
          <w:p w14:paraId="30A7BE36">
            <w:pPr>
              <w:keepNext w:val="0"/>
              <w:keepLines w:val="0"/>
              <w:pageBreakBefore w:val="0"/>
              <w:widowControl/>
              <w:wordWrap/>
              <w:overflowPunct/>
              <w:topLinePunct w:val="0"/>
              <w:autoSpaceDE/>
              <w:autoSpaceDN/>
              <w:bidi w:val="0"/>
              <w:spacing w:beforeAutospacing="0" w:afterAutospacing="0" w:line="400" w:lineRule="exact"/>
              <w:ind w:firstLine="210" w:firstLineChars="10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得分率在90%以上</w:t>
            </w:r>
          </w:p>
        </w:tc>
      </w:tr>
      <w:tr w14:paraId="564418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 w:hRule="atLeast"/>
        </w:trPr>
        <w:tc>
          <w:tcPr>
            <w:tcW w:w="1058" w:type="dxa"/>
            <w:tcBorders>
              <w:top w:val="single" w:color="auto" w:sz="4" w:space="0"/>
              <w:left w:val="single" w:color="000000" w:sz="2" w:space="0"/>
              <w:bottom w:val="single" w:color="000000" w:sz="2" w:space="0"/>
              <w:right w:val="single" w:color="000000" w:sz="2" w:space="0"/>
            </w:tcBorders>
            <w:noWrap w:val="0"/>
            <w:vAlign w:val="center"/>
          </w:tcPr>
          <w:p w14:paraId="27BA3931">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B类矿山</w:t>
            </w:r>
          </w:p>
        </w:tc>
        <w:tc>
          <w:tcPr>
            <w:tcW w:w="6047" w:type="dxa"/>
            <w:tcBorders>
              <w:top w:val="single" w:color="auto" w:sz="4" w:space="0"/>
              <w:left w:val="single" w:color="auto" w:sz="4" w:space="0"/>
              <w:bottom w:val="single" w:color="000000" w:sz="2" w:space="0"/>
              <w:right w:val="single" w:color="000000" w:sz="2" w:space="0"/>
            </w:tcBorders>
            <w:noWrap w:val="0"/>
            <w:vAlign w:val="center"/>
          </w:tcPr>
          <w:p w14:paraId="78D5595F">
            <w:pPr>
              <w:keepNext w:val="0"/>
              <w:keepLines w:val="0"/>
              <w:pageBreakBefore w:val="0"/>
              <w:widowControl/>
              <w:wordWrap/>
              <w:overflowPunct/>
              <w:topLinePunct w:val="0"/>
              <w:autoSpaceDE/>
              <w:autoSpaceDN/>
              <w:bidi w:val="0"/>
              <w:spacing w:beforeAutospacing="0" w:afterAutospacing="0" w:line="400" w:lineRule="exact"/>
              <w:ind w:firstLine="105" w:firstLineChars="5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安全生产条件一般，能满足基本的安全生产活动。</w:t>
            </w:r>
          </w:p>
        </w:tc>
        <w:tc>
          <w:tcPr>
            <w:tcW w:w="2123" w:type="dxa"/>
            <w:tcBorders>
              <w:top w:val="single" w:color="auto" w:sz="4" w:space="0"/>
              <w:left w:val="single" w:color="auto" w:sz="4" w:space="0"/>
              <w:bottom w:val="single" w:color="000000" w:sz="2" w:space="0"/>
              <w:right w:val="single" w:color="000000" w:sz="2" w:space="0"/>
            </w:tcBorders>
            <w:noWrap w:val="0"/>
            <w:vAlign w:val="center"/>
          </w:tcPr>
          <w:p w14:paraId="31775A77">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得分率在80%-89%之间</w:t>
            </w:r>
          </w:p>
        </w:tc>
      </w:tr>
      <w:tr w14:paraId="7445BB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 w:hRule="atLeast"/>
        </w:trPr>
        <w:tc>
          <w:tcPr>
            <w:tcW w:w="1058" w:type="dxa"/>
            <w:tcBorders>
              <w:top w:val="single" w:color="auto" w:sz="4" w:space="0"/>
              <w:left w:val="single" w:color="000000" w:sz="2" w:space="0"/>
              <w:bottom w:val="single" w:color="000000" w:sz="2" w:space="0"/>
              <w:right w:val="single" w:color="000000" w:sz="2" w:space="0"/>
            </w:tcBorders>
            <w:noWrap w:val="0"/>
            <w:vAlign w:val="center"/>
          </w:tcPr>
          <w:p w14:paraId="20561695">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C类矿山</w:t>
            </w:r>
          </w:p>
        </w:tc>
        <w:tc>
          <w:tcPr>
            <w:tcW w:w="6047" w:type="dxa"/>
            <w:tcBorders>
              <w:top w:val="single" w:color="auto" w:sz="4" w:space="0"/>
              <w:left w:val="single" w:color="auto" w:sz="4" w:space="0"/>
              <w:bottom w:val="single" w:color="000000" w:sz="2" w:space="0"/>
              <w:right w:val="single" w:color="000000" w:sz="2" w:space="0"/>
            </w:tcBorders>
            <w:noWrap w:val="0"/>
            <w:vAlign w:val="center"/>
          </w:tcPr>
          <w:p w14:paraId="482897C4">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安全生产条件差，不能完全保证安全生产活动，需要限期整改。</w:t>
            </w:r>
          </w:p>
        </w:tc>
        <w:tc>
          <w:tcPr>
            <w:tcW w:w="2123" w:type="dxa"/>
            <w:tcBorders>
              <w:top w:val="single" w:color="auto" w:sz="4" w:space="0"/>
              <w:left w:val="single" w:color="auto" w:sz="4" w:space="0"/>
              <w:bottom w:val="single" w:color="000000" w:sz="2" w:space="0"/>
              <w:right w:val="single" w:color="000000" w:sz="2" w:space="0"/>
            </w:tcBorders>
            <w:noWrap w:val="0"/>
            <w:vAlign w:val="center"/>
          </w:tcPr>
          <w:p w14:paraId="5478002C">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得分率在60%-79%之间</w:t>
            </w:r>
          </w:p>
        </w:tc>
      </w:tr>
      <w:tr w14:paraId="605902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 w:hRule="atLeast"/>
        </w:trPr>
        <w:tc>
          <w:tcPr>
            <w:tcW w:w="1058" w:type="dxa"/>
            <w:tcBorders>
              <w:top w:val="single" w:color="auto" w:sz="4" w:space="0"/>
              <w:left w:val="single" w:color="000000" w:sz="2" w:space="0"/>
              <w:bottom w:val="single" w:color="000000" w:sz="2" w:space="0"/>
              <w:right w:val="single" w:color="000000" w:sz="2" w:space="0"/>
            </w:tcBorders>
            <w:noWrap w:val="0"/>
            <w:vAlign w:val="center"/>
          </w:tcPr>
          <w:p w14:paraId="7CAA7F06">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D类矿山</w:t>
            </w:r>
          </w:p>
        </w:tc>
        <w:tc>
          <w:tcPr>
            <w:tcW w:w="6047" w:type="dxa"/>
            <w:tcBorders>
              <w:top w:val="single" w:color="auto" w:sz="4" w:space="0"/>
              <w:left w:val="single" w:color="auto" w:sz="4" w:space="0"/>
              <w:bottom w:val="single" w:color="000000" w:sz="2" w:space="0"/>
              <w:right w:val="single" w:color="000000" w:sz="2" w:space="0"/>
            </w:tcBorders>
            <w:noWrap w:val="0"/>
            <w:vAlign w:val="center"/>
          </w:tcPr>
          <w:p w14:paraId="510BA715">
            <w:pPr>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firstLine="0" w:firstLineChars="0"/>
              <w:jc w:val="center"/>
              <w:textAlignment w:val="auto"/>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不具备基本的安全生产条件，或未通过验收，需要责令停产整顿的矿山。</w:t>
            </w:r>
          </w:p>
        </w:tc>
        <w:tc>
          <w:tcPr>
            <w:tcW w:w="2123" w:type="dxa"/>
            <w:tcBorders>
              <w:top w:val="single" w:color="auto" w:sz="4" w:space="0"/>
              <w:left w:val="single" w:color="auto" w:sz="4" w:space="0"/>
              <w:bottom w:val="single" w:color="000000" w:sz="2" w:space="0"/>
              <w:right w:val="single" w:color="000000" w:sz="2" w:space="0"/>
            </w:tcBorders>
            <w:noWrap w:val="0"/>
            <w:vAlign w:val="center"/>
          </w:tcPr>
          <w:p w14:paraId="124C9B2A">
            <w:pPr>
              <w:keepNext w:val="0"/>
              <w:keepLines w:val="0"/>
              <w:pageBreakBefore w:val="0"/>
              <w:widowControl/>
              <w:wordWrap/>
              <w:overflowPunct/>
              <w:topLinePunct w:val="0"/>
              <w:autoSpaceDE/>
              <w:autoSpaceDN/>
              <w:bidi w:val="0"/>
              <w:spacing w:beforeAutospacing="0" w:afterAutospacing="0" w:line="400" w:lineRule="exact"/>
              <w:ind w:left="0" w:leftChars="0" w:firstLine="0" w:firstLineChars="0"/>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得分率在60%以下</w:t>
            </w:r>
          </w:p>
        </w:tc>
      </w:tr>
      <w:tr w14:paraId="52732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93" w:hRule="atLeast"/>
        </w:trPr>
        <w:tc>
          <w:tcPr>
            <w:tcW w:w="1058" w:type="dxa"/>
            <w:tcBorders>
              <w:top w:val="single" w:color="auto" w:sz="4" w:space="0"/>
              <w:left w:val="single" w:color="000000" w:sz="2" w:space="0"/>
              <w:bottom w:val="single" w:color="000000" w:sz="2" w:space="0"/>
              <w:right w:val="single" w:color="000000" w:sz="2" w:space="0"/>
            </w:tcBorders>
            <w:noWrap w:val="0"/>
            <w:vAlign w:val="center"/>
          </w:tcPr>
          <w:p w14:paraId="14C4509C">
            <w:pPr>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firstLine="0" w:firstLineChars="0"/>
              <w:jc w:val="center"/>
              <w:textAlignment w:val="auto"/>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备注</w:t>
            </w:r>
          </w:p>
        </w:tc>
        <w:tc>
          <w:tcPr>
            <w:tcW w:w="8170" w:type="dxa"/>
            <w:gridSpan w:val="2"/>
            <w:tcBorders>
              <w:top w:val="single" w:color="auto" w:sz="4" w:space="0"/>
              <w:left w:val="single" w:color="auto" w:sz="4" w:space="0"/>
              <w:bottom w:val="single" w:color="000000" w:sz="2" w:space="0"/>
              <w:right w:val="single" w:color="000000" w:sz="2" w:space="0"/>
            </w:tcBorders>
            <w:noWrap w:val="0"/>
            <w:vAlign w:val="center"/>
          </w:tcPr>
          <w:p w14:paraId="2E948C56">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400" w:lineRule="exact"/>
              <w:ind w:left="0" w:leftChars="0" w:firstLine="0" w:firstLineChars="0"/>
              <w:jc w:val="center"/>
              <w:textAlignment w:val="auto"/>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本评价标准中的《规程》是指《金属非金属矿山安全规程》。</w:t>
            </w:r>
          </w:p>
          <w:p w14:paraId="104C85EB">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400" w:lineRule="exact"/>
              <w:ind w:left="0" w:leftChars="0" w:firstLine="0" w:firstLineChars="0"/>
              <w:jc w:val="center"/>
              <w:textAlignment w:val="auto"/>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因矿种不同，生产中没有涉及的项目，可不予评估，总分为实际评价项目的分值总和。最后得分采用得分率，即：实际评价得分÷实际评价项目的分值总和×100%。</w:t>
            </w:r>
          </w:p>
          <w:p w14:paraId="0501103F">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400" w:lineRule="exact"/>
              <w:ind w:left="0" w:leftChars="0" w:firstLine="0" w:firstLineChars="0"/>
              <w:jc w:val="center"/>
              <w:textAlignment w:val="auto"/>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算出总得分率时，必须把各单元的得分率一起考虑。</w:t>
            </w:r>
          </w:p>
          <w:p w14:paraId="63DC0710">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400" w:lineRule="exact"/>
              <w:ind w:left="0" w:leftChars="0" w:firstLine="0" w:firstLineChars="0"/>
              <w:jc w:val="center"/>
              <w:textAlignment w:val="auto"/>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检查表扣分尺度，由各专家根据实际情况具体掌握。</w:t>
            </w:r>
          </w:p>
        </w:tc>
      </w:tr>
    </w:tbl>
    <w:p w14:paraId="61AC5E3E">
      <w:pPr>
        <w:bidi w:val="0"/>
        <w:rPr>
          <w:rFonts w:hint="eastAsia"/>
          <w:color w:val="auto"/>
          <w:lang w:val="en-US" w:eastAsia="zh-CN"/>
        </w:rPr>
      </w:pPr>
      <w:r>
        <w:rPr>
          <w:rFonts w:hint="eastAsia"/>
          <w:color w:val="auto"/>
          <w:lang w:val="en-US" w:eastAsia="zh-CN"/>
        </w:rPr>
        <w:t>1）安全检查表编制的主要依据</w:t>
      </w:r>
    </w:p>
    <w:p w14:paraId="42FBC6A0">
      <w:pPr>
        <w:bidi w:val="0"/>
        <w:rPr>
          <w:rFonts w:hint="eastAsia"/>
          <w:color w:val="auto"/>
          <w:lang w:val="en-US" w:eastAsia="zh-CN"/>
        </w:rPr>
      </w:pPr>
      <w:r>
        <w:rPr>
          <w:rFonts w:hint="eastAsia"/>
          <w:color w:val="auto"/>
          <w:lang w:val="en-US" w:eastAsia="zh-CN"/>
        </w:rPr>
        <w:t>（1）有关法律、法规、标准</w:t>
      </w:r>
    </w:p>
    <w:p w14:paraId="4FC36C1C">
      <w:pPr>
        <w:bidi w:val="0"/>
        <w:rPr>
          <w:rFonts w:hint="eastAsia"/>
          <w:color w:val="auto"/>
          <w:lang w:val="en-US" w:eastAsia="zh-CN"/>
        </w:rPr>
      </w:pPr>
      <w:r>
        <w:rPr>
          <w:rFonts w:hint="eastAsia"/>
          <w:color w:val="auto"/>
          <w:lang w:val="en-US" w:eastAsia="zh-CN"/>
        </w:rPr>
        <w:t>（2）事故案例、经验、教训</w:t>
      </w:r>
    </w:p>
    <w:p w14:paraId="0E30FF04">
      <w:pPr>
        <w:bidi w:val="0"/>
        <w:rPr>
          <w:rFonts w:hint="eastAsia"/>
          <w:color w:val="auto"/>
          <w:lang w:val="en-US" w:eastAsia="zh-CN"/>
        </w:rPr>
      </w:pPr>
      <w:bookmarkStart w:id="767" w:name="_Toc228953809"/>
      <w:r>
        <w:rPr>
          <w:rFonts w:hint="eastAsia"/>
          <w:color w:val="auto"/>
          <w:lang w:val="en-US" w:eastAsia="zh-CN"/>
        </w:rPr>
        <w:t>2）安全检查表分析三个步骤</w:t>
      </w:r>
      <w:bookmarkEnd w:id="767"/>
      <w:r>
        <w:rPr>
          <w:rFonts w:hint="eastAsia"/>
          <w:color w:val="auto"/>
          <w:lang w:val="en-US" w:eastAsia="zh-CN"/>
        </w:rPr>
        <w:tab/>
      </w:r>
    </w:p>
    <w:p w14:paraId="240CC348">
      <w:pPr>
        <w:bidi w:val="0"/>
        <w:rPr>
          <w:rFonts w:hint="eastAsia"/>
          <w:color w:val="auto"/>
          <w:lang w:val="en-US" w:eastAsia="zh-CN"/>
        </w:rPr>
      </w:pPr>
      <w:r>
        <w:rPr>
          <w:rFonts w:hint="eastAsia"/>
          <w:color w:val="auto"/>
          <w:lang w:val="en-US" w:eastAsia="zh-CN"/>
        </w:rPr>
        <w:t>（1）选择或确定合适的安全检查表</w:t>
      </w:r>
    </w:p>
    <w:p w14:paraId="33601D74">
      <w:pPr>
        <w:bidi w:val="0"/>
        <w:rPr>
          <w:rFonts w:hint="eastAsia"/>
          <w:color w:val="auto"/>
          <w:lang w:val="en-US" w:eastAsia="zh-CN"/>
        </w:rPr>
      </w:pPr>
      <w:r>
        <w:rPr>
          <w:rFonts w:hint="eastAsia"/>
          <w:color w:val="auto"/>
          <w:lang w:val="en-US" w:eastAsia="zh-CN"/>
        </w:rPr>
        <w:t>（2）完成分析</w:t>
      </w:r>
    </w:p>
    <w:p w14:paraId="7BBBB3EB">
      <w:pPr>
        <w:bidi w:val="0"/>
        <w:rPr>
          <w:rFonts w:hint="eastAsia"/>
          <w:color w:val="auto"/>
          <w:lang w:val="en-US" w:eastAsia="zh-CN"/>
        </w:rPr>
      </w:pPr>
      <w:r>
        <w:rPr>
          <w:rFonts w:hint="eastAsia"/>
          <w:color w:val="auto"/>
          <w:lang w:val="en-US" w:eastAsia="zh-CN"/>
        </w:rPr>
        <w:t>（3）编制分析结果文件</w:t>
      </w:r>
    </w:p>
    <w:p w14:paraId="26CF721D">
      <w:pPr>
        <w:bidi w:val="0"/>
        <w:rPr>
          <w:rFonts w:hint="eastAsia"/>
          <w:color w:val="auto"/>
          <w:lang w:val="en-US" w:eastAsia="zh-CN"/>
        </w:rPr>
      </w:pPr>
      <w:bookmarkStart w:id="768" w:name="_Toc228953810"/>
      <w:r>
        <w:rPr>
          <w:rFonts w:hint="eastAsia"/>
          <w:color w:val="auto"/>
          <w:lang w:val="en-US" w:eastAsia="zh-CN"/>
        </w:rPr>
        <w:t>3）评价程序</w:t>
      </w:r>
      <w:bookmarkEnd w:id="768"/>
    </w:p>
    <w:p w14:paraId="6C729EA1">
      <w:pPr>
        <w:bidi w:val="0"/>
        <w:rPr>
          <w:rFonts w:hint="default"/>
          <w:color w:val="auto"/>
          <w:lang w:val="en-US" w:eastAsia="zh-CN"/>
        </w:rPr>
      </w:pPr>
      <w:r>
        <w:rPr>
          <w:rFonts w:hint="eastAsia"/>
          <w:color w:val="auto"/>
          <w:lang w:val="en-US" w:eastAsia="zh-CN"/>
        </w:rPr>
        <w:t>（1）熟悉评价对象；</w:t>
      </w:r>
    </w:p>
    <w:p w14:paraId="0CA8276B">
      <w:pPr>
        <w:bidi w:val="0"/>
        <w:rPr>
          <w:rFonts w:hint="default"/>
          <w:color w:val="auto"/>
          <w:lang w:val="en-US" w:eastAsia="zh-CN"/>
        </w:rPr>
      </w:pPr>
      <w:r>
        <w:rPr>
          <w:rFonts w:hint="eastAsia"/>
          <w:color w:val="auto"/>
          <w:lang w:val="en-US" w:eastAsia="zh-CN"/>
        </w:rPr>
        <w:t>（2）搜集资料，包括法律、法规、规程、标准、事故案例、经验教训等资料；</w:t>
      </w:r>
    </w:p>
    <w:p w14:paraId="0C8E1E1E">
      <w:pPr>
        <w:bidi w:val="0"/>
        <w:rPr>
          <w:rFonts w:hint="default"/>
          <w:color w:val="auto"/>
          <w:lang w:val="en-US" w:eastAsia="zh-CN"/>
        </w:rPr>
      </w:pPr>
      <w:r>
        <w:rPr>
          <w:rFonts w:hint="eastAsia"/>
          <w:color w:val="auto"/>
          <w:lang w:val="en-US" w:eastAsia="zh-CN"/>
        </w:rPr>
        <w:t>（3）编制安全检查表；</w:t>
      </w:r>
    </w:p>
    <w:p w14:paraId="000377E5">
      <w:pPr>
        <w:bidi w:val="0"/>
        <w:rPr>
          <w:rFonts w:hint="default"/>
          <w:color w:val="auto"/>
          <w:lang w:val="en-US" w:eastAsia="zh-CN"/>
        </w:rPr>
      </w:pPr>
      <w:r>
        <w:rPr>
          <w:rFonts w:hint="eastAsia"/>
          <w:color w:val="auto"/>
          <w:lang w:val="en-US" w:eastAsia="zh-CN"/>
        </w:rPr>
        <w:t>（4）按检查表逐项检查；</w:t>
      </w:r>
    </w:p>
    <w:p w14:paraId="26461206">
      <w:pPr>
        <w:ind w:firstLine="5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（5）分析、评价检查结果。</w:t>
      </w:r>
    </w:p>
    <w:bookmarkEnd w:id="759"/>
    <w:bookmarkEnd w:id="760"/>
    <w:bookmarkEnd w:id="761"/>
    <w:bookmarkEnd w:id="762"/>
    <w:p w14:paraId="4DC04355">
      <w:pPr>
        <w:pStyle w:val="4"/>
        <w:bidi w:val="0"/>
        <w:rPr>
          <w:rFonts w:hint="eastAsia"/>
          <w:color w:val="auto"/>
          <w:lang w:val="en-US" w:eastAsia="zh-CN"/>
        </w:rPr>
      </w:pPr>
      <w:bookmarkStart w:id="769" w:name="_Toc23387"/>
      <w:bookmarkStart w:id="770" w:name="_Toc30291"/>
      <w:bookmarkStart w:id="771" w:name="_Toc9305"/>
      <w:bookmarkStart w:id="772" w:name="_Toc257"/>
      <w:bookmarkStart w:id="773" w:name="_Toc31211"/>
      <w:bookmarkStart w:id="774" w:name="_Toc24780"/>
      <w:bookmarkStart w:id="775" w:name="_Toc26189"/>
      <w:r>
        <w:rPr>
          <w:rFonts w:hint="eastAsia"/>
          <w:color w:val="auto"/>
          <w:lang w:val="en-US" w:eastAsia="zh-CN"/>
        </w:rPr>
        <w:t>4.3.2 作业条件危险性分析</w:t>
      </w:r>
      <w:bookmarkEnd w:id="769"/>
      <w:bookmarkEnd w:id="770"/>
      <w:bookmarkEnd w:id="771"/>
      <w:bookmarkEnd w:id="772"/>
      <w:bookmarkEnd w:id="773"/>
      <w:bookmarkEnd w:id="774"/>
      <w:bookmarkEnd w:id="775"/>
    </w:p>
    <w:p w14:paraId="209D16DA">
      <w:pPr>
        <w:bidi w:val="0"/>
        <w:rPr>
          <w:rFonts w:hint="eastAsia"/>
          <w:color w:val="auto"/>
          <w:lang w:val="en-US" w:eastAsia="zh-CN"/>
        </w:rPr>
      </w:pPr>
      <w:r>
        <w:rPr>
          <w:rFonts w:hint="eastAsia"/>
          <w:color w:val="auto"/>
          <w:lang w:val="en-US" w:eastAsia="zh-CN"/>
        </w:rPr>
        <w:t>作业条件危险性分析法评价是以所评价的环境与某些作业参考环境的对比为基础，将作业条件的危险作为因变量，事故或危险事件发生的可能性、暴露于危险环境的频率及危险严重程度为自变量，它们之间的函数式为作业环境危险性 D=L×E×C，根据实际经验给出3个自变量的各种不同情况的分数值。根据分数值确定其危险程度。</w:t>
      </w:r>
    </w:p>
    <w:p w14:paraId="705A3670">
      <w:pPr>
        <w:bidi w:val="0"/>
        <w:rPr>
          <w:rFonts w:hint="eastAsia"/>
          <w:color w:val="auto"/>
          <w:lang w:val="en-US" w:eastAsia="zh-CN"/>
        </w:rPr>
      </w:pPr>
      <w:r>
        <w:rPr>
          <w:rFonts w:hint="eastAsia"/>
          <w:color w:val="auto"/>
          <w:lang w:val="en-US" w:eastAsia="zh-CN"/>
        </w:rPr>
        <w:t>式中：L—事故或危险事件发生的可能性；</w:t>
      </w:r>
    </w:p>
    <w:p w14:paraId="29542561">
      <w:pPr>
        <w:bidi w:val="0"/>
        <w:ind w:firstLine="1400" w:firstLineChars="500"/>
        <w:rPr>
          <w:rFonts w:hint="eastAsia"/>
          <w:color w:val="auto"/>
          <w:lang w:val="en-US" w:eastAsia="zh-CN"/>
        </w:rPr>
      </w:pPr>
      <w:r>
        <w:rPr>
          <w:rFonts w:hint="eastAsia"/>
          <w:color w:val="auto"/>
          <w:lang w:val="en-US" w:eastAsia="zh-CN"/>
        </w:rPr>
        <w:t>E—操作人员暴露于危险环境的频繁 (时间)；</w:t>
      </w:r>
    </w:p>
    <w:p w14:paraId="57BAD2A9">
      <w:pPr>
        <w:bidi w:val="0"/>
        <w:ind w:firstLine="1400" w:firstLineChars="500"/>
        <w:rPr>
          <w:rFonts w:hint="eastAsia" w:ascii="宋体" w:hAnsi="宋体" w:eastAsia="宋体" w:cs="宋体"/>
          <w:b/>
          <w:bCs/>
          <w:color w:val="auto"/>
          <w:szCs w:val="24"/>
        </w:rPr>
      </w:pPr>
      <w:r>
        <w:rPr>
          <w:rFonts w:hint="eastAsia"/>
          <w:color w:val="auto"/>
          <w:lang w:val="en-US" w:eastAsia="zh-CN"/>
        </w:rPr>
        <w:t>C—危险严重度(发生事故的后果严重度)。</w:t>
      </w:r>
    </w:p>
    <w:p w14:paraId="64453C5E">
      <w:pPr>
        <w:bidi w:val="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表 4-</w:t>
      </w:r>
      <w:r>
        <w:rPr>
          <w:rFonts w:hint="eastAsia" w:cs="宋体"/>
          <w:b/>
          <w:bCs/>
          <w:color w:val="auto"/>
          <w:sz w:val="24"/>
          <w:szCs w:val="24"/>
          <w:lang w:val="en-US" w:eastAsia="zh-CN"/>
        </w:rPr>
        <w:t>3</w:t>
      </w:r>
      <w:r>
        <w:rPr>
          <w:rFonts w:hint="eastAsia" w:ascii="宋体" w:hAnsi="宋体" w:eastAsia="宋体" w:cs="宋体"/>
          <w:b/>
          <w:bCs/>
          <w:color w:val="auto"/>
          <w:sz w:val="24"/>
          <w:szCs w:val="24"/>
        </w:rPr>
        <w:t xml:space="preserve">   事故或危险事件发生可能性分值 (L)</w:t>
      </w:r>
    </w:p>
    <w:tbl>
      <w:tblPr>
        <w:tblStyle w:val="27"/>
        <w:tblW w:w="84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6"/>
        <w:gridCol w:w="3268"/>
        <w:gridCol w:w="1030"/>
        <w:gridCol w:w="3173"/>
      </w:tblGrid>
      <w:tr w14:paraId="32859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6" w:hRule="atLeast"/>
        </w:trPr>
        <w:tc>
          <w:tcPr>
            <w:tcW w:w="1026" w:type="dxa"/>
            <w:tcBorders>
              <w:right w:val="single" w:color="000000" w:sz="4" w:space="0"/>
            </w:tcBorders>
            <w:vAlign w:val="center"/>
          </w:tcPr>
          <w:p w14:paraId="48F49DF7">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268" w:type="dxa"/>
            <w:tcBorders>
              <w:left w:val="single" w:color="000000" w:sz="4" w:space="0"/>
              <w:right w:val="single" w:color="000000" w:sz="4" w:space="0"/>
            </w:tcBorders>
            <w:vAlign w:val="center"/>
          </w:tcPr>
          <w:p w14:paraId="4A486827">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事故或危险情况发生的可能性</w:t>
            </w:r>
          </w:p>
        </w:tc>
        <w:tc>
          <w:tcPr>
            <w:tcW w:w="1030" w:type="dxa"/>
            <w:tcBorders>
              <w:left w:val="single" w:color="000000" w:sz="4" w:space="0"/>
              <w:right w:val="single" w:color="000000" w:sz="4" w:space="0"/>
            </w:tcBorders>
            <w:vAlign w:val="center"/>
          </w:tcPr>
          <w:p w14:paraId="3512A108">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173" w:type="dxa"/>
            <w:tcBorders>
              <w:left w:val="single" w:color="000000" w:sz="4" w:space="0"/>
            </w:tcBorders>
            <w:vAlign w:val="center"/>
          </w:tcPr>
          <w:p w14:paraId="1E2AA0E1">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事故或危险情况发生的可能性</w:t>
            </w:r>
          </w:p>
        </w:tc>
      </w:tr>
      <w:tr w14:paraId="06E13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26" w:type="dxa"/>
            <w:tcBorders>
              <w:right w:val="single" w:color="000000" w:sz="4" w:space="0"/>
            </w:tcBorders>
            <w:vAlign w:val="top"/>
          </w:tcPr>
          <w:p w14:paraId="114226B2">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10*</w:t>
            </w:r>
          </w:p>
        </w:tc>
        <w:tc>
          <w:tcPr>
            <w:tcW w:w="3268" w:type="dxa"/>
            <w:tcBorders>
              <w:left w:val="single" w:color="000000" w:sz="4" w:space="0"/>
              <w:right w:val="single" w:color="000000" w:sz="4" w:space="0"/>
            </w:tcBorders>
            <w:vAlign w:val="top"/>
          </w:tcPr>
          <w:p w14:paraId="29DB9054">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完全被预料到</w:t>
            </w:r>
          </w:p>
        </w:tc>
        <w:tc>
          <w:tcPr>
            <w:tcW w:w="1030" w:type="dxa"/>
            <w:tcBorders>
              <w:left w:val="single" w:color="000000" w:sz="4" w:space="0"/>
              <w:right w:val="single" w:color="000000" w:sz="4" w:space="0"/>
            </w:tcBorders>
            <w:vAlign w:val="top"/>
          </w:tcPr>
          <w:p w14:paraId="4E91D99C">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0.3</w:t>
            </w:r>
          </w:p>
        </w:tc>
        <w:tc>
          <w:tcPr>
            <w:tcW w:w="3173" w:type="dxa"/>
            <w:tcBorders>
              <w:left w:val="single" w:color="000000" w:sz="4" w:space="0"/>
            </w:tcBorders>
            <w:vAlign w:val="top"/>
          </w:tcPr>
          <w:p w14:paraId="70DD574B">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可以设想 ，但高度不可能</w:t>
            </w:r>
          </w:p>
        </w:tc>
      </w:tr>
      <w:tr w14:paraId="631C8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26" w:type="dxa"/>
            <w:tcBorders>
              <w:right w:val="single" w:color="000000" w:sz="4" w:space="0"/>
            </w:tcBorders>
            <w:vAlign w:val="top"/>
          </w:tcPr>
          <w:p w14:paraId="2992B2AE">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6</w:t>
            </w:r>
          </w:p>
        </w:tc>
        <w:tc>
          <w:tcPr>
            <w:tcW w:w="3268" w:type="dxa"/>
            <w:tcBorders>
              <w:left w:val="single" w:color="000000" w:sz="4" w:space="0"/>
              <w:right w:val="single" w:color="000000" w:sz="4" w:space="0"/>
            </w:tcBorders>
            <w:vAlign w:val="top"/>
          </w:tcPr>
          <w:p w14:paraId="11C6F62B">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相当可能</w:t>
            </w:r>
          </w:p>
        </w:tc>
        <w:tc>
          <w:tcPr>
            <w:tcW w:w="1030" w:type="dxa"/>
            <w:tcBorders>
              <w:left w:val="single" w:color="000000" w:sz="4" w:space="0"/>
              <w:right w:val="single" w:color="000000" w:sz="4" w:space="0"/>
            </w:tcBorders>
            <w:vAlign w:val="top"/>
          </w:tcPr>
          <w:p w14:paraId="7F165839">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0.2</w:t>
            </w:r>
          </w:p>
        </w:tc>
        <w:tc>
          <w:tcPr>
            <w:tcW w:w="3173" w:type="dxa"/>
            <w:tcBorders>
              <w:left w:val="single" w:color="000000" w:sz="4" w:space="0"/>
            </w:tcBorders>
            <w:vAlign w:val="top"/>
          </w:tcPr>
          <w:p w14:paraId="58A81E2A">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极不可能</w:t>
            </w:r>
          </w:p>
        </w:tc>
      </w:tr>
      <w:tr w14:paraId="0575B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026" w:type="dxa"/>
            <w:tcBorders>
              <w:right w:val="single" w:color="000000" w:sz="4" w:space="0"/>
            </w:tcBorders>
            <w:vAlign w:val="top"/>
          </w:tcPr>
          <w:p w14:paraId="43B84047">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3</w:t>
            </w:r>
          </w:p>
        </w:tc>
        <w:tc>
          <w:tcPr>
            <w:tcW w:w="3268" w:type="dxa"/>
            <w:tcBorders>
              <w:left w:val="single" w:color="000000" w:sz="4" w:space="0"/>
              <w:right w:val="single" w:color="000000" w:sz="4" w:space="0"/>
            </w:tcBorders>
            <w:vAlign w:val="top"/>
          </w:tcPr>
          <w:p w14:paraId="628C3D8F">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不经常，但可能</w:t>
            </w:r>
          </w:p>
        </w:tc>
        <w:tc>
          <w:tcPr>
            <w:tcW w:w="1030" w:type="dxa"/>
            <w:tcBorders>
              <w:left w:val="single" w:color="000000" w:sz="4" w:space="0"/>
              <w:right w:val="single" w:color="000000" w:sz="4" w:space="0"/>
            </w:tcBorders>
            <w:vAlign w:val="top"/>
          </w:tcPr>
          <w:p w14:paraId="78E49B54">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0.1*</w:t>
            </w:r>
          </w:p>
        </w:tc>
        <w:tc>
          <w:tcPr>
            <w:tcW w:w="3173" w:type="dxa"/>
            <w:tcBorders>
              <w:left w:val="single" w:color="000000" w:sz="4" w:space="0"/>
            </w:tcBorders>
            <w:vAlign w:val="top"/>
          </w:tcPr>
          <w:p w14:paraId="1F725243">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实际上不可能</w:t>
            </w:r>
          </w:p>
        </w:tc>
      </w:tr>
      <w:tr w14:paraId="0171A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026" w:type="dxa"/>
            <w:tcBorders>
              <w:right w:val="single" w:color="000000" w:sz="4" w:space="0"/>
            </w:tcBorders>
            <w:vAlign w:val="top"/>
          </w:tcPr>
          <w:p w14:paraId="6CE1EFD4">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w:t>
            </w:r>
          </w:p>
        </w:tc>
        <w:tc>
          <w:tcPr>
            <w:tcW w:w="3268" w:type="dxa"/>
            <w:tcBorders>
              <w:left w:val="single" w:color="000000" w:sz="4" w:space="0"/>
              <w:right w:val="single" w:color="000000" w:sz="4" w:space="0"/>
            </w:tcBorders>
            <w:vAlign w:val="top"/>
          </w:tcPr>
          <w:p w14:paraId="330FAC2F">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完全意外，极少可能</w:t>
            </w:r>
          </w:p>
        </w:tc>
        <w:tc>
          <w:tcPr>
            <w:tcW w:w="1030" w:type="dxa"/>
            <w:tcBorders>
              <w:left w:val="single" w:color="000000" w:sz="4" w:space="0"/>
              <w:right w:val="single" w:color="000000" w:sz="4" w:space="0"/>
            </w:tcBorders>
            <w:vAlign w:val="top"/>
          </w:tcPr>
          <w:p w14:paraId="53687A3C">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p>
        </w:tc>
        <w:tc>
          <w:tcPr>
            <w:tcW w:w="3173" w:type="dxa"/>
            <w:tcBorders>
              <w:left w:val="single" w:color="000000" w:sz="4" w:space="0"/>
            </w:tcBorders>
            <w:vAlign w:val="top"/>
          </w:tcPr>
          <w:p w14:paraId="3A3A769C">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p>
        </w:tc>
      </w:tr>
    </w:tbl>
    <w:p w14:paraId="6563B5D7">
      <w:pPr>
        <w:spacing w:line="257" w:lineRule="auto"/>
        <w:rPr>
          <w:rFonts w:ascii="Arial"/>
          <w:color w:val="auto"/>
          <w:sz w:val="21"/>
        </w:rPr>
      </w:pPr>
    </w:p>
    <w:p w14:paraId="3535F856">
      <w:pPr>
        <w:bidi w:val="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表 4-</w:t>
      </w:r>
      <w:r>
        <w:rPr>
          <w:rFonts w:hint="eastAsia" w:cs="宋体"/>
          <w:b/>
          <w:bCs/>
          <w:color w:val="auto"/>
          <w:sz w:val="24"/>
          <w:szCs w:val="24"/>
          <w:lang w:val="en-US" w:eastAsia="zh-CN"/>
        </w:rPr>
        <w:t>4</w:t>
      </w:r>
      <w:r>
        <w:rPr>
          <w:rFonts w:hint="eastAsia" w:ascii="宋体" w:hAnsi="宋体" w:eastAsia="宋体" w:cs="宋体"/>
          <w:b/>
          <w:bCs/>
          <w:color w:val="auto"/>
          <w:sz w:val="24"/>
          <w:szCs w:val="24"/>
        </w:rPr>
        <w:t xml:space="preserve">   作业人员暴露于危险环境的分值频率 (E)</w:t>
      </w:r>
    </w:p>
    <w:tbl>
      <w:tblPr>
        <w:tblStyle w:val="27"/>
        <w:tblW w:w="84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5"/>
        <w:gridCol w:w="3272"/>
        <w:gridCol w:w="1065"/>
        <w:gridCol w:w="3176"/>
      </w:tblGrid>
      <w:tr w14:paraId="6E99F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965" w:type="dxa"/>
            <w:tcBorders>
              <w:right w:val="single" w:color="000000" w:sz="4" w:space="0"/>
            </w:tcBorders>
            <w:vAlign w:val="center"/>
          </w:tcPr>
          <w:p w14:paraId="069BE961">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272" w:type="dxa"/>
            <w:tcBorders>
              <w:left w:val="single" w:color="000000" w:sz="4" w:space="0"/>
              <w:right w:val="single" w:color="000000" w:sz="4" w:space="0"/>
            </w:tcBorders>
            <w:vAlign w:val="center"/>
          </w:tcPr>
          <w:p w14:paraId="5FF177D9">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出现于危险环境的情况</w:t>
            </w:r>
          </w:p>
        </w:tc>
        <w:tc>
          <w:tcPr>
            <w:tcW w:w="1065" w:type="dxa"/>
            <w:tcBorders>
              <w:left w:val="single" w:color="000000" w:sz="4" w:space="0"/>
              <w:right w:val="single" w:color="000000" w:sz="4" w:space="0"/>
            </w:tcBorders>
            <w:vAlign w:val="center"/>
          </w:tcPr>
          <w:p w14:paraId="796E4D67">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176" w:type="dxa"/>
            <w:tcBorders>
              <w:left w:val="single" w:color="000000" w:sz="4" w:space="0"/>
            </w:tcBorders>
            <w:vAlign w:val="center"/>
          </w:tcPr>
          <w:p w14:paraId="549D5B4D">
            <w:pPr>
              <w:keepNext w:val="0"/>
              <w:keepLines w:val="0"/>
              <w:pageBreakBefore w:val="0"/>
              <w:widowControl/>
              <w:suppressLineNumbers w:val="0"/>
              <w:wordWrap/>
              <w:overflowPunct/>
              <w:topLinePunct w:val="0"/>
              <w:autoSpaceDE/>
              <w:autoSpaceDN/>
              <w:bidi w:val="0"/>
              <w:spacing w:beforeAutospacing="0" w:afterAutospacing="0" w:line="400" w:lineRule="exact"/>
              <w:jc w:val="center"/>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出现于危险环境的情况</w:t>
            </w:r>
          </w:p>
        </w:tc>
      </w:tr>
      <w:tr w14:paraId="1F02E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65" w:type="dxa"/>
            <w:tcBorders>
              <w:right w:val="single" w:color="000000" w:sz="4" w:space="0"/>
            </w:tcBorders>
            <w:vAlign w:val="top"/>
          </w:tcPr>
          <w:p w14:paraId="00D9EAB9">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10*</w:t>
            </w:r>
          </w:p>
        </w:tc>
        <w:tc>
          <w:tcPr>
            <w:tcW w:w="3272" w:type="dxa"/>
            <w:tcBorders>
              <w:left w:val="single" w:color="000000" w:sz="4" w:space="0"/>
              <w:right w:val="single" w:color="000000" w:sz="4" w:space="0"/>
            </w:tcBorders>
            <w:vAlign w:val="top"/>
          </w:tcPr>
          <w:p w14:paraId="324FC5E6">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连续暴露于潜在危险环境</w:t>
            </w:r>
          </w:p>
        </w:tc>
        <w:tc>
          <w:tcPr>
            <w:tcW w:w="1065" w:type="dxa"/>
            <w:tcBorders>
              <w:left w:val="single" w:color="000000" w:sz="4" w:space="0"/>
              <w:right w:val="single" w:color="000000" w:sz="4" w:space="0"/>
            </w:tcBorders>
            <w:vAlign w:val="top"/>
          </w:tcPr>
          <w:p w14:paraId="416F9DB8">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2</w:t>
            </w:r>
          </w:p>
        </w:tc>
        <w:tc>
          <w:tcPr>
            <w:tcW w:w="3176" w:type="dxa"/>
            <w:tcBorders>
              <w:left w:val="single" w:color="000000" w:sz="4" w:space="0"/>
            </w:tcBorders>
            <w:vAlign w:val="top"/>
          </w:tcPr>
          <w:p w14:paraId="3E3042AC">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每月一次</w:t>
            </w:r>
          </w:p>
        </w:tc>
      </w:tr>
      <w:tr w14:paraId="52879F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965" w:type="dxa"/>
            <w:tcBorders>
              <w:right w:val="single" w:color="000000" w:sz="4" w:space="0"/>
            </w:tcBorders>
            <w:vAlign w:val="top"/>
          </w:tcPr>
          <w:p w14:paraId="06A9DB7E">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6</w:t>
            </w:r>
          </w:p>
        </w:tc>
        <w:tc>
          <w:tcPr>
            <w:tcW w:w="3272" w:type="dxa"/>
            <w:tcBorders>
              <w:left w:val="single" w:color="000000" w:sz="4" w:space="0"/>
              <w:right w:val="single" w:color="000000" w:sz="4" w:space="0"/>
            </w:tcBorders>
            <w:vAlign w:val="top"/>
          </w:tcPr>
          <w:p w14:paraId="27D2788D">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逐日在工作时间内暴露</w:t>
            </w:r>
          </w:p>
        </w:tc>
        <w:tc>
          <w:tcPr>
            <w:tcW w:w="1065" w:type="dxa"/>
            <w:tcBorders>
              <w:left w:val="single" w:color="000000" w:sz="4" w:space="0"/>
              <w:right w:val="single" w:color="000000" w:sz="4" w:space="0"/>
            </w:tcBorders>
            <w:vAlign w:val="top"/>
          </w:tcPr>
          <w:p w14:paraId="3509D093">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w:t>
            </w:r>
          </w:p>
        </w:tc>
        <w:tc>
          <w:tcPr>
            <w:tcW w:w="3176" w:type="dxa"/>
            <w:tcBorders>
              <w:left w:val="single" w:color="000000" w:sz="4" w:space="0"/>
            </w:tcBorders>
            <w:vAlign w:val="center"/>
          </w:tcPr>
          <w:p w14:paraId="5D5B9D28">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default"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每月一次，每年几次出现</w:t>
            </w:r>
          </w:p>
          <w:p w14:paraId="716638FD">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default" w:ascii="宋体" w:hAnsi="宋体" w:eastAsia="宋体" w:cs="宋体"/>
                <w:color w:val="auto"/>
                <w:kern w:val="0"/>
                <w:sz w:val="18"/>
                <w:szCs w:val="18"/>
                <w:lang w:val="en-US" w:eastAsia="zh-CN" w:bidi="ar"/>
              </w:rPr>
            </w:pPr>
          </w:p>
        </w:tc>
      </w:tr>
      <w:tr w14:paraId="30589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965" w:type="dxa"/>
            <w:tcBorders>
              <w:right w:val="single" w:color="000000" w:sz="4" w:space="0"/>
            </w:tcBorders>
            <w:vAlign w:val="top"/>
          </w:tcPr>
          <w:p w14:paraId="3B9113DE">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3</w:t>
            </w:r>
          </w:p>
        </w:tc>
        <w:tc>
          <w:tcPr>
            <w:tcW w:w="3272" w:type="dxa"/>
            <w:tcBorders>
              <w:left w:val="single" w:color="000000" w:sz="4" w:space="0"/>
              <w:right w:val="single" w:color="000000" w:sz="4" w:space="0"/>
            </w:tcBorders>
            <w:vAlign w:val="top"/>
          </w:tcPr>
          <w:p w14:paraId="03C6A82D">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每周一次或偶然地暴露</w:t>
            </w:r>
          </w:p>
        </w:tc>
        <w:tc>
          <w:tcPr>
            <w:tcW w:w="1065" w:type="dxa"/>
            <w:tcBorders>
              <w:left w:val="single" w:color="000000" w:sz="4" w:space="0"/>
              <w:right w:val="single" w:color="000000" w:sz="4" w:space="0"/>
            </w:tcBorders>
            <w:vAlign w:val="top"/>
          </w:tcPr>
          <w:p w14:paraId="26254893">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0.5</w:t>
            </w:r>
          </w:p>
        </w:tc>
        <w:tc>
          <w:tcPr>
            <w:tcW w:w="3176" w:type="dxa"/>
            <w:tcBorders>
              <w:left w:val="single" w:color="000000" w:sz="4" w:space="0"/>
            </w:tcBorders>
            <w:vAlign w:val="top"/>
          </w:tcPr>
          <w:p w14:paraId="38D31704">
            <w:pPr>
              <w:keepNext w:val="0"/>
              <w:keepLines w:val="0"/>
              <w:pageBreakBefore w:val="0"/>
              <w:widowControl/>
              <w:wordWrap/>
              <w:overflowPunct/>
              <w:topLinePunct w:val="0"/>
              <w:autoSpaceDE/>
              <w:autoSpaceDN/>
              <w:bidi w:val="0"/>
              <w:spacing w:beforeAutospacing="0" w:afterAutospacing="0" w:line="400" w:lineRule="exact"/>
              <w:ind w:right="119" w:firstLine="180" w:firstLineChars="100"/>
              <w:jc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非常罕见地暴露</w:t>
            </w:r>
          </w:p>
        </w:tc>
      </w:tr>
    </w:tbl>
    <w:p w14:paraId="6CF771A8">
      <w:pPr>
        <w:spacing w:line="260" w:lineRule="auto"/>
        <w:rPr>
          <w:rFonts w:ascii="Arial"/>
          <w:color w:val="auto"/>
          <w:sz w:val="21"/>
        </w:rPr>
      </w:pPr>
    </w:p>
    <w:p w14:paraId="4742640C">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659723AF">
      <w:pPr>
        <w:bidi w:val="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表 4-</w:t>
      </w:r>
      <w:r>
        <w:rPr>
          <w:rFonts w:hint="eastAsia" w:cs="宋体"/>
          <w:b/>
          <w:bCs/>
          <w:color w:val="auto"/>
          <w:sz w:val="24"/>
          <w:szCs w:val="24"/>
          <w:lang w:val="en-US" w:eastAsia="zh-CN"/>
        </w:rPr>
        <w:t>5</w:t>
      </w:r>
      <w:r>
        <w:rPr>
          <w:rFonts w:hint="eastAsia" w:ascii="宋体" w:hAnsi="宋体" w:eastAsia="宋体" w:cs="宋体"/>
          <w:b/>
          <w:bCs/>
          <w:color w:val="auto"/>
          <w:sz w:val="24"/>
          <w:szCs w:val="24"/>
        </w:rPr>
        <w:t xml:space="preserve">   发生事故或危险事件可能结果 (C)</w:t>
      </w:r>
    </w:p>
    <w:tbl>
      <w:tblPr>
        <w:tblStyle w:val="27"/>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0"/>
        <w:gridCol w:w="3124"/>
        <w:gridCol w:w="1218"/>
        <w:gridCol w:w="3027"/>
      </w:tblGrid>
      <w:tr w14:paraId="40914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140" w:type="dxa"/>
            <w:tcBorders>
              <w:right w:val="single" w:color="000000" w:sz="4" w:space="0"/>
            </w:tcBorders>
            <w:vAlign w:val="center"/>
          </w:tcPr>
          <w:p w14:paraId="6345E3BD">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124" w:type="dxa"/>
            <w:tcBorders>
              <w:left w:val="single" w:color="000000" w:sz="4" w:space="0"/>
              <w:right w:val="single" w:color="000000" w:sz="4" w:space="0"/>
            </w:tcBorders>
            <w:vAlign w:val="center"/>
          </w:tcPr>
          <w:p w14:paraId="6A808D90">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可能结果</w:t>
            </w:r>
          </w:p>
        </w:tc>
        <w:tc>
          <w:tcPr>
            <w:tcW w:w="1218" w:type="dxa"/>
            <w:tcBorders>
              <w:left w:val="single" w:color="000000" w:sz="4" w:space="0"/>
              <w:right w:val="single" w:color="000000" w:sz="4" w:space="0"/>
            </w:tcBorders>
            <w:vAlign w:val="center"/>
          </w:tcPr>
          <w:p w14:paraId="4DF0D3DC">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027" w:type="dxa"/>
            <w:tcBorders>
              <w:left w:val="single" w:color="000000" w:sz="4" w:space="0"/>
            </w:tcBorders>
            <w:vAlign w:val="center"/>
          </w:tcPr>
          <w:p w14:paraId="0F0053DA">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可能结果</w:t>
            </w:r>
          </w:p>
        </w:tc>
      </w:tr>
      <w:tr w14:paraId="44775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40" w:type="dxa"/>
            <w:tcBorders>
              <w:right w:val="single" w:color="000000" w:sz="4" w:space="0"/>
            </w:tcBorders>
            <w:vAlign w:val="top"/>
          </w:tcPr>
          <w:p w14:paraId="5AA731FA">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100*</w:t>
            </w:r>
          </w:p>
        </w:tc>
        <w:tc>
          <w:tcPr>
            <w:tcW w:w="3124" w:type="dxa"/>
            <w:tcBorders>
              <w:left w:val="single" w:color="000000" w:sz="4" w:space="0"/>
              <w:right w:val="single" w:color="000000" w:sz="4" w:space="0"/>
            </w:tcBorders>
            <w:vAlign w:val="top"/>
          </w:tcPr>
          <w:p w14:paraId="6356D2DC">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大灾难，许多人死亡</w:t>
            </w:r>
          </w:p>
        </w:tc>
        <w:tc>
          <w:tcPr>
            <w:tcW w:w="1218" w:type="dxa"/>
            <w:tcBorders>
              <w:left w:val="single" w:color="000000" w:sz="4" w:space="0"/>
              <w:right w:val="single" w:color="000000" w:sz="4" w:space="0"/>
            </w:tcBorders>
            <w:vAlign w:val="top"/>
          </w:tcPr>
          <w:p w14:paraId="43185456">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7</w:t>
            </w:r>
          </w:p>
        </w:tc>
        <w:tc>
          <w:tcPr>
            <w:tcW w:w="3027" w:type="dxa"/>
            <w:tcBorders>
              <w:left w:val="single" w:color="000000" w:sz="4" w:space="0"/>
            </w:tcBorders>
            <w:vAlign w:val="top"/>
          </w:tcPr>
          <w:p w14:paraId="6010E89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严重，严重伤害</w:t>
            </w:r>
          </w:p>
        </w:tc>
      </w:tr>
      <w:tr w14:paraId="2B7B6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40" w:type="dxa"/>
            <w:tcBorders>
              <w:right w:val="single" w:color="000000" w:sz="4" w:space="0"/>
            </w:tcBorders>
            <w:vAlign w:val="top"/>
          </w:tcPr>
          <w:p w14:paraId="32592D06">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40</w:t>
            </w:r>
          </w:p>
        </w:tc>
        <w:tc>
          <w:tcPr>
            <w:tcW w:w="3124" w:type="dxa"/>
            <w:tcBorders>
              <w:left w:val="single" w:color="000000" w:sz="4" w:space="0"/>
              <w:right w:val="single" w:color="000000" w:sz="4" w:space="0"/>
            </w:tcBorders>
            <w:vAlign w:val="top"/>
          </w:tcPr>
          <w:p w14:paraId="40573813">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灾难，数人死亡</w:t>
            </w:r>
          </w:p>
        </w:tc>
        <w:tc>
          <w:tcPr>
            <w:tcW w:w="1218" w:type="dxa"/>
            <w:tcBorders>
              <w:left w:val="single" w:color="000000" w:sz="4" w:space="0"/>
              <w:right w:val="single" w:color="000000" w:sz="4" w:space="0"/>
            </w:tcBorders>
            <w:vAlign w:val="top"/>
          </w:tcPr>
          <w:p w14:paraId="1AC19E7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3</w:t>
            </w:r>
          </w:p>
        </w:tc>
        <w:tc>
          <w:tcPr>
            <w:tcW w:w="3027" w:type="dxa"/>
            <w:tcBorders>
              <w:left w:val="single" w:color="000000" w:sz="4" w:space="0"/>
            </w:tcBorders>
            <w:vAlign w:val="top"/>
          </w:tcPr>
          <w:p w14:paraId="2E70BCC2">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重大，致残</w:t>
            </w:r>
          </w:p>
        </w:tc>
      </w:tr>
      <w:tr w14:paraId="22224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140" w:type="dxa"/>
            <w:tcBorders>
              <w:right w:val="single" w:color="000000" w:sz="4" w:space="0"/>
            </w:tcBorders>
            <w:vAlign w:val="top"/>
          </w:tcPr>
          <w:p w14:paraId="3CF842D0">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15</w:t>
            </w:r>
          </w:p>
        </w:tc>
        <w:tc>
          <w:tcPr>
            <w:tcW w:w="3124" w:type="dxa"/>
            <w:tcBorders>
              <w:left w:val="single" w:color="000000" w:sz="4" w:space="0"/>
              <w:right w:val="single" w:color="000000" w:sz="4" w:space="0"/>
            </w:tcBorders>
            <w:vAlign w:val="top"/>
          </w:tcPr>
          <w:p w14:paraId="2C9E2458">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非常严重，一人死亡</w:t>
            </w:r>
          </w:p>
        </w:tc>
        <w:tc>
          <w:tcPr>
            <w:tcW w:w="1218" w:type="dxa"/>
            <w:tcBorders>
              <w:left w:val="single" w:color="000000" w:sz="4" w:space="0"/>
              <w:right w:val="single" w:color="000000" w:sz="4" w:space="0"/>
            </w:tcBorders>
            <w:vAlign w:val="top"/>
          </w:tcPr>
          <w:p w14:paraId="2E179E87">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w:t>
            </w:r>
          </w:p>
        </w:tc>
        <w:tc>
          <w:tcPr>
            <w:tcW w:w="3027" w:type="dxa"/>
            <w:tcBorders>
              <w:left w:val="single" w:color="000000" w:sz="4" w:space="0"/>
            </w:tcBorders>
            <w:vAlign w:val="top"/>
          </w:tcPr>
          <w:p w14:paraId="22498E61">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引人注目，需要救护</w:t>
            </w:r>
          </w:p>
        </w:tc>
      </w:tr>
    </w:tbl>
    <w:p w14:paraId="5EA9A6F8">
      <w:pPr>
        <w:spacing w:before="75" w:line="165" w:lineRule="auto"/>
        <w:ind w:left="2431"/>
        <w:jc w:val="left"/>
        <w:rPr>
          <w:rFonts w:hint="eastAsia" w:ascii="宋体" w:hAnsi="宋体" w:eastAsia="宋体" w:cs="宋体"/>
          <w:color w:val="auto"/>
          <w:spacing w:val="12"/>
          <w:sz w:val="24"/>
          <w:szCs w:val="24"/>
          <w14:textOutline w14:w="316" w14:cap="flat" w14:cmpd="sng">
            <w14:solidFill>
              <w14:srgbClr w14:val="000000"/>
            </w14:solidFill>
            <w14:prstDash w14:val="solid"/>
            <w14:miter w14:val="0"/>
          </w14:textOutline>
        </w:rPr>
      </w:pPr>
    </w:p>
    <w:p w14:paraId="6CABCB96">
      <w:pPr>
        <w:bidi w:val="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表 4-</w:t>
      </w:r>
      <w:r>
        <w:rPr>
          <w:rFonts w:hint="eastAsia" w:cs="宋体"/>
          <w:b/>
          <w:bCs/>
          <w:color w:val="auto"/>
          <w:sz w:val="24"/>
          <w:szCs w:val="24"/>
          <w:lang w:val="en-US" w:eastAsia="zh-CN"/>
        </w:rPr>
        <w:t>6</w:t>
      </w:r>
      <w:r>
        <w:rPr>
          <w:rFonts w:hint="eastAsia" w:ascii="宋体" w:hAnsi="宋体" w:eastAsia="宋体" w:cs="宋体"/>
          <w:b/>
          <w:bCs/>
          <w:color w:val="auto"/>
          <w:sz w:val="24"/>
          <w:szCs w:val="24"/>
        </w:rPr>
        <w:t xml:space="preserve">   危险等级 (D) 划分标准</w:t>
      </w:r>
    </w:p>
    <w:tbl>
      <w:tblPr>
        <w:tblStyle w:val="27"/>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3099"/>
        <w:gridCol w:w="1241"/>
        <w:gridCol w:w="3003"/>
      </w:tblGrid>
      <w:tr w14:paraId="77445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166" w:type="dxa"/>
            <w:tcBorders>
              <w:right w:val="single" w:color="000000" w:sz="4" w:space="0"/>
            </w:tcBorders>
            <w:vAlign w:val="center"/>
          </w:tcPr>
          <w:p w14:paraId="0966B329">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099" w:type="dxa"/>
            <w:tcBorders>
              <w:left w:val="single" w:color="000000" w:sz="4" w:space="0"/>
              <w:right w:val="single" w:color="000000" w:sz="4" w:space="0"/>
            </w:tcBorders>
            <w:vAlign w:val="center"/>
          </w:tcPr>
          <w:p w14:paraId="460244A3">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危险程度</w:t>
            </w:r>
          </w:p>
        </w:tc>
        <w:tc>
          <w:tcPr>
            <w:tcW w:w="1241" w:type="dxa"/>
            <w:tcBorders>
              <w:left w:val="single" w:color="000000" w:sz="4" w:space="0"/>
              <w:right w:val="single" w:color="000000" w:sz="4" w:space="0"/>
            </w:tcBorders>
            <w:vAlign w:val="center"/>
          </w:tcPr>
          <w:p w14:paraId="5538D911">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分值</w:t>
            </w:r>
          </w:p>
        </w:tc>
        <w:tc>
          <w:tcPr>
            <w:tcW w:w="3003" w:type="dxa"/>
            <w:tcBorders>
              <w:left w:val="single" w:color="000000" w:sz="4" w:space="0"/>
            </w:tcBorders>
            <w:vAlign w:val="center"/>
          </w:tcPr>
          <w:p w14:paraId="669F143B">
            <w:pPr>
              <w:keepNext w:val="0"/>
              <w:keepLines w:val="0"/>
              <w:pageBreakBefore w:val="0"/>
              <w:widowControl/>
              <w:suppressLineNumbers w:val="0"/>
              <w:kinsoku w:val="0"/>
              <w:wordWrap/>
              <w:overflowPunct/>
              <w:topLinePunct w:val="0"/>
              <w:autoSpaceDE/>
              <w:autoSpaceDN/>
              <w:bidi w:val="0"/>
              <w:adjustRightInd w:val="0"/>
              <w:snapToGrid w:val="0"/>
              <w:spacing w:line="400" w:lineRule="exact"/>
              <w:jc w:val="center"/>
              <w:textAlignment w:val="baseline"/>
              <w:rPr>
                <w:rFonts w:hint="eastAsia" w:ascii="宋体" w:hAnsi="宋体" w:eastAsia="宋体" w:cs="宋体"/>
                <w:b/>
                <w:bCs/>
                <w:color w:val="auto"/>
                <w:kern w:val="0"/>
                <w:sz w:val="18"/>
                <w:szCs w:val="18"/>
                <w:lang w:val="en-US" w:eastAsia="zh-CN" w:bidi="ar"/>
              </w:rPr>
            </w:pPr>
            <w:r>
              <w:rPr>
                <w:rFonts w:hint="eastAsia" w:ascii="宋体" w:hAnsi="宋体" w:eastAsia="宋体" w:cs="宋体"/>
                <w:b/>
                <w:bCs/>
                <w:color w:val="auto"/>
                <w:kern w:val="0"/>
                <w:sz w:val="18"/>
                <w:szCs w:val="18"/>
                <w:lang w:val="en-US" w:eastAsia="zh-CN" w:bidi="ar"/>
              </w:rPr>
              <w:t>危险程度</w:t>
            </w:r>
          </w:p>
        </w:tc>
      </w:tr>
      <w:tr w14:paraId="40F32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66" w:type="dxa"/>
            <w:tcBorders>
              <w:right w:val="single" w:color="000000" w:sz="4" w:space="0"/>
            </w:tcBorders>
            <w:vAlign w:val="top"/>
          </w:tcPr>
          <w:p w14:paraId="623EDA8C">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&gt;320</w:t>
            </w:r>
          </w:p>
        </w:tc>
        <w:tc>
          <w:tcPr>
            <w:tcW w:w="3099" w:type="dxa"/>
            <w:tcBorders>
              <w:left w:val="single" w:color="000000" w:sz="4" w:space="0"/>
              <w:right w:val="single" w:color="000000" w:sz="4" w:space="0"/>
            </w:tcBorders>
            <w:vAlign w:val="top"/>
          </w:tcPr>
          <w:p w14:paraId="76114C02">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极其危险，不能继续作业</w:t>
            </w:r>
          </w:p>
        </w:tc>
        <w:tc>
          <w:tcPr>
            <w:tcW w:w="1241" w:type="dxa"/>
            <w:tcBorders>
              <w:left w:val="single" w:color="000000" w:sz="4" w:space="0"/>
              <w:right w:val="single" w:color="000000" w:sz="4" w:space="0"/>
            </w:tcBorders>
            <w:vAlign w:val="top"/>
          </w:tcPr>
          <w:p w14:paraId="6696B633">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20-70</w:t>
            </w:r>
          </w:p>
        </w:tc>
        <w:tc>
          <w:tcPr>
            <w:tcW w:w="3003" w:type="dxa"/>
            <w:tcBorders>
              <w:left w:val="single" w:color="000000" w:sz="4" w:space="0"/>
            </w:tcBorders>
            <w:vAlign w:val="top"/>
          </w:tcPr>
          <w:p w14:paraId="3D6E3FF6">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一般危险，需要注意</w:t>
            </w:r>
          </w:p>
        </w:tc>
      </w:tr>
      <w:tr w14:paraId="5CDE6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66" w:type="dxa"/>
            <w:tcBorders>
              <w:right w:val="single" w:color="000000" w:sz="4" w:space="0"/>
            </w:tcBorders>
            <w:vAlign w:val="top"/>
          </w:tcPr>
          <w:p w14:paraId="4CF0C52B">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160-320</w:t>
            </w:r>
          </w:p>
        </w:tc>
        <w:tc>
          <w:tcPr>
            <w:tcW w:w="3099" w:type="dxa"/>
            <w:tcBorders>
              <w:left w:val="single" w:color="000000" w:sz="4" w:space="0"/>
              <w:right w:val="single" w:color="000000" w:sz="4" w:space="0"/>
            </w:tcBorders>
            <w:vAlign w:val="top"/>
          </w:tcPr>
          <w:p w14:paraId="32679FB9">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高度危险，需要立即整改</w:t>
            </w:r>
          </w:p>
        </w:tc>
        <w:tc>
          <w:tcPr>
            <w:tcW w:w="1241" w:type="dxa"/>
            <w:tcBorders>
              <w:left w:val="single" w:color="000000" w:sz="4" w:space="0"/>
              <w:right w:val="single" w:color="000000" w:sz="4" w:space="0"/>
            </w:tcBorders>
            <w:vAlign w:val="top"/>
          </w:tcPr>
          <w:p w14:paraId="0A17D812">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&lt;20</w:t>
            </w:r>
          </w:p>
        </w:tc>
        <w:tc>
          <w:tcPr>
            <w:tcW w:w="3003" w:type="dxa"/>
            <w:tcBorders>
              <w:left w:val="single" w:color="000000" w:sz="4" w:space="0"/>
            </w:tcBorders>
            <w:vAlign w:val="top"/>
          </w:tcPr>
          <w:p w14:paraId="11A2E4DD">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稍有危险，或许可能接受</w:t>
            </w:r>
          </w:p>
        </w:tc>
      </w:tr>
      <w:tr w14:paraId="4E1F7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166" w:type="dxa"/>
            <w:tcBorders>
              <w:right w:val="single" w:color="000000" w:sz="4" w:space="0"/>
            </w:tcBorders>
            <w:vAlign w:val="top"/>
          </w:tcPr>
          <w:p w14:paraId="0AC3F951">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70-160</w:t>
            </w:r>
          </w:p>
        </w:tc>
        <w:tc>
          <w:tcPr>
            <w:tcW w:w="3099" w:type="dxa"/>
            <w:tcBorders>
              <w:left w:val="single" w:color="000000" w:sz="4" w:space="0"/>
              <w:right w:val="single" w:color="000000" w:sz="4" w:space="0"/>
            </w:tcBorders>
            <w:vAlign w:val="top"/>
          </w:tcPr>
          <w:p w14:paraId="6B68F536">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val="en-US" w:eastAsia="zh-CN" w:bidi="ar"/>
              </w:rPr>
              <w:t>显著危险，需要整改</w:t>
            </w:r>
          </w:p>
        </w:tc>
        <w:tc>
          <w:tcPr>
            <w:tcW w:w="1241" w:type="dxa"/>
            <w:tcBorders>
              <w:left w:val="single" w:color="000000" w:sz="4" w:space="0"/>
              <w:right w:val="single" w:color="000000" w:sz="4" w:space="0"/>
            </w:tcBorders>
            <w:vAlign w:val="top"/>
          </w:tcPr>
          <w:p w14:paraId="2C2AFF5A">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p>
        </w:tc>
        <w:tc>
          <w:tcPr>
            <w:tcW w:w="3003" w:type="dxa"/>
            <w:tcBorders>
              <w:left w:val="single" w:color="000000" w:sz="4" w:space="0"/>
            </w:tcBorders>
            <w:vAlign w:val="top"/>
          </w:tcPr>
          <w:p w14:paraId="7EBA95AD">
            <w:pPr>
              <w:keepNext w:val="0"/>
              <w:keepLines w:val="0"/>
              <w:pageBreakBefore w:val="0"/>
              <w:widowControl/>
              <w:kinsoku w:val="0"/>
              <w:wordWrap/>
              <w:overflowPunct/>
              <w:topLinePunct w:val="0"/>
              <w:autoSpaceDE/>
              <w:autoSpaceDN/>
              <w:bidi w:val="0"/>
              <w:adjustRightInd w:val="0"/>
              <w:snapToGrid w:val="0"/>
              <w:spacing w:line="400" w:lineRule="exact"/>
              <w:ind w:right="119" w:firstLine="180" w:firstLineChars="100"/>
              <w:jc w:val="center"/>
              <w:textAlignment w:val="baseline"/>
              <w:rPr>
                <w:rFonts w:hint="eastAsia" w:ascii="宋体" w:hAnsi="宋体" w:eastAsia="宋体" w:cs="宋体"/>
                <w:color w:val="auto"/>
                <w:kern w:val="0"/>
                <w:sz w:val="18"/>
                <w:szCs w:val="18"/>
                <w:lang w:val="en-US" w:eastAsia="zh-CN" w:bidi="ar"/>
              </w:rPr>
            </w:pPr>
          </w:p>
        </w:tc>
      </w:tr>
    </w:tbl>
    <w:p w14:paraId="445FBAA5">
      <w:pPr>
        <w:spacing w:line="14" w:lineRule="auto"/>
        <w:rPr>
          <w:rFonts w:ascii="Arial"/>
          <w:color w:val="auto"/>
          <w:sz w:val="2"/>
        </w:rPr>
      </w:pPr>
    </w:p>
    <w:p w14:paraId="5FDD6D84">
      <w:pPr>
        <w:bidi w:val="0"/>
        <w:rPr>
          <w:rFonts w:hint="eastAsia"/>
          <w:color w:val="auto"/>
        </w:rPr>
      </w:pPr>
      <w:r>
        <w:rPr>
          <w:rFonts w:hint="eastAsia"/>
          <w:color w:val="auto"/>
        </w:rPr>
        <w:t>评价程序如下：</w:t>
      </w:r>
    </w:p>
    <w:p w14:paraId="57E3B82A">
      <w:pPr>
        <w:bidi w:val="0"/>
        <w:rPr>
          <w:rFonts w:hint="eastAsia"/>
          <w:color w:val="auto"/>
        </w:rPr>
      </w:pPr>
      <w:r>
        <w:rPr>
          <w:rFonts w:hint="eastAsia"/>
          <w:color w:val="auto"/>
          <w:lang w:val="en-US" w:eastAsia="zh-CN"/>
        </w:rPr>
        <w:t>1.</w:t>
      </w:r>
      <w:r>
        <w:rPr>
          <w:rFonts w:hint="eastAsia"/>
          <w:color w:val="auto"/>
        </w:rPr>
        <w:t>熟悉评价单元；</w:t>
      </w:r>
    </w:p>
    <w:p w14:paraId="1A7ACE61">
      <w:pPr>
        <w:bidi w:val="0"/>
        <w:rPr>
          <w:rFonts w:hint="eastAsia"/>
          <w:color w:val="auto"/>
        </w:rPr>
      </w:pPr>
      <w:r>
        <w:rPr>
          <w:rFonts w:hint="eastAsia"/>
          <w:color w:val="auto"/>
          <w:lang w:val="en-US" w:eastAsia="zh-CN"/>
        </w:rPr>
        <w:t>2.</w:t>
      </w:r>
      <w:r>
        <w:rPr>
          <w:rFonts w:hint="eastAsia"/>
          <w:color w:val="auto"/>
        </w:rPr>
        <w:t>根据单元特性</w:t>
      </w:r>
      <w:r>
        <w:rPr>
          <w:rFonts w:hint="eastAsia"/>
          <w:color w:val="auto"/>
          <w:lang w:eastAsia="zh-CN"/>
        </w:rPr>
        <w:t>，</w:t>
      </w:r>
      <w:r>
        <w:rPr>
          <w:rFonts w:hint="eastAsia"/>
          <w:color w:val="auto"/>
        </w:rPr>
        <w:t>确定单元作业事故或危险发生的可能性；</w:t>
      </w:r>
    </w:p>
    <w:p w14:paraId="2FC863BF">
      <w:pPr>
        <w:bidi w:val="0"/>
        <w:rPr>
          <w:rFonts w:hint="eastAsia"/>
          <w:color w:val="auto"/>
        </w:rPr>
      </w:pPr>
      <w:r>
        <w:rPr>
          <w:rFonts w:hint="eastAsia"/>
          <w:color w:val="auto"/>
          <w:lang w:val="en-US" w:eastAsia="zh-CN"/>
        </w:rPr>
        <w:t>3.</w:t>
      </w:r>
      <w:r>
        <w:rPr>
          <w:rFonts w:hint="eastAsia"/>
          <w:color w:val="auto"/>
        </w:rPr>
        <w:t>确定作业人员暴露于潜在危险环境频率；</w:t>
      </w:r>
    </w:p>
    <w:p w14:paraId="31C48D41">
      <w:pPr>
        <w:bidi w:val="0"/>
        <w:rPr>
          <w:rFonts w:hint="eastAsia"/>
          <w:color w:val="auto"/>
        </w:rPr>
      </w:pPr>
      <w:r>
        <w:rPr>
          <w:rFonts w:hint="eastAsia"/>
          <w:color w:val="auto"/>
          <w:lang w:val="en-US" w:eastAsia="zh-CN"/>
        </w:rPr>
        <w:t>4.</w:t>
      </w:r>
      <w:r>
        <w:rPr>
          <w:rFonts w:hint="eastAsia"/>
          <w:color w:val="auto"/>
        </w:rPr>
        <w:t>发生事故或危险事件可能结果；</w:t>
      </w:r>
    </w:p>
    <w:p w14:paraId="43F244BE">
      <w:pPr>
        <w:bidi w:val="0"/>
        <w:rPr>
          <w:rFonts w:hint="eastAsia"/>
          <w:color w:val="auto"/>
        </w:rPr>
      </w:pPr>
      <w:r>
        <w:rPr>
          <w:rFonts w:hint="eastAsia"/>
          <w:color w:val="auto"/>
          <w:lang w:val="en-US" w:eastAsia="zh-CN"/>
        </w:rPr>
        <w:t>5.</w:t>
      </w:r>
      <w:r>
        <w:rPr>
          <w:rFonts w:hint="eastAsia"/>
          <w:color w:val="auto"/>
        </w:rPr>
        <w:t>通过计算D=L×E×C ，确定单元的危险程度。</w:t>
      </w:r>
    </w:p>
    <w:p w14:paraId="51644735">
      <w:pPr>
        <w:spacing w:line="14" w:lineRule="auto"/>
        <w:rPr>
          <w:color w:val="auto"/>
        </w:rPr>
      </w:pPr>
    </w:p>
    <w:p w14:paraId="0433E4A5">
      <w:pPr>
        <w:rPr>
          <w:color w:val="auto"/>
        </w:rPr>
        <w:sectPr>
          <w:pgSz w:w="11906" w:h="16839"/>
          <w:pgMar w:top="1417" w:right="1417" w:bottom="1417" w:left="1417" w:header="850" w:footer="964" w:gutter="0"/>
          <w:pgBorders>
            <w:top w:val="none" w:sz="0" w:space="0"/>
            <w:left w:val="none" w:sz="0" w:space="0"/>
            <w:bottom w:val="none" w:sz="0" w:space="0"/>
            <w:right w:val="none" w:sz="0" w:space="0"/>
          </w:pgBorders>
          <w:pgNumType w:fmt="decimal"/>
          <w:cols w:space="0" w:num="1"/>
          <w:rtlGutter w:val="0"/>
          <w:docGrid w:linePitch="0" w:charSpace="0"/>
        </w:sectPr>
      </w:pPr>
    </w:p>
    <w:p w14:paraId="3F333059">
      <w:pPr>
        <w:spacing w:line="14" w:lineRule="auto"/>
        <w:rPr>
          <w:rFonts w:ascii="Arial"/>
          <w:color w:val="auto"/>
          <w:sz w:val="2"/>
        </w:rPr>
      </w:pPr>
    </w:p>
    <w:p w14:paraId="4F508F7C">
      <w:pPr>
        <w:pStyle w:val="2"/>
        <w:bidi w:val="0"/>
        <w:rPr>
          <w:rFonts w:hint="eastAsia"/>
          <w:color w:val="auto"/>
          <w:lang w:val="en-US" w:eastAsia="zh-CN"/>
        </w:rPr>
      </w:pPr>
      <w:bookmarkStart w:id="776" w:name="_Toc20925"/>
      <w:bookmarkStart w:id="777" w:name="_Toc11842"/>
      <w:bookmarkStart w:id="778" w:name="_Toc17404"/>
      <w:bookmarkStart w:id="779" w:name="_Toc13580"/>
      <w:bookmarkStart w:id="780" w:name="_Toc1830"/>
      <w:bookmarkStart w:id="781" w:name="_Toc12522"/>
      <w:bookmarkStart w:id="782" w:name="_Toc24402"/>
      <w:bookmarkStart w:id="783" w:name="_Toc18085"/>
      <w:bookmarkStart w:id="784" w:name="_Toc32292"/>
      <w:bookmarkStart w:id="785" w:name="_Toc10743"/>
      <w:r>
        <w:rPr>
          <w:rFonts w:hint="eastAsia"/>
          <w:color w:val="auto"/>
          <w:lang w:val="en-US" w:eastAsia="zh-CN"/>
        </w:rPr>
        <w:t>5 安全评价</w:t>
      </w:r>
      <w:bookmarkEnd w:id="776"/>
      <w:bookmarkEnd w:id="777"/>
      <w:bookmarkEnd w:id="778"/>
      <w:bookmarkEnd w:id="779"/>
      <w:bookmarkEnd w:id="780"/>
      <w:bookmarkEnd w:id="781"/>
      <w:bookmarkEnd w:id="782"/>
      <w:bookmarkEnd w:id="783"/>
      <w:bookmarkEnd w:id="784"/>
      <w:bookmarkEnd w:id="785"/>
    </w:p>
    <w:p w14:paraId="6A340984">
      <w:pPr>
        <w:pStyle w:val="4"/>
        <w:bidi w:val="0"/>
        <w:rPr>
          <w:rFonts w:hint="eastAsia"/>
          <w:color w:val="auto"/>
        </w:rPr>
      </w:pPr>
      <w:bookmarkStart w:id="786" w:name="_Toc23829"/>
      <w:bookmarkStart w:id="787" w:name="_Toc31968"/>
      <w:bookmarkStart w:id="788" w:name="_Toc32162"/>
      <w:bookmarkStart w:id="789" w:name="_Toc31150"/>
      <w:bookmarkStart w:id="790" w:name="_Toc4673"/>
      <w:bookmarkStart w:id="791" w:name="_Toc16907"/>
      <w:bookmarkStart w:id="792" w:name="_Toc5817"/>
      <w:bookmarkStart w:id="793" w:name="_Toc2583"/>
      <w:bookmarkStart w:id="794" w:name="_Toc9943"/>
      <w:r>
        <w:rPr>
          <w:rFonts w:hint="eastAsia"/>
          <w:color w:val="auto"/>
          <w:lang w:val="en-US" w:eastAsia="zh-CN"/>
        </w:rPr>
        <w:t>5.1 综合管理单元</w:t>
      </w:r>
      <w:bookmarkEnd w:id="786"/>
      <w:bookmarkEnd w:id="787"/>
      <w:bookmarkEnd w:id="788"/>
      <w:bookmarkEnd w:id="789"/>
      <w:bookmarkEnd w:id="790"/>
      <w:bookmarkEnd w:id="791"/>
      <w:bookmarkEnd w:id="792"/>
      <w:bookmarkEnd w:id="793"/>
      <w:bookmarkEnd w:id="794"/>
    </w:p>
    <w:p w14:paraId="1021377C">
      <w:pPr>
        <w:pStyle w:val="5"/>
        <w:bidi w:val="0"/>
        <w:rPr>
          <w:rFonts w:hint="eastAsia"/>
          <w:color w:val="auto"/>
          <w:lang w:val="en-US" w:eastAsia="zh-CN"/>
        </w:rPr>
      </w:pPr>
      <w:bookmarkStart w:id="795" w:name="_Toc24122"/>
      <w:bookmarkStart w:id="796" w:name="_Toc15810"/>
      <w:bookmarkStart w:id="797" w:name="_Toc3590"/>
      <w:bookmarkStart w:id="798" w:name="_Toc25790"/>
      <w:r>
        <w:rPr>
          <w:rFonts w:hint="eastAsia"/>
          <w:color w:val="auto"/>
          <w:lang w:val="en-US" w:eastAsia="zh-CN"/>
        </w:rPr>
        <w:t>5.1.1 安全检查表评价</w:t>
      </w:r>
      <w:bookmarkEnd w:id="795"/>
      <w:bookmarkEnd w:id="796"/>
      <w:bookmarkEnd w:id="797"/>
      <w:bookmarkEnd w:id="798"/>
    </w:p>
    <w:p w14:paraId="368E5E4C">
      <w:pPr>
        <w:bidi w:val="0"/>
        <w:rPr>
          <w:rFonts w:hint="eastAsia"/>
          <w:color w:val="auto"/>
        </w:rPr>
      </w:pPr>
      <w:r>
        <w:rPr>
          <w:rFonts w:hint="eastAsia"/>
          <w:color w:val="auto"/>
        </w:rPr>
        <w:t>综合管理单元采用安全检查表分析法进行评价，具体见表5</w:t>
      </w:r>
      <w:r>
        <w:rPr>
          <w:rFonts w:hint="eastAsia"/>
          <w:color w:val="auto"/>
          <w:lang w:val="en-US" w:eastAsia="zh-CN"/>
        </w:rPr>
        <w:t>.1</w:t>
      </w:r>
      <w:r>
        <w:rPr>
          <w:rFonts w:hint="eastAsia"/>
          <w:color w:val="auto"/>
        </w:rPr>
        <w:t>-1。</w:t>
      </w:r>
    </w:p>
    <w:p w14:paraId="03B3B639">
      <w:pPr>
        <w:bidi w:val="0"/>
        <w:jc w:val="center"/>
        <w:rPr>
          <w:rFonts w:hint="eastAsia"/>
          <w:color w:val="auto"/>
        </w:rPr>
      </w:pPr>
      <w:r>
        <w:rPr>
          <w:rFonts w:hint="eastAsia"/>
          <w:color w:val="auto"/>
        </w:rPr>
        <w:t>表 5</w:t>
      </w:r>
      <w:r>
        <w:rPr>
          <w:rFonts w:hint="eastAsia"/>
          <w:color w:val="auto"/>
          <w:lang w:val="en-US" w:eastAsia="zh-CN"/>
        </w:rPr>
        <w:t>.1</w:t>
      </w:r>
      <w:r>
        <w:rPr>
          <w:rFonts w:hint="eastAsia"/>
          <w:color w:val="auto"/>
        </w:rPr>
        <w:t>-1   综合管理单元安全检查表</w:t>
      </w:r>
    </w:p>
    <w:tbl>
      <w:tblPr>
        <w:tblStyle w:val="18"/>
        <w:tblW w:w="9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962"/>
        <w:gridCol w:w="1591"/>
        <w:gridCol w:w="946"/>
        <w:gridCol w:w="990"/>
        <w:gridCol w:w="770"/>
        <w:gridCol w:w="850"/>
        <w:gridCol w:w="642"/>
      </w:tblGrid>
      <w:tr w14:paraId="1237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666" w:type="dxa"/>
            <w:noWrap w:val="0"/>
            <w:vAlign w:val="center"/>
          </w:tcPr>
          <w:p w14:paraId="11CD8619">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检查</w:t>
            </w:r>
          </w:p>
          <w:p w14:paraId="693DA9F6">
            <w:pPr>
              <w:keepNext w:val="0"/>
              <w:keepLines w:val="0"/>
              <w:pageBreakBefore w:val="0"/>
              <w:widowControl w:val="0"/>
              <w:kinsoku/>
              <w:wordWrap/>
              <w:overflowPunct/>
              <w:topLinePunct w:val="0"/>
              <w:autoSpaceDE/>
              <w:autoSpaceDN/>
              <w:bidi w:val="0"/>
              <w:adjustRightInd/>
              <w:snapToGrid/>
              <w:spacing w:line="260" w:lineRule="exact"/>
              <w:ind w:leftChars="0" w:hanging="168" w:hangingChars="8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项目</w:t>
            </w:r>
          </w:p>
        </w:tc>
        <w:tc>
          <w:tcPr>
            <w:tcW w:w="2962" w:type="dxa"/>
            <w:noWrap w:val="0"/>
            <w:vAlign w:val="center"/>
          </w:tcPr>
          <w:p w14:paraId="13C783B7">
            <w:pPr>
              <w:keepNext w:val="0"/>
              <w:keepLines w:val="0"/>
              <w:pageBreakBefore w:val="0"/>
              <w:widowControl w:val="0"/>
              <w:kinsoku/>
              <w:wordWrap/>
              <w:overflowPunct/>
              <w:topLinePunct w:val="0"/>
              <w:autoSpaceDE/>
              <w:autoSpaceDN/>
              <w:bidi w:val="0"/>
              <w:adjustRightInd/>
              <w:snapToGrid/>
              <w:spacing w:line="260" w:lineRule="exact"/>
              <w:ind w:left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检查内容</w:t>
            </w:r>
          </w:p>
        </w:tc>
        <w:tc>
          <w:tcPr>
            <w:tcW w:w="1591" w:type="dxa"/>
            <w:noWrap w:val="0"/>
            <w:vAlign w:val="center"/>
          </w:tcPr>
          <w:p w14:paraId="79CDB718">
            <w:pPr>
              <w:keepNext w:val="0"/>
              <w:keepLines w:val="0"/>
              <w:pageBreakBefore w:val="0"/>
              <w:widowControl w:val="0"/>
              <w:kinsoku/>
              <w:wordWrap/>
              <w:overflowPunct/>
              <w:topLinePunct w:val="0"/>
              <w:autoSpaceDE/>
              <w:autoSpaceDN/>
              <w:bidi w:val="0"/>
              <w:adjustRightInd/>
              <w:snapToGri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检查依据</w:t>
            </w:r>
          </w:p>
        </w:tc>
        <w:tc>
          <w:tcPr>
            <w:tcW w:w="946" w:type="dxa"/>
            <w:noWrap w:val="0"/>
            <w:vAlign w:val="center"/>
          </w:tcPr>
          <w:p w14:paraId="2DF90D5C">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检查方法及地点</w:t>
            </w:r>
          </w:p>
        </w:tc>
        <w:tc>
          <w:tcPr>
            <w:tcW w:w="990" w:type="dxa"/>
            <w:noWrap w:val="0"/>
            <w:vAlign w:val="center"/>
          </w:tcPr>
          <w:p w14:paraId="68E7CC5A">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检查</w:t>
            </w:r>
          </w:p>
          <w:p w14:paraId="7F386979">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记录</w:t>
            </w:r>
          </w:p>
        </w:tc>
        <w:tc>
          <w:tcPr>
            <w:tcW w:w="770" w:type="dxa"/>
            <w:noWrap w:val="0"/>
            <w:vAlign w:val="center"/>
          </w:tcPr>
          <w:p w14:paraId="05FCBCDD">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center"/>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标准分值</w:t>
            </w:r>
          </w:p>
        </w:tc>
        <w:tc>
          <w:tcPr>
            <w:tcW w:w="850" w:type="dxa"/>
            <w:noWrap w:val="0"/>
            <w:vAlign w:val="center"/>
          </w:tcPr>
          <w:p w14:paraId="4D5905AD">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评分</w:t>
            </w:r>
          </w:p>
          <w:p w14:paraId="25AE9F19">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标准</w:t>
            </w:r>
          </w:p>
        </w:tc>
        <w:tc>
          <w:tcPr>
            <w:tcW w:w="642" w:type="dxa"/>
            <w:noWrap w:val="0"/>
            <w:vAlign w:val="center"/>
          </w:tcPr>
          <w:p w14:paraId="251A47C8">
            <w:pPr>
              <w:keepNext w:val="0"/>
              <w:keepLines w:val="0"/>
              <w:pageBreakBefore w:val="0"/>
              <w:widowControl w:val="0"/>
              <w:kinsoku/>
              <w:wordWrap/>
              <w:overflowPunct/>
              <w:topLinePunct w:val="0"/>
              <w:autoSpaceDE/>
              <w:autoSpaceDN/>
              <w:bidi w:val="0"/>
              <w:adjustRightInd/>
              <w:snapToGri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得分</w:t>
            </w:r>
          </w:p>
        </w:tc>
      </w:tr>
      <w:tr w14:paraId="55F8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18D5D2C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w:t>
            </w:r>
            <w:r>
              <w:rPr>
                <w:rFonts w:hint="eastAsia" w:ascii="宋体" w:hAnsi="宋体" w:eastAsia="宋体" w:cs="Times New Roman"/>
                <w:bCs w:val="0"/>
                <w:color w:val="auto"/>
                <w:spacing w:val="0"/>
                <w:w w:val="100"/>
                <w:sz w:val="21"/>
                <w:szCs w:val="21"/>
              </w:rPr>
              <w:t>相关证照（协议）</w:t>
            </w:r>
          </w:p>
        </w:tc>
        <w:tc>
          <w:tcPr>
            <w:tcW w:w="2962" w:type="dxa"/>
            <w:noWrap w:val="0"/>
            <w:vAlign w:val="center"/>
          </w:tcPr>
          <w:p w14:paraId="0411C69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1.1安全生产许可证</w:t>
            </w:r>
          </w:p>
        </w:tc>
        <w:tc>
          <w:tcPr>
            <w:tcW w:w="1591" w:type="dxa"/>
            <w:noWrap w:val="0"/>
            <w:vAlign w:val="center"/>
          </w:tcPr>
          <w:p w14:paraId="5BB2157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《安全生产许可证条例》第二条</w:t>
            </w:r>
          </w:p>
        </w:tc>
        <w:tc>
          <w:tcPr>
            <w:tcW w:w="946" w:type="dxa"/>
            <w:noWrap w:val="0"/>
            <w:vAlign w:val="center"/>
          </w:tcPr>
          <w:p w14:paraId="577222A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3A0DB14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有效期内</w:t>
            </w:r>
          </w:p>
        </w:tc>
        <w:tc>
          <w:tcPr>
            <w:tcW w:w="770" w:type="dxa"/>
            <w:noWrap w:val="0"/>
            <w:vAlign w:val="center"/>
          </w:tcPr>
          <w:p w14:paraId="1A70107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4A3856B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20C81C3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cs="Times New Roman"/>
                <w:bCs w:val="0"/>
                <w:color w:val="auto"/>
                <w:spacing w:val="0"/>
                <w:w w:val="100"/>
                <w:sz w:val="21"/>
                <w:szCs w:val="21"/>
                <w:lang w:val="en-US" w:eastAsia="zh-CN"/>
              </w:rPr>
              <w:t>待取证</w:t>
            </w:r>
          </w:p>
        </w:tc>
      </w:tr>
      <w:tr w14:paraId="680E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31A67B7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07BEB0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1.2工商营业执照</w:t>
            </w:r>
          </w:p>
        </w:tc>
        <w:tc>
          <w:tcPr>
            <w:tcW w:w="1591" w:type="dxa"/>
            <w:noWrap w:val="0"/>
            <w:vAlign w:val="center"/>
          </w:tcPr>
          <w:p w14:paraId="14CFE8C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省政府令第138号第八条</w:t>
            </w:r>
          </w:p>
        </w:tc>
        <w:tc>
          <w:tcPr>
            <w:tcW w:w="946" w:type="dxa"/>
            <w:noWrap w:val="0"/>
            <w:vAlign w:val="center"/>
          </w:tcPr>
          <w:p w14:paraId="04FF43C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46650A0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有效期内</w:t>
            </w:r>
          </w:p>
        </w:tc>
        <w:tc>
          <w:tcPr>
            <w:tcW w:w="770" w:type="dxa"/>
            <w:noWrap w:val="0"/>
            <w:vAlign w:val="center"/>
          </w:tcPr>
          <w:p w14:paraId="715D638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60199F1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1E7E822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r>
      <w:tr w14:paraId="4933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0E1219B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E31E64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1.3采矿许可证</w:t>
            </w:r>
          </w:p>
        </w:tc>
        <w:tc>
          <w:tcPr>
            <w:tcW w:w="1591" w:type="dxa"/>
            <w:noWrap w:val="0"/>
            <w:vAlign w:val="center"/>
          </w:tcPr>
          <w:p w14:paraId="237501B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省政府令第138号第八条</w:t>
            </w:r>
          </w:p>
        </w:tc>
        <w:tc>
          <w:tcPr>
            <w:tcW w:w="946" w:type="dxa"/>
            <w:noWrap w:val="0"/>
            <w:vAlign w:val="center"/>
          </w:tcPr>
          <w:p w14:paraId="500CC25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30DF0A5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有效期内</w:t>
            </w:r>
          </w:p>
        </w:tc>
        <w:tc>
          <w:tcPr>
            <w:tcW w:w="770" w:type="dxa"/>
            <w:noWrap w:val="0"/>
            <w:vAlign w:val="center"/>
          </w:tcPr>
          <w:p w14:paraId="787BAD5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3EC6C69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4C3C5B4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r>
      <w:tr w14:paraId="0195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24E13A8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A7CFDD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1.4爆破作业单位许可证</w:t>
            </w:r>
          </w:p>
        </w:tc>
        <w:tc>
          <w:tcPr>
            <w:tcW w:w="1591" w:type="dxa"/>
            <w:noWrap w:val="0"/>
            <w:vAlign w:val="center"/>
          </w:tcPr>
          <w:p w14:paraId="101C301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《民用爆炸物品管理条例》第三条</w:t>
            </w:r>
          </w:p>
        </w:tc>
        <w:tc>
          <w:tcPr>
            <w:tcW w:w="946" w:type="dxa"/>
            <w:noWrap w:val="0"/>
            <w:vAlign w:val="center"/>
          </w:tcPr>
          <w:p w14:paraId="0FA3626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16CFB63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有效期内</w:t>
            </w:r>
          </w:p>
        </w:tc>
        <w:tc>
          <w:tcPr>
            <w:tcW w:w="770" w:type="dxa"/>
            <w:noWrap w:val="0"/>
            <w:vAlign w:val="center"/>
          </w:tcPr>
          <w:p w14:paraId="2B90CC4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2B13487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1790671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r>
      <w:tr w14:paraId="4F03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FCF9C2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E8DFD2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1.5矿山主要负责人安全资格证</w:t>
            </w:r>
          </w:p>
        </w:tc>
        <w:tc>
          <w:tcPr>
            <w:tcW w:w="1591" w:type="dxa"/>
            <w:noWrap w:val="0"/>
            <w:vAlign w:val="center"/>
          </w:tcPr>
          <w:p w14:paraId="5F869FF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《安全生产法》第二十七条；GB16423-20204.2.3</w:t>
            </w:r>
          </w:p>
        </w:tc>
        <w:tc>
          <w:tcPr>
            <w:tcW w:w="946" w:type="dxa"/>
            <w:noWrap w:val="0"/>
            <w:vAlign w:val="center"/>
          </w:tcPr>
          <w:p w14:paraId="0ABEFAB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4A3756F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有效期内</w:t>
            </w:r>
          </w:p>
        </w:tc>
        <w:tc>
          <w:tcPr>
            <w:tcW w:w="770" w:type="dxa"/>
            <w:noWrap w:val="0"/>
            <w:vAlign w:val="center"/>
          </w:tcPr>
          <w:p w14:paraId="7307144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21A03B6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7798F2C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w:t>
            </w:r>
          </w:p>
        </w:tc>
      </w:tr>
      <w:tr w14:paraId="4A6B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FD4108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2B384E4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1.6安全管理人员资格证</w:t>
            </w:r>
          </w:p>
        </w:tc>
        <w:tc>
          <w:tcPr>
            <w:tcW w:w="1591" w:type="dxa"/>
            <w:noWrap w:val="0"/>
            <w:vAlign w:val="center"/>
          </w:tcPr>
          <w:p w14:paraId="510A818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《安全生产法》第二十七条；GB16423-20204.3.1</w:t>
            </w:r>
          </w:p>
        </w:tc>
        <w:tc>
          <w:tcPr>
            <w:tcW w:w="946" w:type="dxa"/>
            <w:noWrap w:val="0"/>
            <w:vAlign w:val="center"/>
          </w:tcPr>
          <w:p w14:paraId="6210D93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0304830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有效期内</w:t>
            </w:r>
          </w:p>
        </w:tc>
        <w:tc>
          <w:tcPr>
            <w:tcW w:w="770" w:type="dxa"/>
            <w:noWrap w:val="0"/>
            <w:vAlign w:val="center"/>
          </w:tcPr>
          <w:p w14:paraId="1F10314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4DA231E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430DE4A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w:t>
            </w:r>
          </w:p>
        </w:tc>
      </w:tr>
      <w:tr w14:paraId="2E0F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4C7C6A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63A484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1.7特种作业人员上岗资格证</w:t>
            </w:r>
          </w:p>
        </w:tc>
        <w:tc>
          <w:tcPr>
            <w:tcW w:w="1591" w:type="dxa"/>
            <w:noWrap w:val="0"/>
            <w:vAlign w:val="center"/>
          </w:tcPr>
          <w:p w14:paraId="57D4620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《安全生产法》第三十条</w:t>
            </w:r>
          </w:p>
        </w:tc>
        <w:tc>
          <w:tcPr>
            <w:tcW w:w="946" w:type="dxa"/>
            <w:noWrap w:val="0"/>
            <w:vAlign w:val="center"/>
          </w:tcPr>
          <w:p w14:paraId="0902614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034D2F0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有效期内</w:t>
            </w:r>
          </w:p>
        </w:tc>
        <w:tc>
          <w:tcPr>
            <w:tcW w:w="770" w:type="dxa"/>
            <w:noWrap w:val="0"/>
            <w:vAlign w:val="center"/>
          </w:tcPr>
          <w:p w14:paraId="6944FB2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0B70DFC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36423BF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有效</w:t>
            </w:r>
          </w:p>
        </w:tc>
      </w:tr>
      <w:tr w14:paraId="5E7D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1CCD54A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7532DB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1.8从业人员培训证明</w:t>
            </w:r>
          </w:p>
        </w:tc>
        <w:tc>
          <w:tcPr>
            <w:tcW w:w="1591" w:type="dxa"/>
            <w:noWrap w:val="0"/>
            <w:vAlign w:val="center"/>
          </w:tcPr>
          <w:p w14:paraId="4B61646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《安全生产法》第二十八条</w:t>
            </w:r>
          </w:p>
        </w:tc>
        <w:tc>
          <w:tcPr>
            <w:tcW w:w="946" w:type="dxa"/>
            <w:noWrap w:val="0"/>
            <w:vAlign w:val="center"/>
          </w:tcPr>
          <w:p w14:paraId="24D9ABE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50DA2E7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内部培训</w:t>
            </w:r>
          </w:p>
        </w:tc>
        <w:tc>
          <w:tcPr>
            <w:tcW w:w="770" w:type="dxa"/>
            <w:noWrap w:val="0"/>
            <w:vAlign w:val="center"/>
          </w:tcPr>
          <w:p w14:paraId="598D5FF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2D89B5B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4F9A4D5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r>
      <w:tr w14:paraId="5BE7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20DEAC8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4162B28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1.9危险化学品使用或储存登记证</w:t>
            </w:r>
          </w:p>
        </w:tc>
        <w:tc>
          <w:tcPr>
            <w:tcW w:w="1591" w:type="dxa"/>
            <w:noWrap w:val="0"/>
            <w:vAlign w:val="center"/>
          </w:tcPr>
          <w:p w14:paraId="118CDDE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《危险化学品登记管理办法》第十六、十七条</w:t>
            </w:r>
          </w:p>
        </w:tc>
        <w:tc>
          <w:tcPr>
            <w:tcW w:w="946" w:type="dxa"/>
            <w:noWrap w:val="0"/>
            <w:vAlign w:val="center"/>
          </w:tcPr>
          <w:p w14:paraId="1B58C8D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查看有效证件</w:t>
            </w:r>
          </w:p>
        </w:tc>
        <w:tc>
          <w:tcPr>
            <w:tcW w:w="990" w:type="dxa"/>
            <w:noWrap w:val="0"/>
            <w:vAlign w:val="center"/>
          </w:tcPr>
          <w:p w14:paraId="7754CE8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无关项</w:t>
            </w:r>
          </w:p>
        </w:tc>
        <w:tc>
          <w:tcPr>
            <w:tcW w:w="770" w:type="dxa"/>
            <w:noWrap w:val="0"/>
            <w:vAlign w:val="center"/>
          </w:tcPr>
          <w:p w14:paraId="47D6BDCB">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4B6EF79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659A00F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w:t>
            </w:r>
          </w:p>
        </w:tc>
      </w:tr>
      <w:tr w14:paraId="754F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4F58A5D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484DAA3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1.10与承包的采掘施工单位签订安全管理协议</w:t>
            </w:r>
          </w:p>
        </w:tc>
        <w:tc>
          <w:tcPr>
            <w:tcW w:w="1591" w:type="dxa"/>
            <w:noWrap w:val="0"/>
            <w:vAlign w:val="center"/>
          </w:tcPr>
          <w:p w14:paraId="45CB0E4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《安全生产法》第四十九条</w:t>
            </w:r>
          </w:p>
        </w:tc>
        <w:tc>
          <w:tcPr>
            <w:tcW w:w="946" w:type="dxa"/>
            <w:noWrap w:val="0"/>
            <w:vAlign w:val="center"/>
          </w:tcPr>
          <w:p w14:paraId="4E15AEB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查看有关文件</w:t>
            </w:r>
          </w:p>
        </w:tc>
        <w:tc>
          <w:tcPr>
            <w:tcW w:w="990" w:type="dxa"/>
            <w:noWrap w:val="0"/>
            <w:vAlign w:val="center"/>
          </w:tcPr>
          <w:p w14:paraId="71C83F8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与爆破作业单位</w:t>
            </w:r>
            <w:r>
              <w:rPr>
                <w:rFonts w:hint="eastAsia" w:ascii="宋体" w:hAnsi="宋体" w:eastAsia="宋体" w:cs="Times New Roman"/>
                <w:bCs w:val="0"/>
                <w:color w:val="auto"/>
                <w:spacing w:val="0"/>
                <w:w w:val="100"/>
                <w:sz w:val="21"/>
                <w:szCs w:val="21"/>
              </w:rPr>
              <w:t>签订了安全管理协议</w:t>
            </w:r>
          </w:p>
        </w:tc>
        <w:tc>
          <w:tcPr>
            <w:tcW w:w="770" w:type="dxa"/>
            <w:noWrap w:val="0"/>
            <w:vAlign w:val="center"/>
          </w:tcPr>
          <w:p w14:paraId="2A7CD75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noWrap w:val="0"/>
            <w:vAlign w:val="center"/>
          </w:tcPr>
          <w:p w14:paraId="5AEB016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否决项</w:t>
            </w:r>
          </w:p>
        </w:tc>
        <w:tc>
          <w:tcPr>
            <w:tcW w:w="642" w:type="dxa"/>
            <w:noWrap w:val="0"/>
            <w:vAlign w:val="center"/>
          </w:tcPr>
          <w:p w14:paraId="042F24F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r>
      <w:tr w14:paraId="04AE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0AFB5967">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rPr>
              <w:t>安全管理机构</w:t>
            </w:r>
            <w:r>
              <w:rPr>
                <w:rFonts w:hint="eastAsia" w:ascii="宋体" w:hAnsi="宋体" w:eastAsia="宋体" w:cs="Times New Roman"/>
                <w:bCs w:val="0"/>
                <w:color w:val="auto"/>
                <w:spacing w:val="0"/>
                <w:w w:val="100"/>
                <w:sz w:val="21"/>
                <w:szCs w:val="21"/>
                <w:lang w:val="en-US" w:eastAsia="zh-CN"/>
              </w:rPr>
              <w:t>和技术管理</w:t>
            </w:r>
          </w:p>
          <w:p w14:paraId="7DB6F418">
            <w:pPr>
              <w:pStyle w:val="17"/>
              <w:numPr>
                <w:ilvl w:val="0"/>
                <w:numId w:val="0"/>
              </w:numPr>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5分</w:t>
            </w:r>
          </w:p>
        </w:tc>
        <w:tc>
          <w:tcPr>
            <w:tcW w:w="2962" w:type="dxa"/>
            <w:noWrap w:val="0"/>
            <w:vAlign w:val="center"/>
          </w:tcPr>
          <w:p w14:paraId="3F5B52B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2.1设置安全管理机构或配备专职安全生产管理人员；安全管理人员下发文件或聘任书</w:t>
            </w:r>
          </w:p>
        </w:tc>
        <w:tc>
          <w:tcPr>
            <w:tcW w:w="1591" w:type="dxa"/>
            <w:noWrap w:val="0"/>
            <w:vAlign w:val="center"/>
          </w:tcPr>
          <w:p w14:paraId="4200DA1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《安全生产法》第二十四条；</w:t>
            </w:r>
          </w:p>
          <w:p w14:paraId="4D14E3B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GB16423-20204.1.6</w:t>
            </w:r>
          </w:p>
        </w:tc>
        <w:tc>
          <w:tcPr>
            <w:tcW w:w="946" w:type="dxa"/>
            <w:noWrap w:val="0"/>
            <w:vAlign w:val="center"/>
          </w:tcPr>
          <w:p w14:paraId="69381EB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查看有效证书、文件</w:t>
            </w:r>
          </w:p>
        </w:tc>
        <w:tc>
          <w:tcPr>
            <w:tcW w:w="990" w:type="dxa"/>
            <w:noWrap w:val="0"/>
            <w:vAlign w:val="center"/>
          </w:tcPr>
          <w:p w14:paraId="38B8E05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临鲁金发〔2026〕03号</w:t>
            </w:r>
          </w:p>
        </w:tc>
        <w:tc>
          <w:tcPr>
            <w:tcW w:w="770" w:type="dxa"/>
            <w:noWrap w:val="0"/>
            <w:vAlign w:val="center"/>
          </w:tcPr>
          <w:p w14:paraId="140DEFF7">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noWrap w:val="0"/>
            <w:vAlign w:val="center"/>
          </w:tcPr>
          <w:p w14:paraId="69BAD55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缺1项扣1分</w:t>
            </w:r>
          </w:p>
        </w:tc>
        <w:tc>
          <w:tcPr>
            <w:tcW w:w="642" w:type="dxa"/>
            <w:noWrap w:val="0"/>
            <w:vAlign w:val="center"/>
          </w:tcPr>
          <w:p w14:paraId="597733E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r>
      <w:tr w14:paraId="038C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2B28518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6D35A0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2</w:t>
            </w:r>
            <w:r>
              <w:rPr>
                <w:rFonts w:hint="default" w:ascii="宋体" w:hAnsi="宋体" w:eastAsia="宋体" w:cs="Times New Roman"/>
                <w:bCs w:val="0"/>
                <w:color w:val="auto"/>
                <w:spacing w:val="0"/>
                <w:w w:val="100"/>
                <w:sz w:val="21"/>
                <w:szCs w:val="21"/>
                <w:lang w:val="en-US" w:eastAsia="zh-CN"/>
              </w:rPr>
              <w:t>.2应当有注册安全工程师从事安全生产管理工作。专职安全生产管理人员应当从事矿山工作5年及以上、具有相应的非煤矿山安全生产专业知识和工作经验并熟悉本矿生产系统</w:t>
            </w:r>
          </w:p>
        </w:tc>
        <w:tc>
          <w:tcPr>
            <w:tcW w:w="1591" w:type="dxa"/>
            <w:noWrap w:val="0"/>
            <w:vAlign w:val="center"/>
          </w:tcPr>
          <w:p w14:paraId="5F53D1E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default" w:ascii="宋体" w:hAnsi="宋体" w:eastAsia="宋体" w:cs="Times New Roman"/>
                <w:bCs w:val="0"/>
                <w:color w:val="auto"/>
                <w:spacing w:val="0"/>
                <w:w w:val="100"/>
                <w:sz w:val="21"/>
                <w:szCs w:val="21"/>
              </w:rPr>
              <w:t>矿安〔2022〕4号文</w:t>
            </w:r>
          </w:p>
        </w:tc>
        <w:tc>
          <w:tcPr>
            <w:tcW w:w="946" w:type="dxa"/>
            <w:noWrap w:val="0"/>
            <w:vAlign w:val="center"/>
          </w:tcPr>
          <w:p w14:paraId="14503E1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default" w:ascii="宋体" w:hAnsi="宋体" w:eastAsia="宋体" w:cs="Times New Roman"/>
                <w:bCs w:val="0"/>
                <w:color w:val="auto"/>
                <w:spacing w:val="0"/>
                <w:w w:val="100"/>
                <w:sz w:val="21"/>
                <w:szCs w:val="21"/>
              </w:rPr>
              <w:t>查看有效证书、文件</w:t>
            </w:r>
          </w:p>
        </w:tc>
        <w:tc>
          <w:tcPr>
            <w:tcW w:w="990" w:type="dxa"/>
            <w:noWrap w:val="0"/>
            <w:vAlign w:val="center"/>
          </w:tcPr>
          <w:p w14:paraId="236A08A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临鲁金发〔2026〕03号</w:t>
            </w:r>
          </w:p>
        </w:tc>
        <w:tc>
          <w:tcPr>
            <w:tcW w:w="770" w:type="dxa"/>
            <w:noWrap w:val="0"/>
            <w:vAlign w:val="center"/>
          </w:tcPr>
          <w:p w14:paraId="4A8F3BD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3</w:t>
            </w:r>
          </w:p>
        </w:tc>
        <w:tc>
          <w:tcPr>
            <w:tcW w:w="850" w:type="dxa"/>
            <w:noWrap w:val="0"/>
            <w:vAlign w:val="center"/>
          </w:tcPr>
          <w:p w14:paraId="198F47C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default" w:ascii="宋体" w:hAnsi="宋体" w:eastAsia="宋体" w:cs="Times New Roman"/>
                <w:bCs w:val="0"/>
                <w:color w:val="auto"/>
                <w:spacing w:val="0"/>
                <w:w w:val="100"/>
                <w:sz w:val="21"/>
                <w:szCs w:val="21"/>
              </w:rPr>
              <w:t>不符合不得分</w:t>
            </w:r>
          </w:p>
        </w:tc>
        <w:tc>
          <w:tcPr>
            <w:tcW w:w="642" w:type="dxa"/>
            <w:noWrap w:val="0"/>
            <w:vAlign w:val="center"/>
          </w:tcPr>
          <w:p w14:paraId="6DF705C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cs="Times New Roman"/>
                <w:bCs w:val="0"/>
                <w:color w:val="auto"/>
                <w:spacing w:val="0"/>
                <w:w w:val="100"/>
                <w:sz w:val="21"/>
                <w:szCs w:val="21"/>
                <w:lang w:val="en-US" w:eastAsia="zh-CN"/>
              </w:rPr>
              <w:t>3</w:t>
            </w:r>
          </w:p>
        </w:tc>
      </w:tr>
      <w:tr w14:paraId="3715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857F8B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66CC3FB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2.3</w:t>
            </w:r>
            <w:r>
              <w:rPr>
                <w:rFonts w:hint="eastAsia" w:eastAsia="宋体" w:cs="Times New Roman"/>
                <w:bCs w:val="0"/>
                <w:color w:val="auto"/>
                <w:spacing w:val="0"/>
                <w:w w:val="100"/>
                <w:sz w:val="21"/>
                <w:szCs w:val="21"/>
              </w:rPr>
              <w:t>矿山每个独立生产系统应当配备专职的矿长、总工程师和分管安全、生产、机电的副矿长</w:t>
            </w:r>
          </w:p>
        </w:tc>
        <w:tc>
          <w:tcPr>
            <w:tcW w:w="1591" w:type="dxa"/>
            <w:noWrap w:val="0"/>
            <w:vAlign w:val="center"/>
          </w:tcPr>
          <w:p w14:paraId="257B0B7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矿安〔2022] 4号文</w:t>
            </w:r>
          </w:p>
        </w:tc>
        <w:tc>
          <w:tcPr>
            <w:tcW w:w="946" w:type="dxa"/>
            <w:noWrap w:val="0"/>
            <w:vAlign w:val="center"/>
          </w:tcPr>
          <w:p w14:paraId="7D7B439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eastAsia="宋体" w:cs="Times New Roman"/>
                <w:bCs w:val="0"/>
                <w:color w:val="auto"/>
                <w:spacing w:val="0"/>
                <w:w w:val="100"/>
                <w:sz w:val="21"/>
                <w:szCs w:val="21"/>
              </w:rPr>
              <w:t>查看有关文件</w:t>
            </w:r>
          </w:p>
        </w:tc>
        <w:tc>
          <w:tcPr>
            <w:tcW w:w="990" w:type="dxa"/>
            <w:noWrap w:val="0"/>
            <w:vAlign w:val="center"/>
          </w:tcPr>
          <w:p w14:paraId="76AB21A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ascii="宋体" w:hAnsi="宋体" w:eastAsia="宋体" w:cs="Times New Roman"/>
                <w:bCs w:val="0"/>
                <w:color w:val="auto"/>
                <w:spacing w:val="0"/>
                <w:w w:val="100"/>
                <w:sz w:val="21"/>
                <w:szCs w:val="21"/>
                <w:lang w:val="en-US" w:eastAsia="zh-CN"/>
              </w:rPr>
              <w:t>临鲁金发〔2026〕04号</w:t>
            </w:r>
          </w:p>
        </w:tc>
        <w:tc>
          <w:tcPr>
            <w:tcW w:w="770" w:type="dxa"/>
            <w:noWrap w:val="0"/>
            <w:vAlign w:val="center"/>
          </w:tcPr>
          <w:p w14:paraId="5ED07FC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p>
        </w:tc>
        <w:tc>
          <w:tcPr>
            <w:tcW w:w="850" w:type="dxa"/>
            <w:noWrap w:val="0"/>
            <w:vAlign w:val="center"/>
          </w:tcPr>
          <w:p w14:paraId="5719EB2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eastAsia="宋体" w:cs="Times New Roman"/>
                <w:bCs w:val="0"/>
                <w:color w:val="auto"/>
                <w:spacing w:val="0"/>
                <w:w w:val="100"/>
                <w:sz w:val="21"/>
                <w:szCs w:val="21"/>
              </w:rPr>
              <w:t>否决项</w:t>
            </w:r>
          </w:p>
        </w:tc>
        <w:tc>
          <w:tcPr>
            <w:tcW w:w="642" w:type="dxa"/>
            <w:noWrap w:val="0"/>
            <w:vAlign w:val="center"/>
          </w:tcPr>
          <w:p w14:paraId="6529C25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eastAsia="宋体" w:cs="Times New Roman"/>
                <w:bCs w:val="0"/>
                <w:color w:val="auto"/>
                <w:spacing w:val="0"/>
                <w:w w:val="100"/>
                <w:sz w:val="21"/>
                <w:szCs w:val="21"/>
              </w:rPr>
              <w:t>符合</w:t>
            </w:r>
          </w:p>
        </w:tc>
      </w:tr>
      <w:tr w14:paraId="0D2B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044B585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6CE7BB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eastAsia="宋体" w:cs="Times New Roman"/>
                <w:bCs w:val="0"/>
                <w:color w:val="auto"/>
                <w:spacing w:val="0"/>
                <w:w w:val="100"/>
                <w:sz w:val="21"/>
                <w:szCs w:val="21"/>
                <w:lang w:val="en-US" w:eastAsia="zh-CN"/>
              </w:rPr>
              <w:t>2.4配备具有采矿、地质、测量、机电等矿山相关专业中专及以上学历或者中级及以上技术职称的专职技术人，每个专业至少配备 1 人</w:t>
            </w:r>
          </w:p>
        </w:tc>
        <w:tc>
          <w:tcPr>
            <w:tcW w:w="1591" w:type="dxa"/>
            <w:noWrap w:val="0"/>
            <w:vAlign w:val="center"/>
          </w:tcPr>
          <w:p w14:paraId="59F7CA9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eastAsia="宋体" w:cs="Times New Roman"/>
                <w:bCs w:val="0"/>
                <w:color w:val="auto"/>
                <w:spacing w:val="0"/>
                <w:w w:val="100"/>
                <w:sz w:val="21"/>
                <w:szCs w:val="21"/>
              </w:rPr>
              <w:t>矿安〔2022〕4号</w:t>
            </w:r>
          </w:p>
        </w:tc>
        <w:tc>
          <w:tcPr>
            <w:tcW w:w="946" w:type="dxa"/>
            <w:noWrap w:val="0"/>
            <w:vAlign w:val="center"/>
          </w:tcPr>
          <w:p w14:paraId="18D7121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eastAsia="宋体" w:cs="Times New Roman"/>
                <w:bCs w:val="0"/>
                <w:color w:val="auto"/>
                <w:spacing w:val="0"/>
                <w:w w:val="100"/>
                <w:sz w:val="21"/>
                <w:szCs w:val="21"/>
              </w:rPr>
              <w:t>查看有关文件</w:t>
            </w:r>
          </w:p>
        </w:tc>
        <w:tc>
          <w:tcPr>
            <w:tcW w:w="990" w:type="dxa"/>
            <w:noWrap w:val="0"/>
            <w:vAlign w:val="center"/>
          </w:tcPr>
          <w:p w14:paraId="25C618A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ascii="宋体" w:hAnsi="宋体" w:eastAsia="宋体" w:cs="Times New Roman"/>
                <w:bCs w:val="0"/>
                <w:color w:val="auto"/>
                <w:spacing w:val="0"/>
                <w:w w:val="100"/>
                <w:sz w:val="21"/>
                <w:szCs w:val="21"/>
                <w:lang w:val="en-US" w:eastAsia="zh-CN"/>
              </w:rPr>
              <w:t>临鲁金发〔2026〕05号</w:t>
            </w:r>
          </w:p>
        </w:tc>
        <w:tc>
          <w:tcPr>
            <w:tcW w:w="770" w:type="dxa"/>
            <w:noWrap w:val="0"/>
            <w:vAlign w:val="center"/>
          </w:tcPr>
          <w:p w14:paraId="0848F94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p>
        </w:tc>
        <w:tc>
          <w:tcPr>
            <w:tcW w:w="850" w:type="dxa"/>
            <w:noWrap w:val="0"/>
            <w:vAlign w:val="center"/>
          </w:tcPr>
          <w:p w14:paraId="317E90F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ascii="Times New Roman" w:hAnsi="Times New Roman" w:eastAsia="宋体" w:cs="Times New Roman"/>
                <w:bCs w:val="0"/>
                <w:color w:val="auto"/>
                <w:spacing w:val="0"/>
                <w:w w:val="100"/>
                <w:kern w:val="2"/>
                <w:sz w:val="21"/>
                <w:szCs w:val="21"/>
                <w:lang w:val="en-US" w:eastAsia="zh-CN" w:bidi="ar-SA"/>
              </w:rPr>
            </w:pPr>
            <w:r>
              <w:rPr>
                <w:rFonts w:eastAsia="宋体" w:cs="Times New Roman"/>
                <w:bCs w:val="0"/>
                <w:color w:val="auto"/>
                <w:spacing w:val="0"/>
                <w:w w:val="100"/>
                <w:sz w:val="21"/>
                <w:szCs w:val="21"/>
              </w:rPr>
              <w:t>否决项</w:t>
            </w:r>
          </w:p>
        </w:tc>
        <w:tc>
          <w:tcPr>
            <w:tcW w:w="642" w:type="dxa"/>
            <w:noWrap w:val="0"/>
            <w:vAlign w:val="center"/>
          </w:tcPr>
          <w:p w14:paraId="772AE1E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Times New Roman" w:hAnsi="Times New Roman" w:eastAsia="宋体" w:cs="Times New Roman"/>
                <w:bCs w:val="0"/>
                <w:color w:val="auto"/>
                <w:spacing w:val="0"/>
                <w:w w:val="100"/>
                <w:kern w:val="2"/>
                <w:sz w:val="21"/>
                <w:szCs w:val="21"/>
                <w:lang w:val="en-US" w:eastAsia="zh-CN" w:bidi="ar-SA"/>
              </w:rPr>
            </w:pPr>
            <w:r>
              <w:rPr>
                <w:rFonts w:hint="eastAsia" w:eastAsia="宋体" w:cs="Times New Roman"/>
                <w:bCs w:val="0"/>
                <w:color w:val="auto"/>
                <w:spacing w:val="0"/>
                <w:w w:val="100"/>
                <w:sz w:val="21"/>
                <w:szCs w:val="21"/>
              </w:rPr>
              <w:t>符合</w:t>
            </w:r>
          </w:p>
        </w:tc>
      </w:tr>
      <w:tr w14:paraId="04C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251AA795">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安全生产责任制</w:t>
            </w:r>
          </w:p>
          <w:p w14:paraId="1C778DC5">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9分</w:t>
            </w:r>
          </w:p>
          <w:p w14:paraId="31AA55F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426F3A5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3.1建立和健全主要负责人、分管负责人、安全生产管理人员安全生产责任制；</w:t>
            </w:r>
          </w:p>
        </w:tc>
        <w:tc>
          <w:tcPr>
            <w:tcW w:w="1591" w:type="dxa"/>
            <w:noWrap w:val="0"/>
            <w:vAlign w:val="center"/>
          </w:tcPr>
          <w:p w14:paraId="244F6AD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《安全生产法》第二十一条</w:t>
            </w:r>
          </w:p>
        </w:tc>
        <w:tc>
          <w:tcPr>
            <w:tcW w:w="946" w:type="dxa"/>
            <w:noWrap w:val="0"/>
            <w:vAlign w:val="center"/>
          </w:tcPr>
          <w:p w14:paraId="2D0A7EE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查资料</w:t>
            </w:r>
          </w:p>
        </w:tc>
        <w:tc>
          <w:tcPr>
            <w:tcW w:w="990" w:type="dxa"/>
            <w:vMerge w:val="restart"/>
            <w:noWrap w:val="0"/>
            <w:vAlign w:val="center"/>
          </w:tcPr>
          <w:p w14:paraId="36F5C14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建立健全了各级安全生产责任</w:t>
            </w:r>
          </w:p>
          <w:p w14:paraId="1E07118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770" w:type="dxa"/>
            <w:noWrap w:val="0"/>
            <w:vAlign w:val="center"/>
          </w:tcPr>
          <w:p w14:paraId="5C7AD4E0">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w:t>
            </w:r>
          </w:p>
        </w:tc>
        <w:tc>
          <w:tcPr>
            <w:tcW w:w="850" w:type="dxa"/>
            <w:vMerge w:val="restart"/>
            <w:noWrap w:val="0"/>
            <w:vAlign w:val="center"/>
          </w:tcPr>
          <w:p w14:paraId="4D89E16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缺1项扣1分，扣完为止</w:t>
            </w:r>
          </w:p>
        </w:tc>
        <w:tc>
          <w:tcPr>
            <w:tcW w:w="642" w:type="dxa"/>
            <w:noWrap w:val="0"/>
            <w:vAlign w:val="center"/>
          </w:tcPr>
          <w:p w14:paraId="0C99701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w:t>
            </w:r>
          </w:p>
        </w:tc>
      </w:tr>
      <w:tr w14:paraId="3039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1C55CF7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095BAD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3.2建立和健全职能部门安全生产责任制；</w:t>
            </w:r>
          </w:p>
        </w:tc>
        <w:tc>
          <w:tcPr>
            <w:tcW w:w="1591" w:type="dxa"/>
            <w:noWrap w:val="0"/>
            <w:vAlign w:val="center"/>
          </w:tcPr>
          <w:p w14:paraId="39BC741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《安全生产法》第二十一条</w:t>
            </w:r>
          </w:p>
        </w:tc>
        <w:tc>
          <w:tcPr>
            <w:tcW w:w="946" w:type="dxa"/>
            <w:noWrap w:val="0"/>
            <w:vAlign w:val="center"/>
          </w:tcPr>
          <w:p w14:paraId="250B960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查资料</w:t>
            </w:r>
          </w:p>
        </w:tc>
        <w:tc>
          <w:tcPr>
            <w:tcW w:w="990" w:type="dxa"/>
            <w:vMerge w:val="continue"/>
            <w:noWrap w:val="0"/>
            <w:vAlign w:val="center"/>
          </w:tcPr>
          <w:p w14:paraId="63FAD42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770" w:type="dxa"/>
            <w:noWrap w:val="0"/>
            <w:vAlign w:val="center"/>
          </w:tcPr>
          <w:p w14:paraId="7FEEA20A">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w:t>
            </w:r>
          </w:p>
        </w:tc>
        <w:tc>
          <w:tcPr>
            <w:tcW w:w="850" w:type="dxa"/>
            <w:vMerge w:val="continue"/>
            <w:noWrap w:val="0"/>
            <w:vAlign w:val="center"/>
          </w:tcPr>
          <w:p w14:paraId="7A73A72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5479590A">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w:t>
            </w:r>
          </w:p>
        </w:tc>
      </w:tr>
      <w:tr w14:paraId="5C6E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738ACA6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0C86458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3.3建立和健全各岗位安全生产责任制；</w:t>
            </w:r>
          </w:p>
        </w:tc>
        <w:tc>
          <w:tcPr>
            <w:tcW w:w="1591" w:type="dxa"/>
            <w:noWrap w:val="0"/>
            <w:vAlign w:val="center"/>
          </w:tcPr>
          <w:p w14:paraId="6B19236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《安全生产法》第二十一条</w:t>
            </w:r>
          </w:p>
        </w:tc>
        <w:tc>
          <w:tcPr>
            <w:tcW w:w="946" w:type="dxa"/>
            <w:noWrap w:val="0"/>
            <w:vAlign w:val="center"/>
          </w:tcPr>
          <w:p w14:paraId="22B5A11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查资料</w:t>
            </w:r>
          </w:p>
        </w:tc>
        <w:tc>
          <w:tcPr>
            <w:tcW w:w="990" w:type="dxa"/>
            <w:vMerge w:val="continue"/>
            <w:noWrap w:val="0"/>
            <w:vAlign w:val="center"/>
          </w:tcPr>
          <w:p w14:paraId="05FC45C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770" w:type="dxa"/>
            <w:noWrap w:val="0"/>
            <w:vAlign w:val="center"/>
          </w:tcPr>
          <w:p w14:paraId="1C18B279">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w:t>
            </w:r>
          </w:p>
        </w:tc>
        <w:tc>
          <w:tcPr>
            <w:tcW w:w="850" w:type="dxa"/>
            <w:vMerge w:val="continue"/>
            <w:noWrap w:val="0"/>
            <w:vAlign w:val="center"/>
          </w:tcPr>
          <w:p w14:paraId="205D802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432E5DFA">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w:t>
            </w:r>
          </w:p>
        </w:tc>
      </w:tr>
      <w:tr w14:paraId="19ED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50D8DFCD">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安全生产管理规章制度</w:t>
            </w:r>
          </w:p>
          <w:p w14:paraId="36A8F3D0">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18分</w:t>
            </w:r>
          </w:p>
          <w:p w14:paraId="61E1134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98B5FD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4.1制定安全检查制度；</w:t>
            </w:r>
          </w:p>
        </w:tc>
        <w:tc>
          <w:tcPr>
            <w:tcW w:w="1591" w:type="dxa"/>
            <w:vMerge w:val="restart"/>
            <w:noWrap w:val="0"/>
            <w:vAlign w:val="center"/>
          </w:tcPr>
          <w:p w14:paraId="05F91BE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《非煤矿矿山企业安全生产许可证实施办法》第五条</w:t>
            </w:r>
          </w:p>
          <w:p w14:paraId="7B9CE22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restart"/>
            <w:noWrap w:val="0"/>
            <w:vAlign w:val="center"/>
          </w:tcPr>
          <w:p w14:paraId="5B533E7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查看有关文件、资料、制度汇编</w:t>
            </w:r>
          </w:p>
        </w:tc>
        <w:tc>
          <w:tcPr>
            <w:tcW w:w="990" w:type="dxa"/>
            <w:noWrap w:val="0"/>
            <w:vAlign w:val="center"/>
          </w:tcPr>
          <w:p w14:paraId="59C1E158">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636BDC77">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restart"/>
            <w:noWrap w:val="0"/>
            <w:vAlign w:val="center"/>
          </w:tcPr>
          <w:p w14:paraId="106EC5C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24CEA6D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5D31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14E11D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208A65C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4.2职业危害预防制度；</w:t>
            </w:r>
          </w:p>
        </w:tc>
        <w:tc>
          <w:tcPr>
            <w:tcW w:w="1591" w:type="dxa"/>
            <w:vMerge w:val="continue"/>
            <w:noWrap w:val="0"/>
            <w:vAlign w:val="center"/>
          </w:tcPr>
          <w:p w14:paraId="60559B5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0F4AAC5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7B8447C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6B6FF262">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7DC108B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691C7EBC">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00A9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1F210458">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71229B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4.3安全教育培训制度；</w:t>
            </w:r>
          </w:p>
        </w:tc>
        <w:tc>
          <w:tcPr>
            <w:tcW w:w="1591" w:type="dxa"/>
            <w:vMerge w:val="continue"/>
            <w:noWrap w:val="0"/>
            <w:vAlign w:val="center"/>
          </w:tcPr>
          <w:p w14:paraId="559B19C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64FEAB6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0BCE6F6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25146A19">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2977367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2EA84C5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5714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F19654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6CBC00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4.4生产安全事故管理制度；</w:t>
            </w:r>
          </w:p>
        </w:tc>
        <w:tc>
          <w:tcPr>
            <w:tcW w:w="1591" w:type="dxa"/>
            <w:vMerge w:val="continue"/>
            <w:noWrap w:val="0"/>
            <w:vAlign w:val="center"/>
          </w:tcPr>
          <w:p w14:paraId="6735D07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6AC7006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47DA8F18">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31A0490E">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5903D54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346EF46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3962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3884D018">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4415C23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4.5重大危险源监控和安全隐患排查制度；</w:t>
            </w:r>
          </w:p>
        </w:tc>
        <w:tc>
          <w:tcPr>
            <w:tcW w:w="1591" w:type="dxa"/>
            <w:vMerge w:val="continue"/>
            <w:noWrap w:val="0"/>
            <w:vAlign w:val="center"/>
          </w:tcPr>
          <w:p w14:paraId="18B6EFB8">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3E64037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A4E51D2">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0A85F08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6572842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09C366D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68A9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241E5CB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B673B1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4.6设备设施安全管理制度；</w:t>
            </w:r>
          </w:p>
        </w:tc>
        <w:tc>
          <w:tcPr>
            <w:tcW w:w="1591" w:type="dxa"/>
            <w:vMerge w:val="continue"/>
            <w:noWrap w:val="0"/>
            <w:vAlign w:val="center"/>
          </w:tcPr>
          <w:p w14:paraId="2FEAF02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62E8DC6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0AE8431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2D75866C">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21BBA22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65BFD35A">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7EA1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14A24BE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BA6ADA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4.7安全生产档案管理制度；</w:t>
            </w:r>
          </w:p>
        </w:tc>
        <w:tc>
          <w:tcPr>
            <w:tcW w:w="1591" w:type="dxa"/>
            <w:vMerge w:val="continue"/>
            <w:noWrap w:val="0"/>
            <w:vAlign w:val="center"/>
          </w:tcPr>
          <w:p w14:paraId="09A4C6D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5E4307A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73B3E79F">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5F01A637">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03C90CC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420D0FBA">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7CC4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4682CD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0FDD12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4.8安全生产奖惩制度；</w:t>
            </w:r>
          </w:p>
        </w:tc>
        <w:tc>
          <w:tcPr>
            <w:tcW w:w="1591" w:type="dxa"/>
            <w:vMerge w:val="continue"/>
            <w:noWrap w:val="0"/>
            <w:vAlign w:val="center"/>
          </w:tcPr>
          <w:p w14:paraId="58782C2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589EF4A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5F64119">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6EFF577C">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71ECEFD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6AE0C557">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2163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7CC3FA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20FA3DA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4.9安全目标管理制度；</w:t>
            </w:r>
          </w:p>
        </w:tc>
        <w:tc>
          <w:tcPr>
            <w:tcW w:w="1591" w:type="dxa"/>
            <w:vMerge w:val="continue"/>
            <w:noWrap w:val="0"/>
            <w:vAlign w:val="center"/>
          </w:tcPr>
          <w:p w14:paraId="05D8D28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7954858B">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4703F070">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1E32FB2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0C94438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7C5F49D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21BD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4C444F7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3EADA9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4.10安全例会制度；</w:t>
            </w:r>
          </w:p>
        </w:tc>
        <w:tc>
          <w:tcPr>
            <w:tcW w:w="1591" w:type="dxa"/>
            <w:vMerge w:val="continue"/>
            <w:noWrap w:val="0"/>
            <w:vAlign w:val="center"/>
          </w:tcPr>
          <w:p w14:paraId="2EBE7BA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2ED78D80">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7088854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529F059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6F433ED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39618D42">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04BD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7CCAC21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7F7C7D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4.11事故隐患排查与整改制度；</w:t>
            </w:r>
          </w:p>
        </w:tc>
        <w:tc>
          <w:tcPr>
            <w:tcW w:w="1591" w:type="dxa"/>
            <w:vMerge w:val="continue"/>
            <w:noWrap w:val="0"/>
            <w:vAlign w:val="center"/>
          </w:tcPr>
          <w:p w14:paraId="061C301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3CDCE6C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0F642A39">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56F9665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59DC3DA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7419483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5B8D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0CA576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5F9BC0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4.12安全技术措施审批制度；</w:t>
            </w:r>
          </w:p>
        </w:tc>
        <w:tc>
          <w:tcPr>
            <w:tcW w:w="1591" w:type="dxa"/>
            <w:vMerge w:val="continue"/>
            <w:noWrap w:val="0"/>
            <w:vAlign w:val="center"/>
          </w:tcPr>
          <w:p w14:paraId="4E10D43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095B195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9A8EB3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未见</w:t>
            </w:r>
          </w:p>
        </w:tc>
        <w:tc>
          <w:tcPr>
            <w:tcW w:w="770" w:type="dxa"/>
            <w:noWrap w:val="0"/>
            <w:vAlign w:val="center"/>
          </w:tcPr>
          <w:p w14:paraId="7FA832E2">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063C3A40">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3636CBE8">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1</w:t>
            </w:r>
          </w:p>
        </w:tc>
      </w:tr>
      <w:tr w14:paraId="7A09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7D08590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609288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4.13劳动防护用品管理制度；</w:t>
            </w:r>
          </w:p>
        </w:tc>
        <w:tc>
          <w:tcPr>
            <w:tcW w:w="1591" w:type="dxa"/>
            <w:vMerge w:val="continue"/>
            <w:noWrap w:val="0"/>
            <w:vAlign w:val="center"/>
          </w:tcPr>
          <w:p w14:paraId="7B1E060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2323029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4D08984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41F0DE01">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6E94E03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6B30A78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4B82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7AF4F0C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F4680D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4.14应急管理制度；</w:t>
            </w:r>
          </w:p>
        </w:tc>
        <w:tc>
          <w:tcPr>
            <w:tcW w:w="1591" w:type="dxa"/>
            <w:vMerge w:val="continue"/>
            <w:noWrap w:val="0"/>
            <w:vAlign w:val="center"/>
          </w:tcPr>
          <w:p w14:paraId="6D5F2CE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386A8DB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26CC457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6F5588B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2235FFF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15F487D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5835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0344E0B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0CB9506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4.15图纸技术资料更新制度；</w:t>
            </w:r>
          </w:p>
        </w:tc>
        <w:tc>
          <w:tcPr>
            <w:tcW w:w="1591" w:type="dxa"/>
            <w:vMerge w:val="continue"/>
            <w:noWrap w:val="0"/>
            <w:vAlign w:val="center"/>
          </w:tcPr>
          <w:p w14:paraId="60565A4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64CD1FC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48ED1CF5">
            <w:pPr>
              <w:keepNext w:val="0"/>
              <w:keepLines w:val="0"/>
              <w:pageBreakBefore w:val="0"/>
              <w:widowControl w:val="0"/>
              <w:kinsoku/>
              <w:wordWrap/>
              <w:overflowPunct/>
              <w:topLinePunct w:val="0"/>
              <w:autoSpaceDE/>
              <w:autoSpaceDN/>
              <w:bidi w:val="0"/>
              <w:adjustRightInd/>
              <w:spacing w:line="260" w:lineRule="exact"/>
              <w:ind w:firstLine="210" w:firstLineChars="100"/>
              <w:jc w:val="left"/>
              <w:textAlignment w:val="auto"/>
              <w:rPr>
                <w:rFonts w:hint="eastAsia"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未见</w:t>
            </w:r>
          </w:p>
        </w:tc>
        <w:tc>
          <w:tcPr>
            <w:tcW w:w="770" w:type="dxa"/>
            <w:noWrap w:val="0"/>
            <w:vAlign w:val="center"/>
          </w:tcPr>
          <w:p w14:paraId="62861762">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444D4D98">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640A1BB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0</w:t>
            </w:r>
          </w:p>
        </w:tc>
      </w:tr>
      <w:tr w14:paraId="2021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95682C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0FBCCE2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4.16人员出入井管理制度；</w:t>
            </w:r>
          </w:p>
        </w:tc>
        <w:tc>
          <w:tcPr>
            <w:tcW w:w="1591" w:type="dxa"/>
            <w:vMerge w:val="continue"/>
            <w:noWrap w:val="0"/>
            <w:vAlign w:val="center"/>
          </w:tcPr>
          <w:p w14:paraId="13CAC65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77F1D46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5F365E8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05D06A3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5AF49CF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284418B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0</w:t>
            </w:r>
          </w:p>
        </w:tc>
      </w:tr>
      <w:tr w14:paraId="67FC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3DA48A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30EAA6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4.17安全技术措施专项经费制度</w:t>
            </w:r>
          </w:p>
        </w:tc>
        <w:tc>
          <w:tcPr>
            <w:tcW w:w="1591" w:type="dxa"/>
            <w:vMerge w:val="continue"/>
            <w:noWrap w:val="0"/>
            <w:vAlign w:val="center"/>
          </w:tcPr>
          <w:p w14:paraId="6376690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4DCB831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2466FA1F">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w:t>
            </w:r>
          </w:p>
        </w:tc>
        <w:tc>
          <w:tcPr>
            <w:tcW w:w="770" w:type="dxa"/>
            <w:noWrap w:val="0"/>
            <w:vAlign w:val="center"/>
          </w:tcPr>
          <w:p w14:paraId="6679FBC0">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00D05FCB">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1CBACF47">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0</w:t>
            </w:r>
          </w:p>
        </w:tc>
      </w:tr>
      <w:tr w14:paraId="59E4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E5024B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AD9262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4.18特种作业人员管理制度</w:t>
            </w:r>
          </w:p>
        </w:tc>
        <w:tc>
          <w:tcPr>
            <w:tcW w:w="1591" w:type="dxa"/>
            <w:vMerge w:val="continue"/>
            <w:noWrap w:val="0"/>
            <w:vAlign w:val="center"/>
          </w:tcPr>
          <w:p w14:paraId="7BA794B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735731F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4D033D3C">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cs="Times New Roman"/>
                <w:bCs w:val="0"/>
                <w:color w:val="auto"/>
                <w:spacing w:val="0"/>
                <w:w w:val="100"/>
                <w:sz w:val="21"/>
                <w:szCs w:val="21"/>
                <w:lang w:val="en-US" w:eastAsia="zh-CN"/>
              </w:rPr>
              <w:t>有</w:t>
            </w:r>
          </w:p>
        </w:tc>
        <w:tc>
          <w:tcPr>
            <w:tcW w:w="770" w:type="dxa"/>
            <w:noWrap w:val="0"/>
            <w:vAlign w:val="center"/>
          </w:tcPr>
          <w:p w14:paraId="7E6FC0F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vMerge w:val="continue"/>
            <w:noWrap w:val="0"/>
            <w:vAlign w:val="center"/>
          </w:tcPr>
          <w:p w14:paraId="04386C28">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640AAF3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1</w:t>
            </w:r>
          </w:p>
        </w:tc>
      </w:tr>
      <w:tr w14:paraId="28E7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noWrap w:val="0"/>
            <w:vAlign w:val="center"/>
          </w:tcPr>
          <w:p w14:paraId="3329196F">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安全操作规程</w:t>
            </w:r>
          </w:p>
          <w:p w14:paraId="029A6F51">
            <w:pPr>
              <w:pStyle w:val="17"/>
              <w:numPr>
                <w:ilvl w:val="0"/>
                <w:numId w:val="0"/>
              </w:numPr>
              <w:ind w:leftChars="0"/>
              <w:jc w:val="left"/>
              <w:rPr>
                <w:rFonts w:hint="eastAsia" w:ascii="宋体" w:hAnsi="宋体" w:eastAsia="宋体" w:cs="Times New Roman"/>
                <w:bCs w:val="0"/>
                <w:color w:val="auto"/>
                <w:spacing w:val="0"/>
                <w:w w:val="100"/>
                <w:sz w:val="21"/>
                <w:szCs w:val="21"/>
              </w:rPr>
            </w:pPr>
            <w:r>
              <w:rPr>
                <w:rFonts w:hint="eastAsia" w:eastAsia="宋体" w:cs="Times New Roman"/>
                <w:bCs w:val="0"/>
                <w:color w:val="auto"/>
                <w:spacing w:val="0"/>
                <w:w w:val="100"/>
                <w:sz w:val="21"/>
                <w:szCs w:val="21"/>
                <w:lang w:val="en-US" w:eastAsia="zh-CN"/>
              </w:rPr>
              <w:t>3分</w:t>
            </w:r>
          </w:p>
        </w:tc>
        <w:tc>
          <w:tcPr>
            <w:tcW w:w="2962" w:type="dxa"/>
            <w:noWrap w:val="0"/>
            <w:vAlign w:val="center"/>
          </w:tcPr>
          <w:p w14:paraId="1033579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制定各工种安全操作规程</w:t>
            </w:r>
          </w:p>
        </w:tc>
        <w:tc>
          <w:tcPr>
            <w:tcW w:w="1591" w:type="dxa"/>
            <w:noWrap w:val="0"/>
            <w:vAlign w:val="center"/>
          </w:tcPr>
          <w:p w14:paraId="578005B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《非煤矿矿山企业安全生产许可证实施办法》第五条</w:t>
            </w:r>
          </w:p>
        </w:tc>
        <w:tc>
          <w:tcPr>
            <w:tcW w:w="946" w:type="dxa"/>
            <w:noWrap w:val="0"/>
            <w:vAlign w:val="center"/>
          </w:tcPr>
          <w:p w14:paraId="7E1C8C7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查看有关文件、资料、制度汇编</w:t>
            </w:r>
          </w:p>
        </w:tc>
        <w:tc>
          <w:tcPr>
            <w:tcW w:w="990" w:type="dxa"/>
            <w:noWrap w:val="0"/>
            <w:vAlign w:val="center"/>
          </w:tcPr>
          <w:p w14:paraId="20A358E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default" w:ascii="宋体" w:hAnsi="宋体" w:eastAsia="宋体" w:cs="Times New Roman"/>
                <w:bCs w:val="0"/>
                <w:color w:val="auto"/>
                <w:spacing w:val="0"/>
                <w:w w:val="100"/>
                <w:sz w:val="21"/>
                <w:szCs w:val="21"/>
                <w:lang w:val="en-US" w:eastAsia="zh-CN"/>
              </w:rPr>
            </w:pPr>
            <w:r>
              <w:rPr>
                <w:rFonts w:hint="eastAsia" w:cs="Times New Roman"/>
                <w:bCs w:val="0"/>
                <w:color w:val="auto"/>
                <w:spacing w:val="0"/>
                <w:w w:val="100"/>
                <w:sz w:val="21"/>
                <w:szCs w:val="21"/>
                <w:lang w:val="en-US" w:eastAsia="zh-CN"/>
              </w:rPr>
              <w:t>符合</w:t>
            </w:r>
          </w:p>
        </w:tc>
        <w:tc>
          <w:tcPr>
            <w:tcW w:w="770" w:type="dxa"/>
            <w:noWrap w:val="0"/>
            <w:vAlign w:val="center"/>
          </w:tcPr>
          <w:p w14:paraId="2B8930D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3</w:t>
            </w:r>
          </w:p>
        </w:tc>
        <w:tc>
          <w:tcPr>
            <w:tcW w:w="850" w:type="dxa"/>
            <w:noWrap w:val="0"/>
            <w:vAlign w:val="center"/>
          </w:tcPr>
          <w:p w14:paraId="0015FC0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1D5EAD3A">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3</w:t>
            </w:r>
          </w:p>
        </w:tc>
      </w:tr>
      <w:tr w14:paraId="0546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06427776">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安全生产教育培训</w:t>
            </w:r>
          </w:p>
          <w:p w14:paraId="11C882B6">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7分</w:t>
            </w:r>
          </w:p>
          <w:p w14:paraId="16B810E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DD5EF6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6.1 所有从业人员应经“三级”安全教育，并经考核合格后，方可上岗工作。井下作业新员工上岗前不少于72学时，由老工人带领工作至少4个月，熟悉本工种操作技术并经考核合格，方可独立工作；</w:t>
            </w:r>
          </w:p>
        </w:tc>
        <w:tc>
          <w:tcPr>
            <w:tcW w:w="1591" w:type="dxa"/>
            <w:noWrap w:val="0"/>
            <w:vAlign w:val="center"/>
          </w:tcPr>
          <w:p w14:paraId="101F405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《金属非金属矿山安全规程》第4.5条</w:t>
            </w:r>
          </w:p>
        </w:tc>
        <w:tc>
          <w:tcPr>
            <w:tcW w:w="946" w:type="dxa"/>
            <w:noWrap w:val="0"/>
            <w:vAlign w:val="center"/>
          </w:tcPr>
          <w:p w14:paraId="7A7B0EA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0EE0FD6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3C225A17">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56C7C3C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342D78F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0B10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17959F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4935B4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6.2矿山从业人数满足生产需要；</w:t>
            </w:r>
          </w:p>
        </w:tc>
        <w:tc>
          <w:tcPr>
            <w:tcW w:w="1591" w:type="dxa"/>
            <w:noWrap w:val="0"/>
            <w:vAlign w:val="center"/>
          </w:tcPr>
          <w:p w14:paraId="4F9A928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noWrap w:val="0"/>
            <w:vAlign w:val="center"/>
          </w:tcPr>
          <w:p w14:paraId="302946C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5802F7D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186645B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2D110D2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01975321">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4A72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5825ECB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DC582C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6.3矿山有培训计划和培训记录；</w:t>
            </w:r>
          </w:p>
        </w:tc>
        <w:tc>
          <w:tcPr>
            <w:tcW w:w="1591" w:type="dxa"/>
            <w:noWrap w:val="0"/>
            <w:vAlign w:val="center"/>
          </w:tcPr>
          <w:p w14:paraId="31B82C7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《金属非金属矿山安全规程》第4.5条</w:t>
            </w:r>
          </w:p>
        </w:tc>
        <w:tc>
          <w:tcPr>
            <w:tcW w:w="946" w:type="dxa"/>
            <w:noWrap w:val="0"/>
            <w:vAlign w:val="center"/>
          </w:tcPr>
          <w:p w14:paraId="07B21FD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31073FD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cs="Times New Roman"/>
                <w:bCs w:val="0"/>
                <w:color w:val="auto"/>
                <w:spacing w:val="0"/>
                <w:w w:val="100"/>
                <w:sz w:val="21"/>
                <w:szCs w:val="21"/>
                <w:lang w:val="en-US" w:eastAsia="zh-CN"/>
              </w:rPr>
              <w:t>符合</w:t>
            </w:r>
          </w:p>
        </w:tc>
        <w:tc>
          <w:tcPr>
            <w:tcW w:w="770" w:type="dxa"/>
            <w:noWrap w:val="0"/>
            <w:vAlign w:val="center"/>
          </w:tcPr>
          <w:p w14:paraId="4352D0F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1D03D41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6AB6069F">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1</w:t>
            </w:r>
          </w:p>
        </w:tc>
      </w:tr>
      <w:tr w14:paraId="23DF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3254D9CB">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ADF5E9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6.4调换工程或岗位的人员，应进行新工种、岗位上岗前的安全操作培训；</w:t>
            </w:r>
          </w:p>
        </w:tc>
        <w:tc>
          <w:tcPr>
            <w:tcW w:w="1591" w:type="dxa"/>
            <w:noWrap w:val="0"/>
            <w:vAlign w:val="center"/>
          </w:tcPr>
          <w:p w14:paraId="2382DC5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《金属非金属矿山安全规程》第4.5条</w:t>
            </w:r>
          </w:p>
        </w:tc>
        <w:tc>
          <w:tcPr>
            <w:tcW w:w="946" w:type="dxa"/>
            <w:noWrap w:val="0"/>
            <w:vAlign w:val="center"/>
          </w:tcPr>
          <w:p w14:paraId="5C080A6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0AFFAB8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4F7ADBD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70A3A69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5B6AE61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6941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4E1D183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B57476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6.5采用新技术、新工艺、新材料和新设备的人员应进行相应安全知识、操作技能培训合格后方能上岗作业；</w:t>
            </w:r>
          </w:p>
        </w:tc>
        <w:tc>
          <w:tcPr>
            <w:tcW w:w="1591" w:type="dxa"/>
            <w:noWrap w:val="0"/>
            <w:vAlign w:val="center"/>
          </w:tcPr>
          <w:p w14:paraId="148C536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《金属非金属矿山安全规程》第4.5条</w:t>
            </w:r>
          </w:p>
        </w:tc>
        <w:tc>
          <w:tcPr>
            <w:tcW w:w="946" w:type="dxa"/>
            <w:noWrap w:val="0"/>
            <w:vAlign w:val="center"/>
          </w:tcPr>
          <w:p w14:paraId="592486C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112DF73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05947EB8">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771D6C2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011C5B3C">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63EC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3562CA6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BCAC66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6.6定期组织实施全员安全再教育，每年不少于20学时。开展班组安全活动，并建立记录；</w:t>
            </w:r>
          </w:p>
        </w:tc>
        <w:tc>
          <w:tcPr>
            <w:tcW w:w="1591" w:type="dxa"/>
            <w:noWrap w:val="0"/>
            <w:vAlign w:val="center"/>
          </w:tcPr>
          <w:p w14:paraId="2F1DF25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《金属非金属矿山安全规程》第4.5条</w:t>
            </w:r>
          </w:p>
        </w:tc>
        <w:tc>
          <w:tcPr>
            <w:tcW w:w="946" w:type="dxa"/>
            <w:noWrap w:val="0"/>
            <w:vAlign w:val="center"/>
          </w:tcPr>
          <w:p w14:paraId="4DE0243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14BBF56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77C2D61E">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7159A58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18D029A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6FA5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3FC80B6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DC5360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 xml:space="preserve">6.7从业人员的安全教育培训和考核结果应建立档案； </w:t>
            </w:r>
          </w:p>
        </w:tc>
        <w:tc>
          <w:tcPr>
            <w:tcW w:w="1591" w:type="dxa"/>
            <w:noWrap w:val="0"/>
            <w:vAlign w:val="center"/>
          </w:tcPr>
          <w:p w14:paraId="23CC47E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《金属非金属矿山安全规程》第4.5条</w:t>
            </w:r>
          </w:p>
        </w:tc>
        <w:tc>
          <w:tcPr>
            <w:tcW w:w="946" w:type="dxa"/>
            <w:noWrap w:val="0"/>
            <w:vAlign w:val="center"/>
          </w:tcPr>
          <w:p w14:paraId="1DEBC6A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6497455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49ABC1E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25EE34F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5493D5F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6AE9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4DF73B06">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安全生产检查</w:t>
            </w:r>
          </w:p>
          <w:p w14:paraId="4CC9312C">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3分</w:t>
            </w:r>
          </w:p>
          <w:p w14:paraId="1C4569F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09D6720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7.1开展定期、不定期和专项安全检查；</w:t>
            </w:r>
          </w:p>
        </w:tc>
        <w:tc>
          <w:tcPr>
            <w:tcW w:w="1591" w:type="dxa"/>
            <w:noWrap w:val="0"/>
            <w:vAlign w:val="center"/>
          </w:tcPr>
          <w:p w14:paraId="581FC02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《金属非金属矿山安全规程》第4.7条</w:t>
            </w:r>
          </w:p>
        </w:tc>
        <w:tc>
          <w:tcPr>
            <w:tcW w:w="946" w:type="dxa"/>
            <w:noWrap w:val="0"/>
            <w:vAlign w:val="center"/>
          </w:tcPr>
          <w:p w14:paraId="19633E6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297638D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0794932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6F73355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136DEE8E">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2D78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7511F00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04C183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7.2有安全检查记录、隐患整改记录；</w:t>
            </w:r>
          </w:p>
        </w:tc>
        <w:tc>
          <w:tcPr>
            <w:tcW w:w="1591" w:type="dxa"/>
            <w:noWrap w:val="0"/>
            <w:vAlign w:val="center"/>
          </w:tcPr>
          <w:p w14:paraId="06A59CC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《金属非金属矿山安全规程》第4.7条</w:t>
            </w:r>
          </w:p>
        </w:tc>
        <w:tc>
          <w:tcPr>
            <w:tcW w:w="946" w:type="dxa"/>
            <w:noWrap w:val="0"/>
            <w:vAlign w:val="center"/>
          </w:tcPr>
          <w:p w14:paraId="4BD0A0F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17EE396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194E0A08">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4F6001E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2D8B086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08F3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04FE54B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030B91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7.3有检查处理记录。</w:t>
            </w:r>
          </w:p>
        </w:tc>
        <w:tc>
          <w:tcPr>
            <w:tcW w:w="1591" w:type="dxa"/>
            <w:noWrap w:val="0"/>
            <w:vAlign w:val="center"/>
          </w:tcPr>
          <w:p w14:paraId="0C96CBA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《金属非金属矿山安全规程》第4.7条</w:t>
            </w:r>
          </w:p>
        </w:tc>
        <w:tc>
          <w:tcPr>
            <w:tcW w:w="946" w:type="dxa"/>
            <w:noWrap w:val="0"/>
            <w:vAlign w:val="center"/>
          </w:tcPr>
          <w:p w14:paraId="4AB249A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查看有关记录</w:t>
            </w:r>
          </w:p>
        </w:tc>
        <w:tc>
          <w:tcPr>
            <w:tcW w:w="990" w:type="dxa"/>
            <w:noWrap w:val="0"/>
            <w:vAlign w:val="center"/>
          </w:tcPr>
          <w:p w14:paraId="1BFE058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737056B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190A1D7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1C8269C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4A3E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8" w:hRule="atLeast"/>
        </w:trPr>
        <w:tc>
          <w:tcPr>
            <w:tcW w:w="666" w:type="dxa"/>
            <w:noWrap w:val="0"/>
            <w:vAlign w:val="center"/>
          </w:tcPr>
          <w:p w14:paraId="0FA1B5DE">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双重预防机制建设</w:t>
            </w:r>
          </w:p>
          <w:p w14:paraId="050ECB23">
            <w:pPr>
              <w:pStyle w:val="17"/>
              <w:numPr>
                <w:ilvl w:val="0"/>
                <w:numId w:val="0"/>
              </w:numPr>
              <w:ind w:leftChars="0"/>
              <w:jc w:val="left"/>
              <w:rPr>
                <w:rFonts w:hint="eastAsia" w:ascii="宋体" w:hAnsi="宋体" w:eastAsia="宋体" w:cs="Times New Roman"/>
                <w:bCs w:val="0"/>
                <w:color w:val="auto"/>
                <w:spacing w:val="0"/>
                <w:w w:val="100"/>
                <w:sz w:val="21"/>
                <w:szCs w:val="21"/>
              </w:rPr>
            </w:pPr>
            <w:r>
              <w:rPr>
                <w:rFonts w:hint="eastAsia" w:eastAsia="宋体" w:cs="Times New Roman"/>
                <w:bCs w:val="0"/>
                <w:color w:val="auto"/>
                <w:spacing w:val="0"/>
                <w:w w:val="100"/>
                <w:sz w:val="21"/>
                <w:szCs w:val="21"/>
                <w:lang w:val="en-US" w:eastAsia="zh-CN"/>
              </w:rPr>
              <w:t>5分</w:t>
            </w:r>
          </w:p>
        </w:tc>
        <w:tc>
          <w:tcPr>
            <w:tcW w:w="2962" w:type="dxa"/>
            <w:noWrap w:val="0"/>
            <w:vAlign w:val="center"/>
          </w:tcPr>
          <w:p w14:paraId="2805788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构建安全风险分级管控和隐患排查治理双重预防机制。</w:t>
            </w:r>
          </w:p>
        </w:tc>
        <w:tc>
          <w:tcPr>
            <w:tcW w:w="1591" w:type="dxa"/>
            <w:noWrap w:val="0"/>
            <w:vAlign w:val="center"/>
          </w:tcPr>
          <w:p w14:paraId="78343F1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 四条</w:t>
            </w:r>
          </w:p>
        </w:tc>
        <w:tc>
          <w:tcPr>
            <w:tcW w:w="946" w:type="dxa"/>
            <w:noWrap w:val="0"/>
            <w:vAlign w:val="center"/>
          </w:tcPr>
          <w:p w14:paraId="7310BDF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查看关</w:t>
            </w:r>
          </w:p>
          <w:p w14:paraId="780DE40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文件资</w:t>
            </w:r>
          </w:p>
          <w:p w14:paraId="19FBB54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料、度</w:t>
            </w:r>
          </w:p>
          <w:p w14:paraId="2A32880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汇编</w:t>
            </w:r>
          </w:p>
        </w:tc>
        <w:tc>
          <w:tcPr>
            <w:tcW w:w="990" w:type="dxa"/>
            <w:noWrap w:val="0"/>
            <w:vAlign w:val="center"/>
          </w:tcPr>
          <w:p w14:paraId="0529F81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662BBDC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5</w:t>
            </w:r>
          </w:p>
        </w:tc>
        <w:tc>
          <w:tcPr>
            <w:tcW w:w="850" w:type="dxa"/>
            <w:noWrap w:val="0"/>
            <w:vAlign w:val="center"/>
          </w:tcPr>
          <w:p w14:paraId="11D4CBA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6E49EBE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5</w:t>
            </w:r>
          </w:p>
        </w:tc>
      </w:tr>
      <w:tr w14:paraId="1D29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trPr>
        <w:tc>
          <w:tcPr>
            <w:tcW w:w="666" w:type="dxa"/>
            <w:noWrap w:val="0"/>
            <w:vAlign w:val="center"/>
          </w:tcPr>
          <w:p w14:paraId="133E81A3">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安全生产标准化建设</w:t>
            </w:r>
          </w:p>
          <w:p w14:paraId="05DD9647">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5分</w:t>
            </w:r>
          </w:p>
        </w:tc>
        <w:tc>
          <w:tcPr>
            <w:tcW w:w="2962" w:type="dxa"/>
            <w:noWrap w:val="0"/>
            <w:vAlign w:val="center"/>
          </w:tcPr>
          <w:p w14:paraId="7264E8A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生产经营单位必须遵守本法和其他有关安全生产的法律、法规，加强安全生产管理，加强安全生产标准化建设，提高安全生产水平，确保安全生产。</w:t>
            </w:r>
          </w:p>
        </w:tc>
        <w:tc>
          <w:tcPr>
            <w:tcW w:w="1591" w:type="dxa"/>
            <w:noWrap w:val="0"/>
            <w:vAlign w:val="center"/>
          </w:tcPr>
          <w:p w14:paraId="1556AEF2">
            <w:pPr>
              <w:keepNext w:val="0"/>
              <w:keepLines w:val="0"/>
              <w:pageBreakBefore w:val="0"/>
              <w:widowControl w:val="0"/>
              <w:kinsoku/>
              <w:wordWrap/>
              <w:overflowPunct/>
              <w:topLinePunct w:val="0"/>
              <w:autoSpaceDE/>
              <w:autoSpaceDN/>
              <w:bidi w:val="0"/>
              <w:adjustRightInd/>
              <w:spacing w:line="260" w:lineRule="exact"/>
              <w:ind w:left="420" w:leftChars="0" w:hanging="420" w:hangingChars="2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《安全生产法》第四条</w:t>
            </w:r>
          </w:p>
        </w:tc>
        <w:tc>
          <w:tcPr>
            <w:tcW w:w="946" w:type="dxa"/>
            <w:noWrap w:val="0"/>
            <w:vAlign w:val="center"/>
          </w:tcPr>
          <w:p w14:paraId="21BA54F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查看关</w:t>
            </w:r>
          </w:p>
          <w:p w14:paraId="6E081C8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文件资</w:t>
            </w:r>
          </w:p>
          <w:p w14:paraId="21AAFC3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料、度</w:t>
            </w:r>
          </w:p>
          <w:p w14:paraId="4BE2205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汇编</w:t>
            </w:r>
          </w:p>
        </w:tc>
        <w:tc>
          <w:tcPr>
            <w:tcW w:w="990" w:type="dxa"/>
            <w:noWrap w:val="0"/>
            <w:vAlign w:val="center"/>
          </w:tcPr>
          <w:p w14:paraId="405BCD6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未加强</w:t>
            </w:r>
          </w:p>
        </w:tc>
        <w:tc>
          <w:tcPr>
            <w:tcW w:w="770" w:type="dxa"/>
            <w:noWrap w:val="0"/>
            <w:vAlign w:val="center"/>
          </w:tcPr>
          <w:p w14:paraId="0C006E0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5</w:t>
            </w:r>
          </w:p>
        </w:tc>
        <w:tc>
          <w:tcPr>
            <w:tcW w:w="850" w:type="dxa"/>
            <w:noWrap w:val="0"/>
            <w:vAlign w:val="center"/>
          </w:tcPr>
          <w:p w14:paraId="1413648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7387ACC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eastAsia="宋体" w:cs="Times New Roman"/>
                <w:bCs w:val="0"/>
                <w:color w:val="auto"/>
                <w:spacing w:val="0"/>
                <w:w w:val="100"/>
                <w:sz w:val="21"/>
                <w:szCs w:val="21"/>
                <w:lang w:val="en-US" w:eastAsia="zh-CN"/>
              </w:rPr>
              <w:t>0</w:t>
            </w:r>
          </w:p>
        </w:tc>
      </w:tr>
      <w:tr w14:paraId="797A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4" w:hRule="atLeast"/>
        </w:trPr>
        <w:tc>
          <w:tcPr>
            <w:tcW w:w="666" w:type="dxa"/>
            <w:noWrap w:val="0"/>
            <w:vAlign w:val="center"/>
          </w:tcPr>
          <w:p w14:paraId="559C985C">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安全投入</w:t>
            </w:r>
          </w:p>
          <w:p w14:paraId="0DB1FBBE">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4分</w:t>
            </w:r>
          </w:p>
          <w:p w14:paraId="726AB59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61AF65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10</w:t>
            </w:r>
            <w:r>
              <w:rPr>
                <w:rFonts w:hint="eastAsia" w:ascii="宋体" w:hAnsi="宋体" w:eastAsia="宋体" w:cs="Times New Roman"/>
                <w:bCs w:val="0"/>
                <w:color w:val="auto"/>
                <w:spacing w:val="0"/>
                <w:w w:val="100"/>
                <w:sz w:val="21"/>
                <w:szCs w:val="21"/>
              </w:rPr>
              <w:t xml:space="preserve">.1生产经营单位应当具备的安全生产条件所必需的资金投入。 </w:t>
            </w:r>
          </w:p>
          <w:p w14:paraId="0EE273F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10</w:t>
            </w:r>
            <w:r>
              <w:rPr>
                <w:rFonts w:hint="eastAsia" w:ascii="宋体" w:hAnsi="宋体" w:eastAsia="宋体" w:cs="Times New Roman"/>
                <w:bCs w:val="0"/>
                <w:color w:val="auto"/>
                <w:spacing w:val="0"/>
                <w:w w:val="100"/>
                <w:sz w:val="21"/>
                <w:szCs w:val="21"/>
              </w:rPr>
              <w:t>.2有关生产经营单位应当按照规定提取和使用安全生产费用，专门用于改善安全生产条件。</w:t>
            </w:r>
          </w:p>
          <w:p w14:paraId="34AD39E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10</w:t>
            </w:r>
            <w:r>
              <w:rPr>
                <w:rFonts w:hint="eastAsia" w:ascii="宋体" w:hAnsi="宋体" w:eastAsia="宋体" w:cs="Times New Roman"/>
                <w:bCs w:val="0"/>
                <w:color w:val="auto"/>
                <w:spacing w:val="0"/>
                <w:w w:val="100"/>
                <w:sz w:val="21"/>
                <w:szCs w:val="21"/>
              </w:rPr>
              <w:t>.3安全生产费用在成本中据实列支。</w:t>
            </w:r>
          </w:p>
          <w:p w14:paraId="5A07BA1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10</w:t>
            </w:r>
            <w:r>
              <w:rPr>
                <w:rFonts w:hint="eastAsia" w:ascii="宋体" w:hAnsi="宋体" w:eastAsia="宋体" w:cs="Times New Roman"/>
                <w:bCs w:val="0"/>
                <w:color w:val="auto"/>
                <w:spacing w:val="0"/>
                <w:w w:val="100"/>
                <w:sz w:val="21"/>
                <w:szCs w:val="21"/>
              </w:rPr>
              <w:t>.4有投入购置安全设施设备等实物发票。</w:t>
            </w:r>
          </w:p>
        </w:tc>
        <w:tc>
          <w:tcPr>
            <w:tcW w:w="1591" w:type="dxa"/>
            <w:noWrap w:val="0"/>
            <w:vAlign w:val="center"/>
          </w:tcPr>
          <w:p w14:paraId="521D9AD1">
            <w:pPr>
              <w:keepNext w:val="0"/>
              <w:keepLines w:val="0"/>
              <w:pageBreakBefore w:val="0"/>
              <w:widowControl w:val="0"/>
              <w:kinsoku/>
              <w:wordWrap/>
              <w:overflowPunct/>
              <w:topLinePunct w:val="0"/>
              <w:autoSpaceDE/>
              <w:autoSpaceDN/>
              <w:bidi w:val="0"/>
              <w:adjustRightInd/>
              <w:spacing w:line="260" w:lineRule="exact"/>
              <w:ind w:left="420" w:leftChars="0" w:hanging="420" w:hangingChars="2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《安全生产法》第23条</w:t>
            </w:r>
          </w:p>
          <w:p w14:paraId="2F1C03F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noWrap w:val="0"/>
            <w:vAlign w:val="center"/>
          </w:tcPr>
          <w:p w14:paraId="74DFE11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查资料、查记录</w:t>
            </w:r>
          </w:p>
        </w:tc>
        <w:tc>
          <w:tcPr>
            <w:tcW w:w="990" w:type="dxa"/>
            <w:noWrap w:val="0"/>
            <w:vAlign w:val="center"/>
          </w:tcPr>
          <w:p w14:paraId="2121F2B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1810DC0A">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w:t>
            </w:r>
          </w:p>
        </w:tc>
        <w:tc>
          <w:tcPr>
            <w:tcW w:w="850" w:type="dxa"/>
            <w:noWrap w:val="0"/>
            <w:vAlign w:val="center"/>
          </w:tcPr>
          <w:p w14:paraId="774645D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每项1分，不符合该项不得分</w:t>
            </w:r>
          </w:p>
        </w:tc>
        <w:tc>
          <w:tcPr>
            <w:tcW w:w="642" w:type="dxa"/>
            <w:noWrap w:val="0"/>
            <w:vAlign w:val="center"/>
          </w:tcPr>
          <w:p w14:paraId="3940C852">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w:t>
            </w:r>
          </w:p>
        </w:tc>
      </w:tr>
      <w:tr w14:paraId="233F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trPr>
        <w:tc>
          <w:tcPr>
            <w:tcW w:w="666" w:type="dxa"/>
            <w:noWrap w:val="0"/>
            <w:vAlign w:val="center"/>
          </w:tcPr>
          <w:p w14:paraId="1B5DC038">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保险</w:t>
            </w:r>
          </w:p>
          <w:p w14:paraId="4E277D70">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2分</w:t>
            </w:r>
          </w:p>
          <w:p w14:paraId="0961589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385BE4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11</w:t>
            </w:r>
            <w:r>
              <w:rPr>
                <w:rFonts w:hint="eastAsia" w:ascii="宋体" w:hAnsi="宋体" w:eastAsia="宋体" w:cs="Times New Roman"/>
                <w:bCs w:val="0"/>
                <w:color w:val="auto"/>
                <w:spacing w:val="0"/>
                <w:w w:val="100"/>
                <w:sz w:val="21"/>
                <w:szCs w:val="21"/>
              </w:rPr>
              <w:t>.1依法为员工缴纳雇主责任工伤保险；</w:t>
            </w:r>
          </w:p>
          <w:p w14:paraId="282B5F7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11</w:t>
            </w:r>
            <w:r>
              <w:rPr>
                <w:rFonts w:hint="eastAsia" w:ascii="宋体" w:hAnsi="宋体" w:eastAsia="宋体" w:cs="Times New Roman"/>
                <w:bCs w:val="0"/>
                <w:color w:val="auto"/>
                <w:spacing w:val="0"/>
                <w:w w:val="100"/>
                <w:sz w:val="21"/>
                <w:szCs w:val="21"/>
              </w:rPr>
              <w:t>.2保险人数及保险额与矿井实际职工总人数一致。</w:t>
            </w:r>
          </w:p>
        </w:tc>
        <w:tc>
          <w:tcPr>
            <w:tcW w:w="1591" w:type="dxa"/>
            <w:noWrap w:val="0"/>
            <w:vAlign w:val="center"/>
          </w:tcPr>
          <w:p w14:paraId="4B15ED1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732BABF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中华人民共和国安全生产法》第五十一条《工伤保险条例》</w:t>
            </w:r>
          </w:p>
        </w:tc>
        <w:tc>
          <w:tcPr>
            <w:tcW w:w="946" w:type="dxa"/>
            <w:noWrap w:val="0"/>
            <w:vAlign w:val="center"/>
          </w:tcPr>
          <w:p w14:paraId="1E44172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查资料、查记录</w:t>
            </w:r>
          </w:p>
        </w:tc>
        <w:tc>
          <w:tcPr>
            <w:tcW w:w="990" w:type="dxa"/>
            <w:noWrap w:val="0"/>
            <w:vAlign w:val="center"/>
          </w:tcPr>
          <w:p w14:paraId="4444841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665F319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noWrap w:val="0"/>
            <w:vAlign w:val="center"/>
          </w:tcPr>
          <w:p w14:paraId="4031A63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每项1分，不符合该项不得分</w:t>
            </w:r>
          </w:p>
        </w:tc>
        <w:tc>
          <w:tcPr>
            <w:tcW w:w="642" w:type="dxa"/>
            <w:noWrap w:val="0"/>
            <w:vAlign w:val="center"/>
          </w:tcPr>
          <w:p w14:paraId="0BAE937E">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2</w:t>
            </w:r>
          </w:p>
        </w:tc>
      </w:tr>
      <w:tr w14:paraId="6393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noWrap w:val="0"/>
            <w:vAlign w:val="center"/>
          </w:tcPr>
          <w:p w14:paraId="025ADCE2">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应急救援</w:t>
            </w:r>
          </w:p>
          <w:p w14:paraId="6DCB2F22">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7分</w:t>
            </w:r>
          </w:p>
          <w:p w14:paraId="64E760B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0023070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.1成立应急救援组织机构或指定专职人员；</w:t>
            </w:r>
          </w:p>
          <w:p w14:paraId="4174A79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.2制订矿井火灾、爆破事故、中毒窒息、坍塌、冒顶片帮、透水及坠井等各种事故以及采矿诱发地质灾害等事故的应急救援预案。</w:t>
            </w:r>
          </w:p>
          <w:p w14:paraId="1D034DB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.3应急救援预案内容是否符合要求；</w:t>
            </w:r>
          </w:p>
          <w:p w14:paraId="2F39CC8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.4是否进行事故应急救援演练；</w:t>
            </w:r>
          </w:p>
          <w:p w14:paraId="15982A3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.5应与专业机构签订应急救援协议；</w:t>
            </w:r>
          </w:p>
          <w:p w14:paraId="3A4B762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.6应急救援设备、器材配备是否满足救援要求。</w:t>
            </w:r>
          </w:p>
          <w:p w14:paraId="7EE3933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.7与专业矿山救护队签订应急救援协议。</w:t>
            </w:r>
          </w:p>
        </w:tc>
        <w:tc>
          <w:tcPr>
            <w:tcW w:w="1591" w:type="dxa"/>
            <w:noWrap w:val="0"/>
            <w:vAlign w:val="center"/>
          </w:tcPr>
          <w:p w14:paraId="3036125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《安全生产法》第81条</w:t>
            </w:r>
          </w:p>
          <w:p w14:paraId="3477353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《江西省安全生产条例》第四十五条</w:t>
            </w:r>
          </w:p>
          <w:p w14:paraId="395229C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《金属非金属矿山安全规程》第8条</w:t>
            </w:r>
          </w:p>
        </w:tc>
        <w:tc>
          <w:tcPr>
            <w:tcW w:w="946" w:type="dxa"/>
            <w:noWrap w:val="0"/>
            <w:vAlign w:val="center"/>
          </w:tcPr>
          <w:p w14:paraId="1C412F1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事故应急救援演练</w:t>
            </w:r>
            <w:r>
              <w:rPr>
                <w:rFonts w:hint="eastAsia" w:ascii="宋体" w:hAnsi="宋体" w:eastAsia="宋体" w:cs="Times New Roman"/>
                <w:bCs w:val="0"/>
                <w:color w:val="auto"/>
                <w:spacing w:val="0"/>
                <w:w w:val="100"/>
                <w:sz w:val="21"/>
                <w:szCs w:val="21"/>
                <w:lang w:val="en-US" w:eastAsia="zh-CN"/>
              </w:rPr>
              <w:t>次数偏少；</w:t>
            </w:r>
          </w:p>
          <w:p w14:paraId="0AF0967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rPr>
              <w:t>未见应急救援 设备 、器材 配备定期维护、 保养 记录</w:t>
            </w:r>
            <w:r>
              <w:rPr>
                <w:rFonts w:hint="eastAsia" w:cs="Times New Roman"/>
                <w:bCs w:val="0"/>
                <w:color w:val="auto"/>
                <w:spacing w:val="0"/>
                <w:w w:val="100"/>
                <w:sz w:val="21"/>
                <w:szCs w:val="21"/>
                <w:lang w:eastAsia="zh-CN"/>
              </w:rPr>
              <w:t>。</w:t>
            </w:r>
          </w:p>
        </w:tc>
        <w:tc>
          <w:tcPr>
            <w:tcW w:w="990" w:type="dxa"/>
            <w:noWrap w:val="0"/>
            <w:vAlign w:val="center"/>
          </w:tcPr>
          <w:p w14:paraId="3ECF4D2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符合</w:t>
            </w:r>
          </w:p>
        </w:tc>
        <w:tc>
          <w:tcPr>
            <w:tcW w:w="770" w:type="dxa"/>
            <w:noWrap w:val="0"/>
            <w:vAlign w:val="center"/>
          </w:tcPr>
          <w:p w14:paraId="41D9AC0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7</w:t>
            </w:r>
          </w:p>
        </w:tc>
        <w:tc>
          <w:tcPr>
            <w:tcW w:w="850" w:type="dxa"/>
            <w:noWrap w:val="0"/>
            <w:vAlign w:val="center"/>
          </w:tcPr>
          <w:p w14:paraId="2F82231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每项1分，不符合该项不得分</w:t>
            </w:r>
          </w:p>
        </w:tc>
        <w:tc>
          <w:tcPr>
            <w:tcW w:w="642" w:type="dxa"/>
            <w:noWrap w:val="0"/>
            <w:vAlign w:val="center"/>
          </w:tcPr>
          <w:p w14:paraId="4C979E8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4</w:t>
            </w:r>
          </w:p>
        </w:tc>
      </w:tr>
      <w:tr w14:paraId="67DB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665F5445">
            <w:pPr>
              <w:keepNext w:val="0"/>
              <w:keepLines w:val="0"/>
              <w:pageBreakBefore w:val="0"/>
              <w:widowControl w:val="0"/>
              <w:numPr>
                <w:ilvl w:val="0"/>
                <w:numId w:val="4"/>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技术资料</w:t>
            </w:r>
          </w:p>
          <w:p w14:paraId="145FC072">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12分</w:t>
            </w:r>
          </w:p>
          <w:p w14:paraId="4CA8A18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E3D93F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3</w:t>
            </w:r>
            <w:r>
              <w:rPr>
                <w:rFonts w:hint="eastAsia" w:ascii="宋体" w:hAnsi="宋体" w:eastAsia="宋体" w:cs="Times New Roman"/>
                <w:bCs w:val="0"/>
                <w:color w:val="auto"/>
                <w:spacing w:val="0"/>
                <w:w w:val="100"/>
                <w:sz w:val="21"/>
                <w:szCs w:val="21"/>
              </w:rPr>
              <w:t>.1有具有资质的设计单位设计的开采设计和符合实际情况的附图。</w:t>
            </w:r>
          </w:p>
        </w:tc>
        <w:tc>
          <w:tcPr>
            <w:tcW w:w="1591" w:type="dxa"/>
            <w:vMerge w:val="restart"/>
            <w:noWrap w:val="0"/>
            <w:vAlign w:val="center"/>
          </w:tcPr>
          <w:p w14:paraId="09EAF34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《金属非金属矿山安全规程》第4.1.10条</w:t>
            </w:r>
          </w:p>
        </w:tc>
        <w:tc>
          <w:tcPr>
            <w:tcW w:w="946" w:type="dxa"/>
            <w:vMerge w:val="restart"/>
            <w:noWrap w:val="0"/>
            <w:vAlign w:val="center"/>
          </w:tcPr>
          <w:p w14:paraId="708A53E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查文本资料</w:t>
            </w:r>
          </w:p>
        </w:tc>
        <w:tc>
          <w:tcPr>
            <w:tcW w:w="990" w:type="dxa"/>
            <w:noWrap w:val="0"/>
            <w:vAlign w:val="center"/>
          </w:tcPr>
          <w:p w14:paraId="05BC114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645F816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noWrap w:val="0"/>
            <w:vAlign w:val="center"/>
          </w:tcPr>
          <w:p w14:paraId="225DCBE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265397C1">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r>
      <w:tr w14:paraId="5D9E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0" w:hRule="atLeast"/>
        </w:trPr>
        <w:tc>
          <w:tcPr>
            <w:tcW w:w="666" w:type="dxa"/>
            <w:vMerge w:val="continue"/>
            <w:noWrap w:val="0"/>
            <w:vAlign w:val="center"/>
          </w:tcPr>
          <w:p w14:paraId="2FBF84A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C81CA5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13</w:t>
            </w:r>
            <w:r>
              <w:rPr>
                <w:rFonts w:hint="eastAsia" w:ascii="宋体" w:hAnsi="宋体" w:eastAsia="宋体" w:cs="Times New Roman"/>
                <w:bCs w:val="0"/>
                <w:color w:val="auto"/>
                <w:spacing w:val="0"/>
                <w:w w:val="100"/>
                <w:sz w:val="21"/>
                <w:szCs w:val="21"/>
              </w:rPr>
              <w:t>.2——矿区地形地质图、水文地质图（含平面和剖面）；</w:t>
            </w:r>
          </w:p>
          <w:p w14:paraId="043A578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——开拓系统图；</w:t>
            </w:r>
          </w:p>
          <w:p w14:paraId="6C91D6C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 中段平面图；</w:t>
            </w:r>
          </w:p>
          <w:p w14:paraId="3F9173A8">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——通风系统图；</w:t>
            </w:r>
          </w:p>
          <w:p w14:paraId="2EE2A33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——井上、井下对照图；</w:t>
            </w:r>
          </w:p>
          <w:p w14:paraId="2468A39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——压风、供水、排水系统图；</w:t>
            </w:r>
          </w:p>
          <w:p w14:paraId="7ADCBA0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——通信系统图；</w:t>
            </w:r>
          </w:p>
          <w:p w14:paraId="04754C0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——供配电系统图；</w:t>
            </w:r>
          </w:p>
          <w:p w14:paraId="1D0BDA9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——井下避灾路线图；</w:t>
            </w:r>
          </w:p>
          <w:p w14:paraId="61DF360B">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——相邻采区或矿山与本矿山空间位置关系图。</w:t>
            </w:r>
          </w:p>
        </w:tc>
        <w:tc>
          <w:tcPr>
            <w:tcW w:w="1591" w:type="dxa"/>
            <w:vMerge w:val="continue"/>
            <w:noWrap w:val="0"/>
            <w:vAlign w:val="center"/>
          </w:tcPr>
          <w:p w14:paraId="1509D96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373A4473">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787EF0E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5EA73D6E">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9</w:t>
            </w:r>
          </w:p>
        </w:tc>
        <w:tc>
          <w:tcPr>
            <w:tcW w:w="850" w:type="dxa"/>
            <w:noWrap w:val="0"/>
            <w:vAlign w:val="center"/>
          </w:tcPr>
          <w:p w14:paraId="1B8ACF5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7385FED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2C9B5AE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0C921B3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每项1分，不符合该项不得分</w:t>
            </w:r>
          </w:p>
        </w:tc>
        <w:tc>
          <w:tcPr>
            <w:tcW w:w="642" w:type="dxa"/>
            <w:noWrap w:val="0"/>
            <w:vAlign w:val="center"/>
          </w:tcPr>
          <w:p w14:paraId="0E88665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9</w:t>
            </w:r>
          </w:p>
        </w:tc>
      </w:tr>
      <w:tr w14:paraId="05D4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trPr>
        <w:tc>
          <w:tcPr>
            <w:tcW w:w="666" w:type="dxa"/>
            <w:vMerge w:val="continue"/>
            <w:noWrap w:val="0"/>
            <w:vAlign w:val="center"/>
          </w:tcPr>
          <w:p w14:paraId="6B9AFBE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6593248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3</w:t>
            </w:r>
            <w:r>
              <w:rPr>
                <w:rFonts w:hint="eastAsia" w:ascii="宋体" w:hAnsi="宋体" w:eastAsia="宋体" w:cs="Times New Roman"/>
                <w:bCs w:val="0"/>
                <w:color w:val="auto"/>
                <w:spacing w:val="0"/>
                <w:w w:val="100"/>
                <w:sz w:val="21"/>
                <w:szCs w:val="21"/>
              </w:rPr>
              <w:t>.3有能够反映本企业情况、能指导生产、及时填绘的各种图纸（图纸有效期为三个月内）。</w:t>
            </w:r>
          </w:p>
        </w:tc>
        <w:tc>
          <w:tcPr>
            <w:tcW w:w="1591" w:type="dxa"/>
            <w:vMerge w:val="continue"/>
            <w:noWrap w:val="0"/>
            <w:vAlign w:val="center"/>
          </w:tcPr>
          <w:p w14:paraId="35C043E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7B75DCE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47DF6C4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0CBB19C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443C210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30D6EB0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566247F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7F1A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trPr>
        <w:tc>
          <w:tcPr>
            <w:tcW w:w="666" w:type="dxa"/>
            <w:vMerge w:val="restart"/>
            <w:noWrap w:val="0"/>
            <w:vAlign w:val="center"/>
          </w:tcPr>
          <w:p w14:paraId="1A20CF4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14、安全生产管理机构及人员</w:t>
            </w:r>
          </w:p>
          <w:p w14:paraId="2F05E32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5分</w:t>
            </w:r>
          </w:p>
        </w:tc>
        <w:tc>
          <w:tcPr>
            <w:tcW w:w="2962" w:type="dxa"/>
            <w:noWrap w:val="0"/>
            <w:vAlign w:val="center"/>
          </w:tcPr>
          <w:p w14:paraId="1AA6F54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4</w:t>
            </w:r>
            <w:r>
              <w:rPr>
                <w:rFonts w:hint="eastAsia" w:ascii="宋体" w:hAnsi="宋体" w:eastAsia="宋体" w:cs="Times New Roman"/>
                <w:bCs w:val="0"/>
                <w:color w:val="auto"/>
                <w:spacing w:val="0"/>
                <w:w w:val="100"/>
                <w:sz w:val="21"/>
                <w:szCs w:val="21"/>
              </w:rPr>
              <w:t>.1矿山企业应设置安全生产管理机构或配备专职安全生产管理人员，其中主要负责人及安全生产管理人员不少于3人</w:t>
            </w:r>
          </w:p>
        </w:tc>
        <w:tc>
          <w:tcPr>
            <w:tcW w:w="1591" w:type="dxa"/>
            <w:vMerge w:val="restart"/>
            <w:noWrap w:val="0"/>
            <w:vAlign w:val="center"/>
          </w:tcPr>
          <w:p w14:paraId="1AF59E0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《安全生产法》第24条《金属非金属矿山安全规程》第4.2、4.3条</w:t>
            </w:r>
          </w:p>
        </w:tc>
        <w:tc>
          <w:tcPr>
            <w:tcW w:w="946" w:type="dxa"/>
            <w:vMerge w:val="restart"/>
            <w:noWrap w:val="0"/>
            <w:vAlign w:val="center"/>
          </w:tcPr>
          <w:p w14:paraId="76C0BC3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查文本资料、机构编制、档案以及现场抽查</w:t>
            </w:r>
          </w:p>
        </w:tc>
        <w:tc>
          <w:tcPr>
            <w:tcW w:w="990" w:type="dxa"/>
            <w:noWrap w:val="0"/>
            <w:vAlign w:val="center"/>
          </w:tcPr>
          <w:p w14:paraId="179B463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30FDADB1">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13A415E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6CC3050C">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409A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43F6FAF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69F0D6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4</w:t>
            </w:r>
            <w:r>
              <w:rPr>
                <w:rFonts w:hint="eastAsia" w:ascii="宋体" w:hAnsi="宋体" w:eastAsia="宋体" w:cs="Times New Roman"/>
                <w:bCs w:val="0"/>
                <w:color w:val="auto"/>
                <w:spacing w:val="0"/>
                <w:w w:val="100"/>
                <w:sz w:val="21"/>
                <w:szCs w:val="21"/>
              </w:rPr>
              <w:t>.2专职安全生产管理人员，应由不低于中等专业学校毕业、具有必要的安全生产专业知识和安全生产工作经验、从事矿山专业工作五年以上并能适应现场工作环境的人员担任</w:t>
            </w:r>
          </w:p>
        </w:tc>
        <w:tc>
          <w:tcPr>
            <w:tcW w:w="1591" w:type="dxa"/>
            <w:vMerge w:val="continue"/>
            <w:noWrap w:val="0"/>
            <w:vAlign w:val="center"/>
          </w:tcPr>
          <w:p w14:paraId="383B826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42F5EA8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F55322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4100E80C">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2142296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232ED8F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4BDD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47DEA39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45E9A8A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4</w:t>
            </w:r>
            <w:r>
              <w:rPr>
                <w:rFonts w:hint="eastAsia" w:ascii="宋体" w:hAnsi="宋体" w:eastAsia="宋体" w:cs="Times New Roman"/>
                <w:bCs w:val="0"/>
                <w:color w:val="auto"/>
                <w:spacing w:val="0"/>
                <w:w w:val="100"/>
                <w:sz w:val="21"/>
                <w:szCs w:val="21"/>
              </w:rPr>
              <w:t>.3必须有分管安全的管理人员。</w:t>
            </w:r>
          </w:p>
        </w:tc>
        <w:tc>
          <w:tcPr>
            <w:tcW w:w="1591" w:type="dxa"/>
            <w:vMerge w:val="continue"/>
            <w:noWrap w:val="0"/>
            <w:vAlign w:val="center"/>
          </w:tcPr>
          <w:p w14:paraId="2F5F596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6390BCB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5D8100E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5FB33FB1">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2490A83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0C6D422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3435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9EA13D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3ABAFF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4</w:t>
            </w:r>
            <w:r>
              <w:rPr>
                <w:rFonts w:hint="eastAsia" w:ascii="宋体" w:hAnsi="宋体" w:eastAsia="宋体" w:cs="Times New Roman"/>
                <w:bCs w:val="0"/>
                <w:color w:val="auto"/>
                <w:spacing w:val="0"/>
                <w:w w:val="100"/>
                <w:sz w:val="21"/>
                <w:szCs w:val="21"/>
              </w:rPr>
              <w:t>.4二级单位、班组应设专(兼)职安全管理人员。</w:t>
            </w:r>
          </w:p>
        </w:tc>
        <w:tc>
          <w:tcPr>
            <w:tcW w:w="1591" w:type="dxa"/>
            <w:vMerge w:val="continue"/>
            <w:noWrap w:val="0"/>
            <w:vAlign w:val="center"/>
          </w:tcPr>
          <w:p w14:paraId="032F491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038CFBE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F06015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7C4E2F19">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5D4D533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72F3A7AF">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1</w:t>
            </w:r>
          </w:p>
        </w:tc>
      </w:tr>
      <w:tr w14:paraId="6C03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7B1116D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451A297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4</w:t>
            </w:r>
            <w:r>
              <w:rPr>
                <w:rFonts w:hint="eastAsia" w:ascii="宋体" w:hAnsi="宋体" w:eastAsia="宋体" w:cs="Times New Roman"/>
                <w:bCs w:val="0"/>
                <w:color w:val="auto"/>
                <w:spacing w:val="0"/>
                <w:w w:val="100"/>
                <w:sz w:val="21"/>
                <w:szCs w:val="21"/>
              </w:rPr>
              <w:t>.5矿山企业配备一定数量安全员，保证每班必须都有安全员检查井下安全</w:t>
            </w:r>
          </w:p>
        </w:tc>
        <w:tc>
          <w:tcPr>
            <w:tcW w:w="1591" w:type="dxa"/>
            <w:vMerge w:val="continue"/>
            <w:noWrap w:val="0"/>
            <w:vAlign w:val="center"/>
          </w:tcPr>
          <w:p w14:paraId="3F44D2D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0F8BB06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3DB8E17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7D40FA4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0C4CC10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4F627A1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6288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noWrap w:val="0"/>
            <w:vAlign w:val="center"/>
          </w:tcPr>
          <w:p w14:paraId="5C197ED8">
            <w:pPr>
              <w:keepNext w:val="0"/>
              <w:keepLines w:val="0"/>
              <w:pageBreakBefore w:val="0"/>
              <w:widowControl w:val="0"/>
              <w:numPr>
                <w:ilvl w:val="0"/>
                <w:numId w:val="0"/>
              </w:numPr>
              <w:kinsoku/>
              <w:wordWrap/>
              <w:overflowPunct/>
              <w:topLinePunct w:val="0"/>
              <w:autoSpaceDE/>
              <w:autoSpaceDN/>
              <w:bidi w:val="0"/>
              <w:adjustRightInd/>
              <w:spacing w:line="260" w:lineRule="exact"/>
              <w:ind w:left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15</w:t>
            </w:r>
            <w:r>
              <w:rPr>
                <w:rFonts w:hint="eastAsia" w:ascii="宋体" w:hAnsi="宋体" w:eastAsia="宋体" w:cs="Times New Roman"/>
                <w:bCs w:val="0"/>
                <w:color w:val="auto"/>
                <w:spacing w:val="0"/>
                <w:w w:val="100"/>
                <w:sz w:val="21"/>
                <w:szCs w:val="21"/>
              </w:rPr>
              <w:t>特种作业人员</w:t>
            </w:r>
          </w:p>
          <w:p w14:paraId="1D5CBB10">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3分</w:t>
            </w:r>
          </w:p>
          <w:p w14:paraId="1F597DE2">
            <w:pPr>
              <w:pStyle w:val="17"/>
              <w:jc w:val="left"/>
              <w:rPr>
                <w:rFonts w:hint="eastAsia" w:eastAsia="宋体" w:cs="Times New Roman"/>
                <w:bCs w:val="0"/>
                <w:color w:val="auto"/>
                <w:spacing w:val="0"/>
                <w:w w:val="100"/>
                <w:sz w:val="21"/>
                <w:szCs w:val="21"/>
              </w:rPr>
            </w:pPr>
          </w:p>
          <w:p w14:paraId="299A464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488772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5</w:t>
            </w:r>
            <w:r>
              <w:rPr>
                <w:rFonts w:hint="eastAsia" w:ascii="宋体" w:hAnsi="宋体" w:eastAsia="宋体" w:cs="Times New Roman"/>
                <w:bCs w:val="0"/>
                <w:color w:val="auto"/>
                <w:spacing w:val="0"/>
                <w:w w:val="100"/>
                <w:sz w:val="21"/>
                <w:szCs w:val="21"/>
              </w:rPr>
              <w:t>.1有特种作业人员培训计划；</w:t>
            </w:r>
          </w:p>
          <w:p w14:paraId="6639B2C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5</w:t>
            </w:r>
            <w:r>
              <w:rPr>
                <w:rFonts w:hint="eastAsia" w:ascii="宋体" w:hAnsi="宋体" w:eastAsia="宋体" w:cs="Times New Roman"/>
                <w:bCs w:val="0"/>
                <w:color w:val="auto"/>
                <w:spacing w:val="0"/>
                <w:w w:val="100"/>
                <w:sz w:val="21"/>
                <w:szCs w:val="21"/>
              </w:rPr>
              <w:t>.2特种作业操作资格证书在有效期内；</w:t>
            </w:r>
          </w:p>
          <w:p w14:paraId="1066762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5</w:t>
            </w:r>
            <w:r>
              <w:rPr>
                <w:rFonts w:hint="eastAsia" w:ascii="宋体" w:hAnsi="宋体" w:eastAsia="宋体" w:cs="Times New Roman"/>
                <w:bCs w:val="0"/>
                <w:color w:val="auto"/>
                <w:spacing w:val="0"/>
                <w:w w:val="100"/>
                <w:sz w:val="21"/>
                <w:szCs w:val="21"/>
              </w:rPr>
              <w:t>.3特种作业人员人数、各工种特种作业人员满足生产需要。</w:t>
            </w:r>
          </w:p>
        </w:tc>
        <w:tc>
          <w:tcPr>
            <w:tcW w:w="1591" w:type="dxa"/>
            <w:noWrap w:val="0"/>
            <w:vAlign w:val="center"/>
          </w:tcPr>
          <w:p w14:paraId="3C7373C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《安全生产法》第三十条</w:t>
            </w:r>
          </w:p>
        </w:tc>
        <w:tc>
          <w:tcPr>
            <w:tcW w:w="946" w:type="dxa"/>
            <w:noWrap w:val="0"/>
            <w:vAlign w:val="center"/>
          </w:tcPr>
          <w:p w14:paraId="6F288A1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查看资料、现场生产</w:t>
            </w:r>
          </w:p>
        </w:tc>
        <w:tc>
          <w:tcPr>
            <w:tcW w:w="990" w:type="dxa"/>
            <w:noWrap w:val="0"/>
            <w:vAlign w:val="center"/>
          </w:tcPr>
          <w:p w14:paraId="48E4C6C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702745D5">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3</w:t>
            </w:r>
          </w:p>
        </w:tc>
        <w:tc>
          <w:tcPr>
            <w:tcW w:w="850" w:type="dxa"/>
            <w:noWrap w:val="0"/>
            <w:vAlign w:val="center"/>
          </w:tcPr>
          <w:p w14:paraId="30CEE74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每项1分，不符合该项不得分</w:t>
            </w:r>
          </w:p>
        </w:tc>
        <w:tc>
          <w:tcPr>
            <w:tcW w:w="642" w:type="dxa"/>
            <w:noWrap w:val="0"/>
            <w:vAlign w:val="center"/>
          </w:tcPr>
          <w:p w14:paraId="2A322F81">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cs="Times New Roman"/>
                <w:bCs w:val="0"/>
                <w:color w:val="auto"/>
                <w:spacing w:val="0"/>
                <w:w w:val="100"/>
                <w:sz w:val="21"/>
                <w:szCs w:val="21"/>
                <w:lang w:val="en-US" w:eastAsia="zh-CN"/>
              </w:rPr>
              <w:t>3</w:t>
            </w:r>
          </w:p>
        </w:tc>
      </w:tr>
      <w:tr w14:paraId="692D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7A00F4BC">
            <w:pPr>
              <w:keepNext w:val="0"/>
              <w:keepLines w:val="0"/>
              <w:pageBreakBefore w:val="0"/>
              <w:widowControl w:val="0"/>
              <w:numPr>
                <w:ilvl w:val="0"/>
                <w:numId w:val="0"/>
              </w:numPr>
              <w:kinsoku/>
              <w:wordWrap/>
              <w:overflowPunct/>
              <w:topLinePunct w:val="0"/>
              <w:autoSpaceDE/>
              <w:autoSpaceDN/>
              <w:bidi w:val="0"/>
              <w:adjustRightInd/>
              <w:spacing w:line="260" w:lineRule="exact"/>
              <w:ind w:leftChars="0"/>
              <w:jc w:val="left"/>
              <w:textAlignment w:val="auto"/>
              <w:rPr>
                <w:rFonts w:hint="eastAsia"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16</w:t>
            </w:r>
            <w:r>
              <w:rPr>
                <w:rFonts w:hint="eastAsia" w:ascii="宋体" w:hAnsi="宋体" w:eastAsia="宋体" w:cs="Times New Roman"/>
                <w:bCs w:val="0"/>
                <w:color w:val="auto"/>
                <w:spacing w:val="0"/>
                <w:w w:val="100"/>
                <w:sz w:val="21"/>
                <w:szCs w:val="21"/>
              </w:rPr>
              <w:t>矿山井巷一般规定</w:t>
            </w:r>
          </w:p>
          <w:p w14:paraId="4467ADB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20分</w:t>
            </w:r>
          </w:p>
        </w:tc>
        <w:tc>
          <w:tcPr>
            <w:tcW w:w="2962" w:type="dxa"/>
            <w:noWrap w:val="0"/>
            <w:vAlign w:val="center"/>
          </w:tcPr>
          <w:p w14:paraId="02A879B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6</w:t>
            </w:r>
            <w:r>
              <w:rPr>
                <w:rFonts w:hint="eastAsia" w:ascii="宋体" w:hAnsi="宋体" w:eastAsia="宋体" w:cs="Times New Roman"/>
                <w:bCs w:val="0"/>
                <w:color w:val="auto"/>
                <w:spacing w:val="0"/>
                <w:w w:val="100"/>
                <w:sz w:val="21"/>
                <w:szCs w:val="21"/>
              </w:rPr>
              <w:t>.1每个矿井至少有两个独立的能行人的直达地面的安全出口，其间距不应小于30m。走向长度超过1000m在端部增加安全出口。</w:t>
            </w:r>
          </w:p>
        </w:tc>
        <w:tc>
          <w:tcPr>
            <w:tcW w:w="1591" w:type="dxa"/>
            <w:noWrap w:val="0"/>
            <w:vAlign w:val="center"/>
          </w:tcPr>
          <w:p w14:paraId="42366BE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《金属非金属矿山安全规程》第6.1.1.1条</w:t>
            </w:r>
          </w:p>
        </w:tc>
        <w:tc>
          <w:tcPr>
            <w:tcW w:w="946" w:type="dxa"/>
            <w:noWrap w:val="0"/>
            <w:vAlign w:val="center"/>
          </w:tcPr>
          <w:p w14:paraId="332F0CF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看图纸和现场</w:t>
            </w:r>
          </w:p>
        </w:tc>
        <w:tc>
          <w:tcPr>
            <w:tcW w:w="990" w:type="dxa"/>
            <w:noWrap w:val="0"/>
            <w:vAlign w:val="center"/>
          </w:tcPr>
          <w:p w14:paraId="4067E80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101CFDAD">
            <w:pPr>
              <w:keepNext w:val="0"/>
              <w:keepLines w:val="0"/>
              <w:pageBreakBefore w:val="0"/>
              <w:widowControl w:val="0"/>
              <w:kinsoku/>
              <w:wordWrap/>
              <w:overflowPunct/>
              <w:topLinePunct w:val="0"/>
              <w:autoSpaceDE/>
              <w:autoSpaceDN/>
              <w:bidi w:val="0"/>
              <w:adjustRightInd/>
              <w:spacing w:line="260" w:lineRule="exact"/>
              <w:ind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c>
          <w:tcPr>
            <w:tcW w:w="850" w:type="dxa"/>
            <w:noWrap w:val="0"/>
            <w:vAlign w:val="center"/>
          </w:tcPr>
          <w:p w14:paraId="353B38B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4E61C769">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r>
      <w:tr w14:paraId="1AFC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00E8078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0CE8822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6</w:t>
            </w:r>
            <w:r>
              <w:rPr>
                <w:rFonts w:hint="eastAsia" w:ascii="宋体" w:hAnsi="宋体" w:eastAsia="宋体" w:cs="Times New Roman"/>
                <w:bCs w:val="0"/>
                <w:color w:val="auto"/>
                <w:spacing w:val="0"/>
                <w:w w:val="100"/>
                <w:sz w:val="21"/>
                <w:szCs w:val="21"/>
              </w:rPr>
              <w:t>.2每个生产水平（中段）和各个采区（盘区）应至少两个便于行人的安全出口，并与通达地面的安全出口相通。</w:t>
            </w:r>
          </w:p>
        </w:tc>
        <w:tc>
          <w:tcPr>
            <w:tcW w:w="1591" w:type="dxa"/>
            <w:noWrap w:val="0"/>
            <w:vAlign w:val="center"/>
          </w:tcPr>
          <w:p w14:paraId="4855C3C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《金属非金属矿山安全规程》第6.1.1.1条</w:t>
            </w:r>
          </w:p>
        </w:tc>
        <w:tc>
          <w:tcPr>
            <w:tcW w:w="946" w:type="dxa"/>
            <w:noWrap w:val="0"/>
            <w:vAlign w:val="center"/>
          </w:tcPr>
          <w:p w14:paraId="3CAE883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看图纸和现场</w:t>
            </w:r>
          </w:p>
        </w:tc>
        <w:tc>
          <w:tcPr>
            <w:tcW w:w="990" w:type="dxa"/>
            <w:noWrap w:val="0"/>
            <w:vAlign w:val="center"/>
          </w:tcPr>
          <w:p w14:paraId="642917D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786D07B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2BB8801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7B49892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c>
          <w:tcPr>
            <w:tcW w:w="850" w:type="dxa"/>
            <w:noWrap w:val="0"/>
            <w:vAlign w:val="center"/>
          </w:tcPr>
          <w:p w14:paraId="34682DD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40C25B47">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1A38DFC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5B5E3B24">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r>
      <w:tr w14:paraId="53DD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46E60A3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5B387939">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6</w:t>
            </w:r>
            <w:r>
              <w:rPr>
                <w:rFonts w:hint="eastAsia" w:ascii="宋体" w:hAnsi="宋体" w:eastAsia="宋体" w:cs="Times New Roman"/>
                <w:bCs w:val="0"/>
                <w:color w:val="auto"/>
                <w:spacing w:val="0"/>
                <w:w w:val="100"/>
                <w:sz w:val="21"/>
                <w:szCs w:val="21"/>
              </w:rPr>
              <w:t>.3矿井（竖井、斜井、平硐）井口的标高，必须高于当地历史最高洪水位1m以上。</w:t>
            </w:r>
          </w:p>
        </w:tc>
        <w:tc>
          <w:tcPr>
            <w:tcW w:w="1591" w:type="dxa"/>
            <w:noWrap w:val="0"/>
            <w:vAlign w:val="center"/>
          </w:tcPr>
          <w:p w14:paraId="00D4274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《金属非金属矿山安全规程》第6.8.2条</w:t>
            </w:r>
          </w:p>
        </w:tc>
        <w:tc>
          <w:tcPr>
            <w:tcW w:w="946" w:type="dxa"/>
            <w:noWrap w:val="0"/>
            <w:vAlign w:val="center"/>
          </w:tcPr>
          <w:p w14:paraId="3AF7E6A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看图纸和现场</w:t>
            </w:r>
          </w:p>
        </w:tc>
        <w:tc>
          <w:tcPr>
            <w:tcW w:w="990" w:type="dxa"/>
            <w:noWrap w:val="0"/>
            <w:vAlign w:val="center"/>
          </w:tcPr>
          <w:p w14:paraId="1488F91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65BBC2F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2195DB8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c>
          <w:tcPr>
            <w:tcW w:w="850" w:type="dxa"/>
            <w:noWrap w:val="0"/>
            <w:vAlign w:val="center"/>
          </w:tcPr>
          <w:p w14:paraId="6C1DD18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5F4A3C93">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r>
      <w:tr w14:paraId="581B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1AAF34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C9EE67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6</w:t>
            </w:r>
            <w:r>
              <w:rPr>
                <w:rFonts w:hint="eastAsia" w:ascii="宋体" w:hAnsi="宋体" w:eastAsia="宋体" w:cs="Times New Roman"/>
                <w:bCs w:val="0"/>
                <w:color w:val="auto"/>
                <w:spacing w:val="0"/>
                <w:w w:val="100"/>
                <w:sz w:val="21"/>
                <w:szCs w:val="21"/>
              </w:rPr>
              <w:t>.4矿井应建立机械通风系统</w:t>
            </w:r>
          </w:p>
        </w:tc>
        <w:tc>
          <w:tcPr>
            <w:tcW w:w="1591" w:type="dxa"/>
            <w:noWrap w:val="0"/>
            <w:vAlign w:val="center"/>
          </w:tcPr>
          <w:p w14:paraId="0804B3DE">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《金属非金属矿山安全规程》第6.6.2条</w:t>
            </w:r>
          </w:p>
        </w:tc>
        <w:tc>
          <w:tcPr>
            <w:tcW w:w="946" w:type="dxa"/>
            <w:noWrap w:val="0"/>
            <w:vAlign w:val="center"/>
          </w:tcPr>
          <w:p w14:paraId="3F394CD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看图纸和现场</w:t>
            </w:r>
          </w:p>
        </w:tc>
        <w:tc>
          <w:tcPr>
            <w:tcW w:w="990" w:type="dxa"/>
            <w:noWrap w:val="0"/>
            <w:vAlign w:val="center"/>
          </w:tcPr>
          <w:p w14:paraId="5AE0047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符合</w:t>
            </w:r>
          </w:p>
        </w:tc>
        <w:tc>
          <w:tcPr>
            <w:tcW w:w="770" w:type="dxa"/>
            <w:noWrap w:val="0"/>
            <w:vAlign w:val="center"/>
          </w:tcPr>
          <w:p w14:paraId="3C3A7E5E">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c>
          <w:tcPr>
            <w:tcW w:w="850" w:type="dxa"/>
            <w:noWrap w:val="0"/>
            <w:vAlign w:val="center"/>
          </w:tcPr>
          <w:p w14:paraId="02BE09B0">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7D566D4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44CDD39B">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5</w:t>
            </w:r>
          </w:p>
        </w:tc>
      </w:tr>
      <w:tr w14:paraId="45F5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noWrap w:val="0"/>
            <w:vAlign w:val="center"/>
          </w:tcPr>
          <w:p w14:paraId="32F971C5">
            <w:pPr>
              <w:keepNext w:val="0"/>
              <w:keepLines w:val="0"/>
              <w:pageBreakBefore w:val="0"/>
              <w:widowControl w:val="0"/>
              <w:numPr>
                <w:ilvl w:val="0"/>
                <w:numId w:val="5"/>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地面消防</w:t>
            </w:r>
          </w:p>
          <w:p w14:paraId="1B40F89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4分</w:t>
            </w:r>
          </w:p>
        </w:tc>
        <w:tc>
          <w:tcPr>
            <w:tcW w:w="2962" w:type="dxa"/>
            <w:noWrap w:val="0"/>
            <w:vAlign w:val="center"/>
          </w:tcPr>
          <w:p w14:paraId="508CAB6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矿山企业应根据《消防法》及其配套法规的要求，配备消防设备和设施，并与当地消防部门建立联系。</w:t>
            </w:r>
          </w:p>
        </w:tc>
        <w:tc>
          <w:tcPr>
            <w:tcW w:w="1591" w:type="dxa"/>
            <w:noWrap w:val="0"/>
            <w:vAlign w:val="center"/>
          </w:tcPr>
          <w:p w14:paraId="622561B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《金属非金属矿山安全规程》第6.9.1（5.7.2）条</w:t>
            </w:r>
          </w:p>
        </w:tc>
        <w:tc>
          <w:tcPr>
            <w:tcW w:w="946" w:type="dxa"/>
            <w:noWrap w:val="0"/>
            <w:vAlign w:val="center"/>
          </w:tcPr>
          <w:p w14:paraId="26BB9E8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查文本</w:t>
            </w:r>
          </w:p>
          <w:p w14:paraId="1C1D144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资料</w:t>
            </w:r>
          </w:p>
        </w:tc>
        <w:tc>
          <w:tcPr>
            <w:tcW w:w="990" w:type="dxa"/>
            <w:noWrap w:val="0"/>
            <w:vAlign w:val="center"/>
          </w:tcPr>
          <w:p w14:paraId="6B0CE595">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符合</w:t>
            </w:r>
          </w:p>
        </w:tc>
        <w:tc>
          <w:tcPr>
            <w:tcW w:w="770" w:type="dxa"/>
            <w:noWrap w:val="0"/>
            <w:vAlign w:val="center"/>
          </w:tcPr>
          <w:p w14:paraId="6D7EC37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5E0A5553">
            <w:pPr>
              <w:keepNext w:val="0"/>
              <w:keepLines w:val="0"/>
              <w:pageBreakBefore w:val="0"/>
              <w:widowControl w:val="0"/>
              <w:kinsoku/>
              <w:wordWrap/>
              <w:overflowPunct/>
              <w:topLinePunct w:val="0"/>
              <w:autoSpaceDE/>
              <w:autoSpaceDN/>
              <w:bidi w:val="0"/>
              <w:adjustRightInd/>
              <w:spacing w:line="260" w:lineRule="exact"/>
              <w:ind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4</w:t>
            </w:r>
          </w:p>
        </w:tc>
        <w:tc>
          <w:tcPr>
            <w:tcW w:w="850" w:type="dxa"/>
            <w:noWrap w:val="0"/>
            <w:vAlign w:val="center"/>
          </w:tcPr>
          <w:p w14:paraId="43BB5AB4">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69E1BA6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4</w:t>
            </w:r>
          </w:p>
        </w:tc>
      </w:tr>
      <w:tr w14:paraId="5F00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restart"/>
            <w:noWrap w:val="0"/>
            <w:vAlign w:val="center"/>
          </w:tcPr>
          <w:p w14:paraId="475AC97C">
            <w:pPr>
              <w:keepNext w:val="0"/>
              <w:keepLines w:val="0"/>
              <w:pageBreakBefore w:val="0"/>
              <w:widowControl w:val="0"/>
              <w:numPr>
                <w:ilvl w:val="0"/>
                <w:numId w:val="5"/>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“三同时”执行情况</w:t>
            </w:r>
          </w:p>
          <w:p w14:paraId="141DA990">
            <w:pPr>
              <w:pStyle w:val="17"/>
              <w:numPr>
                <w:ilvl w:val="0"/>
                <w:numId w:val="0"/>
              </w:numPr>
              <w:ind w:leftChars="0"/>
              <w:jc w:val="left"/>
              <w:rPr>
                <w:rFonts w:hint="default" w:eastAsia="宋体" w:cs="Times New Roman"/>
                <w:bCs w:val="0"/>
                <w:color w:val="auto"/>
                <w:spacing w:val="0"/>
                <w:w w:val="100"/>
                <w:sz w:val="21"/>
                <w:szCs w:val="21"/>
                <w:lang w:val="en-US" w:eastAsia="zh-CN"/>
              </w:rPr>
            </w:pPr>
            <w:r>
              <w:rPr>
                <w:rFonts w:hint="eastAsia" w:eastAsia="宋体" w:cs="Times New Roman"/>
                <w:bCs w:val="0"/>
                <w:color w:val="auto"/>
                <w:spacing w:val="0"/>
                <w:w w:val="100"/>
                <w:sz w:val="21"/>
                <w:szCs w:val="21"/>
                <w:lang w:val="en-US" w:eastAsia="zh-CN"/>
              </w:rPr>
              <w:t>10分</w:t>
            </w:r>
          </w:p>
          <w:p w14:paraId="26F1890F">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480CADB6">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8</w:t>
            </w:r>
            <w:r>
              <w:rPr>
                <w:rFonts w:hint="eastAsia" w:ascii="宋体" w:hAnsi="宋体" w:eastAsia="宋体" w:cs="Times New Roman"/>
                <w:bCs w:val="0"/>
                <w:color w:val="auto"/>
                <w:spacing w:val="0"/>
                <w:w w:val="100"/>
                <w:sz w:val="21"/>
                <w:szCs w:val="21"/>
              </w:rPr>
              <w:t>.1新建、改建、扩建工程项目要委托有规定资质的安全评价机构进行安全预评价。</w:t>
            </w:r>
          </w:p>
        </w:tc>
        <w:tc>
          <w:tcPr>
            <w:tcW w:w="1591" w:type="dxa"/>
            <w:noWrap w:val="0"/>
            <w:vAlign w:val="center"/>
          </w:tcPr>
          <w:p w14:paraId="59901CBD">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《安全生产法》第二十九条</w:t>
            </w:r>
          </w:p>
        </w:tc>
        <w:tc>
          <w:tcPr>
            <w:tcW w:w="946" w:type="dxa"/>
            <w:vMerge w:val="restart"/>
            <w:noWrap w:val="0"/>
            <w:vAlign w:val="center"/>
          </w:tcPr>
          <w:p w14:paraId="52EB5EC1">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查文本</w:t>
            </w:r>
          </w:p>
          <w:p w14:paraId="69E194C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资料</w:t>
            </w:r>
          </w:p>
        </w:tc>
        <w:tc>
          <w:tcPr>
            <w:tcW w:w="990" w:type="dxa"/>
            <w:noWrap w:val="0"/>
            <w:vAlign w:val="center"/>
          </w:tcPr>
          <w:p w14:paraId="20C17FC5">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无关项</w:t>
            </w:r>
          </w:p>
        </w:tc>
        <w:tc>
          <w:tcPr>
            <w:tcW w:w="770" w:type="dxa"/>
            <w:noWrap w:val="0"/>
            <w:vAlign w:val="center"/>
          </w:tcPr>
          <w:p w14:paraId="52142951">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noWrap w:val="0"/>
            <w:vAlign w:val="center"/>
          </w:tcPr>
          <w:p w14:paraId="7CBF50C9">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2EB4235D">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w:t>
            </w:r>
          </w:p>
        </w:tc>
      </w:tr>
      <w:tr w14:paraId="3269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365A69B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15050AB4">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8</w:t>
            </w:r>
            <w:r>
              <w:rPr>
                <w:rFonts w:hint="eastAsia" w:ascii="宋体" w:hAnsi="宋体" w:eastAsia="宋体" w:cs="Times New Roman"/>
                <w:bCs w:val="0"/>
                <w:color w:val="auto"/>
                <w:spacing w:val="0"/>
                <w:w w:val="100"/>
                <w:sz w:val="21"/>
                <w:szCs w:val="21"/>
              </w:rPr>
              <w:t>.2初步设计及《安全专篇》具有审查及备案记录。</w:t>
            </w:r>
          </w:p>
        </w:tc>
        <w:tc>
          <w:tcPr>
            <w:tcW w:w="1591" w:type="dxa"/>
            <w:noWrap w:val="0"/>
            <w:vAlign w:val="center"/>
          </w:tcPr>
          <w:p w14:paraId="1D2213DF">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《建设项目安全设施“三同时”监督管理办法》</w:t>
            </w:r>
          </w:p>
        </w:tc>
        <w:tc>
          <w:tcPr>
            <w:tcW w:w="946" w:type="dxa"/>
            <w:vMerge w:val="continue"/>
            <w:noWrap w:val="0"/>
            <w:vAlign w:val="center"/>
          </w:tcPr>
          <w:p w14:paraId="2F0F68CE">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6EC5DA2">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无关项</w:t>
            </w:r>
          </w:p>
        </w:tc>
        <w:tc>
          <w:tcPr>
            <w:tcW w:w="770" w:type="dxa"/>
            <w:noWrap w:val="0"/>
            <w:vAlign w:val="center"/>
          </w:tcPr>
          <w:p w14:paraId="57060241">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noWrap w:val="0"/>
            <w:vAlign w:val="center"/>
          </w:tcPr>
          <w:p w14:paraId="1AC7E298">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3FACF9FE">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w:t>
            </w:r>
          </w:p>
        </w:tc>
      </w:tr>
      <w:tr w14:paraId="3F19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670A659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74375E29">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8</w:t>
            </w:r>
            <w:r>
              <w:rPr>
                <w:rFonts w:hint="eastAsia" w:ascii="宋体" w:hAnsi="宋体" w:eastAsia="宋体" w:cs="Times New Roman"/>
                <w:bCs w:val="0"/>
                <w:color w:val="auto"/>
                <w:spacing w:val="0"/>
                <w:w w:val="100"/>
                <w:sz w:val="21"/>
                <w:szCs w:val="21"/>
              </w:rPr>
              <w:t>.3矿山正式投产前，必须委托有资质的评价机构进行安全验收评价报告。</w:t>
            </w:r>
          </w:p>
        </w:tc>
        <w:tc>
          <w:tcPr>
            <w:tcW w:w="1591" w:type="dxa"/>
            <w:noWrap w:val="0"/>
            <w:vAlign w:val="center"/>
          </w:tcPr>
          <w:p w14:paraId="57F58EFB">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《安全生产法》第二十九条</w:t>
            </w:r>
          </w:p>
        </w:tc>
        <w:tc>
          <w:tcPr>
            <w:tcW w:w="946" w:type="dxa"/>
            <w:vMerge w:val="continue"/>
            <w:noWrap w:val="0"/>
            <w:vAlign w:val="center"/>
          </w:tcPr>
          <w:p w14:paraId="0766C59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vMerge w:val="restart"/>
            <w:noWrap w:val="0"/>
            <w:vAlign w:val="center"/>
          </w:tcPr>
          <w:p w14:paraId="3BD9257A">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无关项</w:t>
            </w:r>
          </w:p>
        </w:tc>
        <w:tc>
          <w:tcPr>
            <w:tcW w:w="770" w:type="dxa"/>
            <w:vMerge w:val="restart"/>
            <w:noWrap w:val="0"/>
            <w:vAlign w:val="center"/>
          </w:tcPr>
          <w:p w14:paraId="6BD99C52">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vMerge w:val="restart"/>
            <w:noWrap w:val="0"/>
            <w:vAlign w:val="center"/>
          </w:tcPr>
          <w:p w14:paraId="0A7E43AE">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vMerge w:val="restart"/>
            <w:noWrap w:val="0"/>
            <w:vAlign w:val="center"/>
          </w:tcPr>
          <w:p w14:paraId="0E2C347D">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w:t>
            </w:r>
          </w:p>
        </w:tc>
      </w:tr>
      <w:tr w14:paraId="49CF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666" w:type="dxa"/>
            <w:vMerge w:val="continue"/>
            <w:noWrap w:val="0"/>
            <w:vAlign w:val="center"/>
          </w:tcPr>
          <w:p w14:paraId="441A0B6A">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vMerge w:val="restart"/>
            <w:noWrap w:val="0"/>
            <w:vAlign w:val="center"/>
          </w:tcPr>
          <w:p w14:paraId="193B54B3">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8</w:t>
            </w:r>
            <w:r>
              <w:rPr>
                <w:rFonts w:hint="eastAsia" w:ascii="宋体" w:hAnsi="宋体" w:eastAsia="宋体" w:cs="Times New Roman"/>
                <w:bCs w:val="0"/>
                <w:color w:val="auto"/>
                <w:spacing w:val="0"/>
                <w:w w:val="100"/>
                <w:sz w:val="21"/>
                <w:szCs w:val="21"/>
              </w:rPr>
              <w:t>.4必须有竣工验收报告。</w:t>
            </w:r>
          </w:p>
        </w:tc>
        <w:tc>
          <w:tcPr>
            <w:tcW w:w="1591" w:type="dxa"/>
            <w:vMerge w:val="restart"/>
            <w:noWrap w:val="0"/>
            <w:vAlign w:val="center"/>
          </w:tcPr>
          <w:p w14:paraId="18737D1F">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《建设项目安全设施“三同时”监督管理办法》</w:t>
            </w:r>
          </w:p>
        </w:tc>
        <w:tc>
          <w:tcPr>
            <w:tcW w:w="946" w:type="dxa"/>
            <w:vMerge w:val="continue"/>
            <w:noWrap w:val="0"/>
            <w:vAlign w:val="center"/>
          </w:tcPr>
          <w:p w14:paraId="095AD6A8">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vMerge w:val="continue"/>
            <w:noWrap w:val="0"/>
            <w:vAlign w:val="center"/>
          </w:tcPr>
          <w:p w14:paraId="162A8986">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770" w:type="dxa"/>
            <w:vMerge w:val="continue"/>
            <w:noWrap w:val="0"/>
            <w:vAlign w:val="center"/>
          </w:tcPr>
          <w:p w14:paraId="4F97FA84">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850" w:type="dxa"/>
            <w:vMerge w:val="continue"/>
            <w:noWrap w:val="0"/>
            <w:vAlign w:val="center"/>
          </w:tcPr>
          <w:p w14:paraId="671EC05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642" w:type="dxa"/>
            <w:vMerge w:val="continue"/>
            <w:noWrap w:val="0"/>
            <w:vAlign w:val="center"/>
          </w:tcPr>
          <w:p w14:paraId="27978209">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r>
      <w:tr w14:paraId="0784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121F299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vMerge w:val="continue"/>
            <w:noWrap w:val="0"/>
            <w:vAlign w:val="center"/>
          </w:tcPr>
          <w:p w14:paraId="6ADA1A71">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1591" w:type="dxa"/>
            <w:vMerge w:val="continue"/>
            <w:noWrap w:val="0"/>
            <w:vAlign w:val="center"/>
          </w:tcPr>
          <w:p w14:paraId="7C7FEF5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46" w:type="dxa"/>
            <w:vMerge w:val="continue"/>
            <w:noWrap w:val="0"/>
            <w:vAlign w:val="center"/>
          </w:tcPr>
          <w:p w14:paraId="04B1F39D">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12506639">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无关项</w:t>
            </w:r>
          </w:p>
        </w:tc>
        <w:tc>
          <w:tcPr>
            <w:tcW w:w="770" w:type="dxa"/>
            <w:noWrap w:val="0"/>
            <w:vAlign w:val="center"/>
          </w:tcPr>
          <w:p w14:paraId="3730A798">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noWrap w:val="0"/>
            <w:vAlign w:val="center"/>
          </w:tcPr>
          <w:p w14:paraId="6BFE31C9">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58D5412F">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w:t>
            </w:r>
          </w:p>
        </w:tc>
      </w:tr>
      <w:tr w14:paraId="3790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4C774DD2">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68D99A6A">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8</w:t>
            </w:r>
            <w:r>
              <w:rPr>
                <w:rFonts w:hint="eastAsia" w:ascii="宋体" w:hAnsi="宋体" w:eastAsia="宋体" w:cs="Times New Roman"/>
                <w:bCs w:val="0"/>
                <w:color w:val="auto"/>
                <w:spacing w:val="0"/>
                <w:w w:val="100"/>
                <w:sz w:val="21"/>
                <w:szCs w:val="21"/>
              </w:rPr>
              <w:t>.5新建、改建、扩建工程项目安全设施必须经安监部门组织的验收。</w:t>
            </w:r>
          </w:p>
        </w:tc>
        <w:tc>
          <w:tcPr>
            <w:tcW w:w="1591" w:type="dxa"/>
            <w:noWrap w:val="0"/>
            <w:vAlign w:val="center"/>
          </w:tcPr>
          <w:p w14:paraId="4B5AF7D9">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《矿山安全法》第三十一条</w:t>
            </w:r>
          </w:p>
        </w:tc>
        <w:tc>
          <w:tcPr>
            <w:tcW w:w="946" w:type="dxa"/>
            <w:vMerge w:val="continue"/>
            <w:noWrap w:val="0"/>
            <w:vAlign w:val="center"/>
          </w:tcPr>
          <w:p w14:paraId="39A0E7B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4FA9CA7">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无关项</w:t>
            </w:r>
          </w:p>
        </w:tc>
        <w:tc>
          <w:tcPr>
            <w:tcW w:w="770" w:type="dxa"/>
            <w:noWrap w:val="0"/>
            <w:vAlign w:val="center"/>
          </w:tcPr>
          <w:p w14:paraId="1FB20A04">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2</w:t>
            </w:r>
          </w:p>
        </w:tc>
        <w:tc>
          <w:tcPr>
            <w:tcW w:w="850" w:type="dxa"/>
            <w:noWrap w:val="0"/>
            <w:vAlign w:val="center"/>
          </w:tcPr>
          <w:p w14:paraId="79B3EEE8">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0B51432C">
            <w:pPr>
              <w:pStyle w:val="40"/>
              <w:keepNext w:val="0"/>
              <w:keepLines w:val="0"/>
              <w:pageBreakBefore w:val="0"/>
              <w:widowControl w:val="0"/>
              <w:kinsoku/>
              <w:wordWrap/>
              <w:overflowPunct/>
              <w:topLinePunct w:val="0"/>
              <w:autoSpaceDE/>
              <w:autoSpaceDN/>
              <w:bidi w:val="0"/>
              <w:adjustRightInd/>
              <w:snapToGrid w:val="0"/>
              <w:spacing w:line="260" w:lineRule="exact"/>
              <w:ind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lang w:val="en-US" w:eastAsia="zh-CN"/>
              </w:rPr>
              <w:t>-</w:t>
            </w:r>
          </w:p>
        </w:tc>
      </w:tr>
      <w:tr w14:paraId="095B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666" w:type="dxa"/>
            <w:vMerge w:val="restart"/>
            <w:noWrap w:val="0"/>
            <w:vAlign w:val="center"/>
          </w:tcPr>
          <w:p w14:paraId="6365B839">
            <w:pPr>
              <w:keepNext w:val="0"/>
              <w:keepLines w:val="0"/>
              <w:pageBreakBefore w:val="0"/>
              <w:widowControl w:val="0"/>
              <w:numPr>
                <w:ilvl w:val="0"/>
                <w:numId w:val="5"/>
              </w:numPr>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施工单位安全管理</w:t>
            </w:r>
          </w:p>
          <w:p w14:paraId="15E02F6A">
            <w:pPr>
              <w:pStyle w:val="17"/>
              <w:numPr>
                <w:ilvl w:val="0"/>
                <w:numId w:val="0"/>
              </w:numPr>
              <w:ind w:leftChars="0"/>
              <w:jc w:val="left"/>
              <w:rPr>
                <w:rFonts w:hint="eastAsia" w:ascii="宋体" w:hAnsi="宋体" w:eastAsia="宋体" w:cs="Times New Roman"/>
                <w:bCs w:val="0"/>
                <w:color w:val="auto"/>
                <w:spacing w:val="0"/>
                <w:w w:val="100"/>
                <w:sz w:val="21"/>
                <w:szCs w:val="21"/>
              </w:rPr>
            </w:pPr>
            <w:r>
              <w:rPr>
                <w:rFonts w:hint="eastAsia" w:eastAsia="宋体" w:cs="Times New Roman"/>
                <w:bCs w:val="0"/>
                <w:color w:val="auto"/>
                <w:spacing w:val="0"/>
                <w:w w:val="100"/>
                <w:sz w:val="21"/>
                <w:szCs w:val="21"/>
                <w:lang w:val="en-US" w:eastAsia="zh-CN"/>
              </w:rPr>
              <w:t>2分</w:t>
            </w:r>
          </w:p>
        </w:tc>
        <w:tc>
          <w:tcPr>
            <w:tcW w:w="2962" w:type="dxa"/>
            <w:noWrap w:val="0"/>
            <w:vAlign w:val="center"/>
          </w:tcPr>
          <w:p w14:paraId="5A89FA4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9</w:t>
            </w:r>
            <w:r>
              <w:rPr>
                <w:rFonts w:hint="eastAsia" w:ascii="宋体" w:hAnsi="宋体" w:eastAsia="宋体" w:cs="Times New Roman"/>
                <w:bCs w:val="0"/>
                <w:color w:val="auto"/>
                <w:spacing w:val="0"/>
                <w:w w:val="100"/>
                <w:sz w:val="21"/>
                <w:szCs w:val="21"/>
              </w:rPr>
              <w:t>.1施工单位必须具备资质条件和取得安全生产许可证</w:t>
            </w:r>
          </w:p>
        </w:tc>
        <w:tc>
          <w:tcPr>
            <w:tcW w:w="1591" w:type="dxa"/>
            <w:noWrap w:val="0"/>
            <w:vAlign w:val="center"/>
          </w:tcPr>
          <w:p w14:paraId="76AD43E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w:t>
            </w:r>
          </w:p>
          <w:p w14:paraId="2BF61FE6">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第四十九条</w:t>
            </w:r>
          </w:p>
        </w:tc>
        <w:tc>
          <w:tcPr>
            <w:tcW w:w="946" w:type="dxa"/>
            <w:noWrap w:val="0"/>
            <w:vAlign w:val="center"/>
          </w:tcPr>
          <w:p w14:paraId="41D38D4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查有关资料</w:t>
            </w:r>
          </w:p>
        </w:tc>
        <w:tc>
          <w:tcPr>
            <w:tcW w:w="990" w:type="dxa"/>
            <w:noWrap w:val="0"/>
            <w:vAlign w:val="center"/>
          </w:tcPr>
          <w:p w14:paraId="2CC04970">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lang w:val="en-US" w:eastAsia="zh-CN"/>
              </w:rPr>
              <w:t>爆破作业</w:t>
            </w:r>
            <w:r>
              <w:rPr>
                <w:rFonts w:hint="eastAsia" w:ascii="宋体" w:hAnsi="宋体" w:eastAsia="宋体" w:cs="Times New Roman"/>
                <w:bCs w:val="0"/>
                <w:color w:val="auto"/>
                <w:spacing w:val="0"/>
                <w:w w:val="100"/>
                <w:sz w:val="21"/>
                <w:szCs w:val="21"/>
              </w:rPr>
              <w:t>单位具备资质条件</w:t>
            </w:r>
          </w:p>
        </w:tc>
        <w:tc>
          <w:tcPr>
            <w:tcW w:w="770" w:type="dxa"/>
            <w:noWrap w:val="0"/>
            <w:vAlign w:val="center"/>
          </w:tcPr>
          <w:p w14:paraId="58C4D71C">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p w14:paraId="6F060F8D">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49EC212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7BF9C57F">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29D8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66" w:type="dxa"/>
            <w:vMerge w:val="continue"/>
            <w:noWrap w:val="0"/>
            <w:vAlign w:val="center"/>
          </w:tcPr>
          <w:p w14:paraId="0423ECF5">
            <w:pPr>
              <w:keepNext w:val="0"/>
              <w:keepLines w:val="0"/>
              <w:pageBreakBefore w:val="0"/>
              <w:widowControl w:val="0"/>
              <w:kinsoku/>
              <w:wordWrap/>
              <w:overflowPunct/>
              <w:topLinePunct w:val="0"/>
              <w:autoSpaceDE/>
              <w:autoSpaceDN/>
              <w:bidi w:val="0"/>
              <w:adjustRightInd/>
              <w:spacing w:line="260" w:lineRule="exact"/>
              <w:jc w:val="left"/>
              <w:textAlignment w:val="auto"/>
              <w:rPr>
                <w:rFonts w:hint="eastAsia" w:ascii="宋体" w:hAnsi="宋体" w:eastAsia="宋体" w:cs="Times New Roman"/>
                <w:bCs w:val="0"/>
                <w:color w:val="auto"/>
                <w:spacing w:val="0"/>
                <w:w w:val="100"/>
                <w:sz w:val="21"/>
                <w:szCs w:val="21"/>
              </w:rPr>
            </w:pPr>
          </w:p>
        </w:tc>
        <w:tc>
          <w:tcPr>
            <w:tcW w:w="2962" w:type="dxa"/>
            <w:noWrap w:val="0"/>
            <w:vAlign w:val="center"/>
          </w:tcPr>
          <w:p w14:paraId="3F0267F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9</w:t>
            </w:r>
            <w:r>
              <w:rPr>
                <w:rFonts w:hint="eastAsia" w:ascii="宋体" w:hAnsi="宋体" w:eastAsia="宋体" w:cs="Times New Roman"/>
                <w:bCs w:val="0"/>
                <w:color w:val="auto"/>
                <w:spacing w:val="0"/>
                <w:w w:val="100"/>
                <w:sz w:val="21"/>
                <w:szCs w:val="21"/>
              </w:rPr>
              <w:t>.2和建设单位签订安全生产管理协议</w:t>
            </w:r>
          </w:p>
        </w:tc>
        <w:tc>
          <w:tcPr>
            <w:tcW w:w="1591" w:type="dxa"/>
            <w:noWrap w:val="0"/>
            <w:vAlign w:val="center"/>
          </w:tcPr>
          <w:p w14:paraId="4026203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《安全生产法》</w:t>
            </w:r>
          </w:p>
          <w:p w14:paraId="19F171AA">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第四十九条</w:t>
            </w:r>
          </w:p>
        </w:tc>
        <w:tc>
          <w:tcPr>
            <w:tcW w:w="946" w:type="dxa"/>
            <w:noWrap w:val="0"/>
            <w:vAlign w:val="center"/>
          </w:tcPr>
          <w:p w14:paraId="1EDD3DCF">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查有关资料</w:t>
            </w:r>
          </w:p>
        </w:tc>
        <w:tc>
          <w:tcPr>
            <w:tcW w:w="990" w:type="dxa"/>
            <w:noWrap w:val="0"/>
            <w:vAlign w:val="center"/>
          </w:tcPr>
          <w:p w14:paraId="3F32C51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有协议</w:t>
            </w:r>
          </w:p>
        </w:tc>
        <w:tc>
          <w:tcPr>
            <w:tcW w:w="770" w:type="dxa"/>
            <w:noWrap w:val="0"/>
            <w:vAlign w:val="center"/>
          </w:tcPr>
          <w:p w14:paraId="6BA9FB28">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c>
          <w:tcPr>
            <w:tcW w:w="850" w:type="dxa"/>
            <w:noWrap w:val="0"/>
            <w:vAlign w:val="center"/>
          </w:tcPr>
          <w:p w14:paraId="224FEB81">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不符合不得分</w:t>
            </w:r>
          </w:p>
        </w:tc>
        <w:tc>
          <w:tcPr>
            <w:tcW w:w="642" w:type="dxa"/>
            <w:noWrap w:val="0"/>
            <w:vAlign w:val="center"/>
          </w:tcPr>
          <w:p w14:paraId="5BB8F266">
            <w:pPr>
              <w:keepNext w:val="0"/>
              <w:keepLines w:val="0"/>
              <w:pageBreakBefore w:val="0"/>
              <w:widowControl w:val="0"/>
              <w:kinsoku/>
              <w:wordWrap/>
              <w:overflowPunct/>
              <w:topLinePunct w:val="0"/>
              <w:autoSpaceDE/>
              <w:autoSpaceDN/>
              <w:bidi w:val="0"/>
              <w:adjustRightInd/>
              <w:spacing w:line="260" w:lineRule="exact"/>
              <w:ind w:left="0" w:leftChars="0" w:firstLine="210" w:firstLineChars="10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1</w:t>
            </w:r>
          </w:p>
        </w:tc>
      </w:tr>
      <w:tr w14:paraId="7A8C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666" w:type="dxa"/>
            <w:noWrap w:val="0"/>
            <w:vAlign w:val="center"/>
          </w:tcPr>
          <w:p w14:paraId="53254DA3">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r>
              <w:rPr>
                <w:rFonts w:hint="eastAsia" w:ascii="宋体" w:hAnsi="宋体" w:eastAsia="宋体" w:cs="Times New Roman"/>
                <w:bCs w:val="0"/>
                <w:color w:val="auto"/>
                <w:spacing w:val="0"/>
                <w:w w:val="100"/>
                <w:sz w:val="21"/>
                <w:szCs w:val="21"/>
              </w:rPr>
              <w:t>小计</w:t>
            </w:r>
          </w:p>
        </w:tc>
        <w:tc>
          <w:tcPr>
            <w:tcW w:w="2962" w:type="dxa"/>
            <w:noWrap w:val="0"/>
            <w:vAlign w:val="center"/>
          </w:tcPr>
          <w:p w14:paraId="51783A6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总分</w:t>
            </w: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2</w:t>
            </w:r>
            <w:r>
              <w:rPr>
                <w:rFonts w:hint="eastAsia" w:ascii="宋体" w:hAnsi="宋体" w:eastAsia="宋体" w:cs="Times New Roman"/>
                <w:bCs w:val="0"/>
                <w:color w:val="auto"/>
                <w:spacing w:val="0"/>
                <w:w w:val="100"/>
                <w:sz w:val="21"/>
                <w:szCs w:val="21"/>
              </w:rPr>
              <w:t>4</w:t>
            </w:r>
          </w:p>
        </w:tc>
        <w:tc>
          <w:tcPr>
            <w:tcW w:w="1591" w:type="dxa"/>
            <w:noWrap w:val="0"/>
            <w:vAlign w:val="center"/>
          </w:tcPr>
          <w:p w14:paraId="624C8AE2">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p>
        </w:tc>
        <w:tc>
          <w:tcPr>
            <w:tcW w:w="946" w:type="dxa"/>
            <w:noWrap w:val="0"/>
            <w:vAlign w:val="center"/>
          </w:tcPr>
          <w:p w14:paraId="5F38E357">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p>
        </w:tc>
        <w:tc>
          <w:tcPr>
            <w:tcW w:w="990" w:type="dxa"/>
            <w:noWrap w:val="0"/>
            <w:vAlign w:val="center"/>
          </w:tcPr>
          <w:p w14:paraId="6AC7496B">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p>
        </w:tc>
        <w:tc>
          <w:tcPr>
            <w:tcW w:w="770" w:type="dxa"/>
            <w:noWrap w:val="0"/>
            <w:vAlign w:val="center"/>
          </w:tcPr>
          <w:p w14:paraId="44630D7D">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lang w:eastAsia="zh-CN"/>
              </w:rPr>
            </w:pPr>
            <w:r>
              <w:rPr>
                <w:rFonts w:hint="eastAsia" w:ascii="宋体" w:hAnsi="宋体" w:eastAsia="宋体" w:cs="Times New Roman"/>
                <w:bCs w:val="0"/>
                <w:color w:val="auto"/>
                <w:spacing w:val="0"/>
                <w:w w:val="100"/>
                <w:sz w:val="21"/>
                <w:szCs w:val="21"/>
              </w:rPr>
              <w:t>1</w:t>
            </w:r>
            <w:r>
              <w:rPr>
                <w:rFonts w:hint="eastAsia" w:ascii="宋体" w:hAnsi="宋体" w:eastAsia="宋体" w:cs="Times New Roman"/>
                <w:bCs w:val="0"/>
                <w:color w:val="auto"/>
                <w:spacing w:val="0"/>
                <w:w w:val="100"/>
                <w:sz w:val="21"/>
                <w:szCs w:val="21"/>
                <w:lang w:val="en-US" w:eastAsia="zh-CN"/>
              </w:rPr>
              <w:t>1</w:t>
            </w:r>
            <w:r>
              <w:rPr>
                <w:rFonts w:hint="eastAsia" w:cs="Times New Roman"/>
                <w:bCs w:val="0"/>
                <w:color w:val="auto"/>
                <w:spacing w:val="0"/>
                <w:w w:val="100"/>
                <w:sz w:val="21"/>
                <w:szCs w:val="21"/>
                <w:lang w:val="en-US" w:eastAsia="zh-CN"/>
              </w:rPr>
              <w:t>4</w:t>
            </w:r>
          </w:p>
        </w:tc>
        <w:tc>
          <w:tcPr>
            <w:tcW w:w="850" w:type="dxa"/>
            <w:noWrap w:val="0"/>
            <w:vAlign w:val="center"/>
          </w:tcPr>
          <w:p w14:paraId="24EE5C0C">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eastAsia" w:ascii="宋体" w:hAnsi="宋体" w:eastAsia="宋体" w:cs="Times New Roman"/>
                <w:bCs w:val="0"/>
                <w:color w:val="auto"/>
                <w:spacing w:val="0"/>
                <w:w w:val="100"/>
                <w:sz w:val="21"/>
                <w:szCs w:val="21"/>
              </w:rPr>
            </w:pPr>
          </w:p>
        </w:tc>
        <w:tc>
          <w:tcPr>
            <w:tcW w:w="642" w:type="dxa"/>
            <w:noWrap w:val="0"/>
            <w:vAlign w:val="center"/>
          </w:tcPr>
          <w:p w14:paraId="67A68268">
            <w:pPr>
              <w:keepNext w:val="0"/>
              <w:keepLines w:val="0"/>
              <w:pageBreakBefore w:val="0"/>
              <w:widowControl w:val="0"/>
              <w:kinsoku/>
              <w:wordWrap/>
              <w:overflowPunct/>
              <w:topLinePunct w:val="0"/>
              <w:autoSpaceDE/>
              <w:autoSpaceDN/>
              <w:bidi w:val="0"/>
              <w:adjustRightInd/>
              <w:spacing w:line="260" w:lineRule="exact"/>
              <w:ind w:left="0" w:leftChars="0" w:firstLine="0" w:firstLineChars="0"/>
              <w:jc w:val="left"/>
              <w:textAlignment w:val="auto"/>
              <w:rPr>
                <w:rFonts w:hint="default" w:ascii="宋体" w:hAnsi="宋体" w:eastAsia="宋体" w:cs="Times New Roman"/>
                <w:bCs w:val="0"/>
                <w:color w:val="auto"/>
                <w:spacing w:val="0"/>
                <w:w w:val="100"/>
                <w:sz w:val="21"/>
                <w:szCs w:val="21"/>
                <w:lang w:val="en-US" w:eastAsia="zh-CN"/>
              </w:rPr>
            </w:pPr>
            <w:r>
              <w:rPr>
                <w:rFonts w:hint="eastAsia" w:ascii="宋体" w:hAnsi="宋体" w:eastAsia="宋体" w:cs="Times New Roman"/>
                <w:bCs w:val="0"/>
                <w:color w:val="auto"/>
                <w:spacing w:val="0"/>
                <w:w w:val="100"/>
                <w:sz w:val="21"/>
                <w:szCs w:val="21"/>
                <w:lang w:val="en-US" w:eastAsia="zh-CN"/>
              </w:rPr>
              <w:t>10</w:t>
            </w:r>
            <w:r>
              <w:rPr>
                <w:rFonts w:hint="eastAsia" w:cs="Times New Roman"/>
                <w:bCs w:val="0"/>
                <w:color w:val="auto"/>
                <w:spacing w:val="0"/>
                <w:w w:val="100"/>
                <w:sz w:val="21"/>
                <w:szCs w:val="21"/>
                <w:lang w:val="en-US" w:eastAsia="zh-CN"/>
              </w:rPr>
              <w:t>3</w:t>
            </w:r>
          </w:p>
        </w:tc>
      </w:tr>
    </w:tbl>
    <w:p w14:paraId="37008C2A">
      <w:pPr>
        <w:pStyle w:val="5"/>
        <w:bidi w:val="0"/>
        <w:rPr>
          <w:rFonts w:hint="eastAsia"/>
          <w:color w:val="auto"/>
          <w:lang w:val="en-US" w:eastAsia="zh-CN"/>
        </w:rPr>
      </w:pPr>
      <w:bookmarkStart w:id="799" w:name="_Toc2389"/>
      <w:bookmarkStart w:id="800" w:name="_Toc20943"/>
      <w:bookmarkStart w:id="801" w:name="_Toc28790"/>
      <w:bookmarkStart w:id="802" w:name="_Toc5472"/>
      <w:r>
        <w:rPr>
          <w:rFonts w:hint="eastAsia"/>
          <w:color w:val="auto"/>
          <w:lang w:val="en-US" w:eastAsia="zh-CN"/>
        </w:rPr>
        <w:t>5.1.2 单元评价小结</w:t>
      </w:r>
      <w:bookmarkEnd w:id="799"/>
      <w:bookmarkEnd w:id="800"/>
      <w:bookmarkEnd w:id="801"/>
      <w:bookmarkEnd w:id="802"/>
    </w:p>
    <w:p w14:paraId="50E9CEBA">
      <w:pPr>
        <w:bidi w:val="0"/>
        <w:rPr>
          <w:rFonts w:hint="eastAsia"/>
          <w:color w:val="auto"/>
        </w:rPr>
      </w:pPr>
      <w:r>
        <w:rPr>
          <w:rFonts w:hint="eastAsia"/>
          <w:color w:val="auto"/>
        </w:rPr>
        <w:t>1）该矿</w:t>
      </w:r>
      <w:r>
        <w:rPr>
          <w:rFonts w:hint="eastAsia"/>
          <w:color w:val="auto"/>
          <w:lang w:val="en-US" w:eastAsia="zh-CN"/>
        </w:rPr>
        <w:t>设置了</w:t>
      </w:r>
      <w:r>
        <w:rPr>
          <w:rFonts w:hint="eastAsia"/>
          <w:color w:val="auto"/>
        </w:rPr>
        <w:t>安全管理机构配置，</w:t>
      </w:r>
      <w:r>
        <w:rPr>
          <w:rFonts w:hint="eastAsia"/>
          <w:color w:val="auto"/>
          <w:lang w:val="en-US" w:eastAsia="zh-CN"/>
        </w:rPr>
        <w:t>制定了</w:t>
      </w:r>
      <w:r>
        <w:rPr>
          <w:rFonts w:hint="eastAsia"/>
          <w:color w:val="auto"/>
        </w:rPr>
        <w:t>安全生产责任制、</w:t>
      </w:r>
      <w:r>
        <w:rPr>
          <w:rFonts w:hint="eastAsia"/>
          <w:color w:val="auto"/>
          <w:lang w:val="en-US" w:eastAsia="zh-CN"/>
        </w:rPr>
        <w:t>安全生产</w:t>
      </w:r>
      <w:r>
        <w:rPr>
          <w:rFonts w:hint="eastAsia"/>
          <w:color w:val="auto"/>
        </w:rPr>
        <w:t>规章制度</w:t>
      </w:r>
      <w:r>
        <w:rPr>
          <w:rFonts w:hint="eastAsia"/>
          <w:color w:val="auto"/>
          <w:lang w:val="en-US" w:eastAsia="zh-CN"/>
        </w:rPr>
        <w:t>和安全</w:t>
      </w:r>
      <w:r>
        <w:rPr>
          <w:rFonts w:hint="eastAsia"/>
          <w:color w:val="auto"/>
        </w:rPr>
        <w:t>操作规程，有实测的图纸，建立了应急救援组织，签订</w:t>
      </w:r>
      <w:r>
        <w:rPr>
          <w:rFonts w:hint="eastAsia"/>
          <w:color w:val="auto"/>
          <w:lang w:val="en-US" w:eastAsia="zh-CN"/>
        </w:rPr>
        <w:t>了</w:t>
      </w:r>
      <w:r>
        <w:rPr>
          <w:rFonts w:hint="eastAsia"/>
          <w:color w:val="auto"/>
        </w:rPr>
        <w:t>非煤矿</w:t>
      </w:r>
      <w:r>
        <w:rPr>
          <w:rFonts w:hint="eastAsia"/>
          <w:color w:val="auto"/>
          <w:lang w:val="en-US" w:eastAsia="zh-CN"/>
        </w:rPr>
        <w:t>生产事故</w:t>
      </w:r>
      <w:r>
        <w:rPr>
          <w:rFonts w:hint="eastAsia"/>
          <w:color w:val="auto"/>
        </w:rPr>
        <w:t>救护协议，矿山应急救援预案已经过评审备案</w:t>
      </w:r>
      <w:r>
        <w:rPr>
          <w:rFonts w:hint="eastAsia"/>
          <w:color w:val="auto"/>
          <w:lang w:eastAsia="zh-CN"/>
        </w:rPr>
        <w:t>，</w:t>
      </w:r>
      <w:r>
        <w:rPr>
          <w:rFonts w:hint="eastAsia"/>
          <w:color w:val="auto"/>
          <w:lang w:val="en-US" w:eastAsia="zh-CN"/>
        </w:rPr>
        <w:t>开展</w:t>
      </w:r>
      <w:r>
        <w:rPr>
          <w:rFonts w:hint="eastAsia"/>
          <w:color w:val="auto"/>
          <w:lang w:eastAsia="zh-CN"/>
        </w:rPr>
        <w:t>了</w:t>
      </w:r>
      <w:r>
        <w:rPr>
          <w:rFonts w:hint="eastAsia"/>
          <w:color w:val="auto"/>
          <w:lang w:val="en-US" w:eastAsia="zh-CN"/>
        </w:rPr>
        <w:t>地表压风机房火灾</w:t>
      </w:r>
      <w:r>
        <w:rPr>
          <w:rFonts w:hint="eastAsia"/>
          <w:color w:val="auto"/>
          <w:lang w:eastAsia="zh-CN"/>
        </w:rPr>
        <w:t>事故应急救援实战演练</w:t>
      </w:r>
      <w:r>
        <w:rPr>
          <w:rFonts w:hint="eastAsia"/>
          <w:color w:val="auto"/>
        </w:rPr>
        <w:t>。</w:t>
      </w:r>
    </w:p>
    <w:p w14:paraId="057F1143">
      <w:pPr>
        <w:bidi w:val="0"/>
        <w:rPr>
          <w:rFonts w:hint="eastAsia" w:ascii="宋体" w:hAnsi="宋体" w:eastAsia="宋体"/>
          <w:color w:val="auto"/>
          <w:lang w:val="en-US" w:eastAsia="zh-CN"/>
        </w:rPr>
      </w:pPr>
      <w:r>
        <w:rPr>
          <w:rFonts w:hint="eastAsia" w:ascii="宋体" w:hAnsi="宋体" w:eastAsia="宋体"/>
          <w:color w:val="auto"/>
          <w:lang w:val="en-US" w:eastAsia="zh-CN"/>
        </w:rPr>
        <w:t>运用安全检查表对矿山综合管理进行评价，综合安全管理单元总分 124分，无关项10分，应得分114分，扣分1</w:t>
      </w:r>
      <w:r>
        <w:rPr>
          <w:rFonts w:hint="eastAsia"/>
          <w:color w:val="auto"/>
          <w:lang w:val="en-US" w:eastAsia="zh-CN"/>
        </w:rPr>
        <w:t>0</w:t>
      </w:r>
      <w:r>
        <w:rPr>
          <w:rFonts w:hint="eastAsia" w:ascii="宋体" w:hAnsi="宋体" w:eastAsia="宋体"/>
          <w:color w:val="auto"/>
          <w:lang w:val="en-US" w:eastAsia="zh-CN"/>
        </w:rPr>
        <w:t>分，实得分10</w:t>
      </w:r>
      <w:r>
        <w:rPr>
          <w:rFonts w:hint="eastAsia"/>
          <w:color w:val="auto"/>
          <w:lang w:val="en-US" w:eastAsia="zh-CN"/>
        </w:rPr>
        <w:t>3</w:t>
      </w:r>
      <w:r>
        <w:rPr>
          <w:rFonts w:hint="eastAsia" w:ascii="宋体" w:hAnsi="宋体" w:eastAsia="宋体"/>
          <w:color w:val="auto"/>
          <w:lang w:val="en-US" w:eastAsia="zh-CN"/>
        </w:rPr>
        <w:t>分，得分率为</w:t>
      </w:r>
      <w:r>
        <w:rPr>
          <w:rFonts w:hint="eastAsia"/>
          <w:color w:val="auto"/>
          <w:lang w:val="en-US" w:eastAsia="zh-CN"/>
        </w:rPr>
        <w:t>90.35</w:t>
      </w:r>
      <w:r>
        <w:rPr>
          <w:rFonts w:hint="eastAsia" w:ascii="宋体" w:hAnsi="宋体" w:eastAsia="宋体"/>
          <w:color w:val="auto"/>
          <w:lang w:val="en-US" w:eastAsia="zh-CN"/>
        </w:rPr>
        <w:t>%，满足安全管理要求。</w:t>
      </w:r>
    </w:p>
    <w:p w14:paraId="75A5BC63">
      <w:pPr>
        <w:bidi w:val="0"/>
        <w:rPr>
          <w:rFonts w:hint="eastAsia" w:ascii="宋体" w:hAnsi="宋体" w:eastAsia="宋体"/>
          <w:color w:val="auto"/>
          <w:lang w:val="en-US" w:eastAsia="zh-CN"/>
        </w:rPr>
      </w:pPr>
      <w:r>
        <w:rPr>
          <w:rFonts w:hint="eastAsia" w:ascii="宋体" w:hAnsi="宋体" w:eastAsia="宋体"/>
          <w:color w:val="auto"/>
          <w:lang w:val="en-US" w:eastAsia="zh-CN"/>
        </w:rPr>
        <w:t>存在问题：</w:t>
      </w:r>
    </w:p>
    <w:p w14:paraId="7BB98930">
      <w:pPr>
        <w:bidi w:val="0"/>
        <w:rPr>
          <w:rFonts w:hint="default" w:ascii="宋体" w:hAnsi="宋体" w:eastAsia="宋体"/>
          <w:color w:val="auto"/>
          <w:lang w:val="en-US" w:eastAsia="zh-CN"/>
        </w:rPr>
      </w:pPr>
      <w:r>
        <w:rPr>
          <w:rFonts w:hint="eastAsia"/>
          <w:color w:val="auto"/>
          <w:lang w:val="en-US" w:eastAsia="zh-CN"/>
        </w:rPr>
        <w:t>1</w:t>
      </w:r>
      <w:r>
        <w:rPr>
          <w:rFonts w:hint="eastAsia" w:ascii="宋体" w:hAnsi="宋体" w:eastAsia="宋体"/>
          <w:color w:val="auto"/>
          <w:lang w:val="en-US" w:eastAsia="zh-CN"/>
        </w:rPr>
        <w:t>）</w:t>
      </w:r>
      <w:r>
        <w:rPr>
          <w:rFonts w:hint="default" w:ascii="宋体" w:hAnsi="宋体" w:eastAsia="宋体"/>
          <w:color w:val="auto"/>
          <w:lang w:val="en-US" w:eastAsia="zh-CN"/>
        </w:rPr>
        <w:t>未见图纸技术资料更新制度</w:t>
      </w:r>
      <w:r>
        <w:rPr>
          <w:rFonts w:hint="eastAsia" w:ascii="宋体" w:hAnsi="宋体" w:eastAsia="宋体"/>
          <w:color w:val="auto"/>
          <w:lang w:val="en-US" w:eastAsia="zh-CN"/>
        </w:rPr>
        <w:t>、人员出入井管理制度、安全技术措施专项经费制度。</w:t>
      </w:r>
    </w:p>
    <w:p w14:paraId="1E23C95C">
      <w:pPr>
        <w:bidi w:val="0"/>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2）事故应急救援演练次数偏少。</w:t>
      </w:r>
    </w:p>
    <w:p w14:paraId="2F089F2A">
      <w:pPr>
        <w:bidi w:val="0"/>
        <w:rPr>
          <w:rFonts w:hint="eastAsia" w:ascii="宋体" w:hAnsi="宋体" w:eastAsia="宋体"/>
          <w:color w:val="auto"/>
          <w:lang w:val="en-US" w:eastAsia="zh-CN"/>
        </w:rPr>
      </w:pPr>
      <w:r>
        <w:rPr>
          <w:rFonts w:hint="eastAsia"/>
          <w:color w:val="auto"/>
          <w:lang w:val="en-US" w:eastAsia="zh-CN"/>
        </w:rPr>
        <w:t>3）</w:t>
      </w:r>
      <w:r>
        <w:rPr>
          <w:rFonts w:hint="eastAsia" w:ascii="宋体" w:hAnsi="宋体" w:eastAsia="宋体"/>
          <w:color w:val="auto"/>
          <w:lang w:val="en-US" w:eastAsia="zh-CN"/>
        </w:rPr>
        <w:t>未见应急救援设备、器材配备定期维护、保养记录。</w:t>
      </w:r>
    </w:p>
    <w:p w14:paraId="25873B9F">
      <w:pPr>
        <w:pStyle w:val="4"/>
        <w:bidi w:val="0"/>
        <w:rPr>
          <w:rFonts w:hint="eastAsia"/>
          <w:color w:val="auto"/>
          <w:lang w:val="en-US" w:eastAsia="zh-CN"/>
        </w:rPr>
      </w:pPr>
      <w:bookmarkStart w:id="803" w:name="_Toc22842"/>
      <w:bookmarkStart w:id="804" w:name="_Toc24291"/>
      <w:bookmarkStart w:id="805" w:name="_Toc29228"/>
      <w:bookmarkStart w:id="806" w:name="_Toc25252"/>
      <w:bookmarkStart w:id="807" w:name="_Toc8317"/>
      <w:bookmarkStart w:id="808" w:name="_Toc22071"/>
      <w:bookmarkStart w:id="809" w:name="_Toc26857"/>
      <w:bookmarkStart w:id="810" w:name="_Toc13018"/>
      <w:bookmarkStart w:id="811" w:name="_Toc8461"/>
      <w:r>
        <w:rPr>
          <w:rFonts w:hint="eastAsia"/>
          <w:color w:val="auto"/>
          <w:lang w:val="en-US" w:eastAsia="zh-CN"/>
        </w:rPr>
        <w:t>5.2 开采综合单元</w:t>
      </w:r>
      <w:bookmarkEnd w:id="803"/>
      <w:bookmarkEnd w:id="804"/>
      <w:bookmarkEnd w:id="805"/>
      <w:bookmarkEnd w:id="806"/>
      <w:bookmarkEnd w:id="807"/>
      <w:bookmarkEnd w:id="808"/>
      <w:bookmarkEnd w:id="809"/>
      <w:bookmarkEnd w:id="810"/>
      <w:bookmarkEnd w:id="811"/>
    </w:p>
    <w:p w14:paraId="345B6658">
      <w:pPr>
        <w:pStyle w:val="5"/>
        <w:bidi w:val="0"/>
        <w:rPr>
          <w:rFonts w:hint="eastAsia"/>
          <w:color w:val="auto"/>
          <w:lang w:val="en-US" w:eastAsia="zh-CN"/>
        </w:rPr>
      </w:pPr>
      <w:bookmarkStart w:id="812" w:name="_Toc31060"/>
      <w:bookmarkStart w:id="813" w:name="_Toc4264"/>
      <w:bookmarkStart w:id="814" w:name="_Toc24792"/>
      <w:bookmarkStart w:id="815" w:name="_Toc32377"/>
      <w:r>
        <w:rPr>
          <w:rFonts w:hint="eastAsia"/>
          <w:color w:val="auto"/>
          <w:lang w:val="en-US" w:eastAsia="zh-CN"/>
        </w:rPr>
        <w:t>5.2.1 安全检查表评价</w:t>
      </w:r>
      <w:bookmarkEnd w:id="812"/>
      <w:bookmarkEnd w:id="813"/>
      <w:bookmarkEnd w:id="814"/>
      <w:bookmarkEnd w:id="815"/>
    </w:p>
    <w:p w14:paraId="14F15D7A">
      <w:pPr>
        <w:bidi w:val="0"/>
        <w:rPr>
          <w:rFonts w:hint="eastAsia"/>
          <w:color w:val="auto"/>
          <w:lang w:val="en-US" w:eastAsia="zh-CN"/>
        </w:rPr>
      </w:pPr>
      <w:r>
        <w:rPr>
          <w:rFonts w:hint="eastAsia"/>
          <w:color w:val="auto"/>
          <w:lang w:val="en-US" w:eastAsia="zh-CN"/>
        </w:rPr>
        <w:t>矿山盲斜井从PD270中段掘进至250m,未形成中段开拓系统，且已砌墙封闭，故不对斜井作评价。采用安全检查表分析法对开采综合单元进行分析评价，见表5.2-1。</w:t>
      </w:r>
    </w:p>
    <w:p w14:paraId="1F8637F1">
      <w:pPr>
        <w:bidi w:val="0"/>
        <w:jc w:val="center"/>
        <w:rPr>
          <w:rFonts w:hint="eastAsia"/>
          <w:color w:val="auto"/>
        </w:rPr>
      </w:pPr>
      <w:r>
        <w:rPr>
          <w:rFonts w:hint="eastAsia"/>
          <w:color w:val="auto"/>
        </w:rPr>
        <w:t>表 5</w:t>
      </w:r>
      <w:r>
        <w:rPr>
          <w:rFonts w:hint="eastAsia"/>
          <w:color w:val="auto"/>
          <w:lang w:val="en-US" w:eastAsia="zh-CN"/>
        </w:rPr>
        <w:t>.2</w:t>
      </w:r>
      <w:r>
        <w:rPr>
          <w:rFonts w:hint="eastAsia"/>
          <w:color w:val="auto"/>
        </w:rPr>
        <w:t>-</w:t>
      </w:r>
      <w:r>
        <w:rPr>
          <w:rFonts w:hint="eastAsia"/>
          <w:color w:val="auto"/>
          <w:lang w:val="en-US" w:eastAsia="zh-CN"/>
        </w:rPr>
        <w:t>1</w:t>
      </w:r>
      <w:r>
        <w:rPr>
          <w:rFonts w:hint="eastAsia"/>
          <w:color w:val="auto"/>
        </w:rPr>
        <w:t xml:space="preserve"> 开采综合单元安全检查表</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561"/>
        <w:gridCol w:w="1551"/>
        <w:gridCol w:w="1098"/>
        <w:gridCol w:w="941"/>
        <w:gridCol w:w="757"/>
        <w:gridCol w:w="863"/>
        <w:gridCol w:w="738"/>
      </w:tblGrid>
      <w:tr w14:paraId="198C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blHeader/>
          <w:jc w:val="center"/>
        </w:trPr>
        <w:tc>
          <w:tcPr>
            <w:tcW w:w="418" w:type="pct"/>
            <w:noWrap w:val="0"/>
            <w:vAlign w:val="center"/>
          </w:tcPr>
          <w:p w14:paraId="59E2F8D2">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检查</w:t>
            </w:r>
          </w:p>
          <w:p w14:paraId="5F25A0A4">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项目</w:t>
            </w:r>
          </w:p>
        </w:tc>
        <w:tc>
          <w:tcPr>
            <w:tcW w:w="1378" w:type="pct"/>
            <w:noWrap w:val="0"/>
            <w:vAlign w:val="center"/>
          </w:tcPr>
          <w:p w14:paraId="17B7ACA5">
            <w:pPr>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检查内容</w:t>
            </w:r>
          </w:p>
        </w:tc>
        <w:tc>
          <w:tcPr>
            <w:tcW w:w="835" w:type="pct"/>
            <w:noWrap w:val="0"/>
            <w:vAlign w:val="center"/>
          </w:tcPr>
          <w:p w14:paraId="088958D0">
            <w:pPr>
              <w:keepNext w:val="0"/>
              <w:keepLines w:val="0"/>
              <w:pageBreakBefore w:val="0"/>
              <w:kinsoku/>
              <w:wordWrap/>
              <w:overflowPunct/>
              <w:topLinePunct w:val="0"/>
              <w:autoSpaceDE/>
              <w:autoSpaceDN/>
              <w:bidi w:val="0"/>
              <w:adjustRightInd/>
              <w:snapToGrid/>
              <w:spacing w:line="320" w:lineRule="exact"/>
              <w:ind w:left="0" w:leftChars="0" w:firstLine="210" w:firstLineChars="10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检查依据</w:t>
            </w:r>
          </w:p>
        </w:tc>
        <w:tc>
          <w:tcPr>
            <w:tcW w:w="591" w:type="pct"/>
            <w:noWrap w:val="0"/>
            <w:vAlign w:val="center"/>
          </w:tcPr>
          <w:p w14:paraId="41A96D7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检查方法及地点</w:t>
            </w:r>
          </w:p>
        </w:tc>
        <w:tc>
          <w:tcPr>
            <w:tcW w:w="506" w:type="pct"/>
            <w:noWrap w:val="0"/>
            <w:vAlign w:val="center"/>
          </w:tcPr>
          <w:p w14:paraId="6877B5AA">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检查</w:t>
            </w:r>
          </w:p>
          <w:p w14:paraId="5418FEC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记录</w:t>
            </w:r>
          </w:p>
        </w:tc>
        <w:tc>
          <w:tcPr>
            <w:tcW w:w="407" w:type="pct"/>
            <w:noWrap w:val="0"/>
            <w:vAlign w:val="center"/>
          </w:tcPr>
          <w:p w14:paraId="2E81ACC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标准</w:t>
            </w:r>
          </w:p>
          <w:p w14:paraId="62C5686F">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分值</w:t>
            </w:r>
          </w:p>
        </w:tc>
        <w:tc>
          <w:tcPr>
            <w:tcW w:w="464" w:type="pct"/>
            <w:noWrap w:val="0"/>
            <w:vAlign w:val="center"/>
          </w:tcPr>
          <w:p w14:paraId="413776F4">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评分</w:t>
            </w:r>
          </w:p>
          <w:p w14:paraId="0FFD1203">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标准</w:t>
            </w:r>
          </w:p>
        </w:tc>
        <w:tc>
          <w:tcPr>
            <w:tcW w:w="397" w:type="pct"/>
            <w:noWrap w:val="0"/>
            <w:vAlign w:val="center"/>
          </w:tcPr>
          <w:p w14:paraId="6BC36226">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检查结果</w:t>
            </w:r>
          </w:p>
        </w:tc>
      </w:tr>
      <w:tr w14:paraId="75D5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418" w:type="pct"/>
            <w:vMerge w:val="restart"/>
            <w:noWrap w:val="0"/>
            <w:vAlign w:val="center"/>
          </w:tcPr>
          <w:p w14:paraId="22BF57E5">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1、一般规定</w:t>
            </w:r>
          </w:p>
          <w:p w14:paraId="6B437433">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33分</w:t>
            </w:r>
          </w:p>
        </w:tc>
        <w:tc>
          <w:tcPr>
            <w:tcW w:w="1378" w:type="pct"/>
            <w:noWrap w:val="0"/>
            <w:vAlign w:val="center"/>
          </w:tcPr>
          <w:p w14:paraId="76E57B5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1.1提升竖井作为安全出口时，除装有两部在动力上互不依赖的提升设备、且提升机均为双回路供电的竖井以外，必须有保障行人安全的梯子间，梯子间架设符合《规程》要求；</w:t>
            </w:r>
          </w:p>
        </w:tc>
        <w:tc>
          <w:tcPr>
            <w:tcW w:w="835" w:type="pct"/>
            <w:noWrap w:val="0"/>
            <w:vAlign w:val="center"/>
          </w:tcPr>
          <w:p w14:paraId="3E8315E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《金属非金属矿山安全规程》第6.1.1.4条、6.1.1.3条、6.1.1.4条</w:t>
            </w:r>
          </w:p>
        </w:tc>
        <w:tc>
          <w:tcPr>
            <w:tcW w:w="591" w:type="pct"/>
            <w:noWrap w:val="0"/>
            <w:vAlign w:val="center"/>
          </w:tcPr>
          <w:p w14:paraId="671F2C27">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rPr>
              <w:t>现场检查</w:t>
            </w:r>
          </w:p>
        </w:tc>
        <w:tc>
          <w:tcPr>
            <w:tcW w:w="506" w:type="pct"/>
            <w:noWrap w:val="0"/>
            <w:vAlign w:val="top"/>
          </w:tcPr>
          <w:p w14:paraId="2F8175CC">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p w14:paraId="1B7C0447">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p w14:paraId="176DFFF7">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040FCDF6">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6F46315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lang w:val="en-US" w:eastAsia="zh-CN"/>
              </w:rPr>
              <w:t>无关项</w:t>
            </w:r>
          </w:p>
        </w:tc>
        <w:tc>
          <w:tcPr>
            <w:tcW w:w="407" w:type="pct"/>
            <w:noWrap w:val="0"/>
            <w:vAlign w:val="center"/>
          </w:tcPr>
          <w:p w14:paraId="6AEF9F9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71F9672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无梯子间不得分</w:t>
            </w:r>
          </w:p>
        </w:tc>
        <w:tc>
          <w:tcPr>
            <w:tcW w:w="397" w:type="pct"/>
            <w:noWrap w:val="0"/>
            <w:vAlign w:val="center"/>
          </w:tcPr>
          <w:p w14:paraId="3AD7CF3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1895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jc w:val="center"/>
        </w:trPr>
        <w:tc>
          <w:tcPr>
            <w:tcW w:w="418" w:type="pct"/>
            <w:vMerge w:val="continue"/>
            <w:noWrap w:val="0"/>
            <w:vAlign w:val="center"/>
          </w:tcPr>
          <w:p w14:paraId="47E28150">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7623E1B9">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1.2行人的运输巷道应设人行道，有效净高不得小于</w:t>
            </w:r>
            <w:r>
              <w:rPr>
                <w:rFonts w:hint="eastAsia" w:ascii="Times New Roman" w:hAnsi="Times New Roman" w:eastAsia="宋体" w:cs="Times New Roman"/>
                <w:b w:val="0"/>
                <w:bCs w:val="0"/>
                <w:color w:val="auto"/>
                <w:spacing w:val="0"/>
                <w:w w:val="100"/>
                <w:sz w:val="21"/>
                <w:szCs w:val="21"/>
                <w:lang w:val="en-US" w:eastAsia="zh-CN"/>
              </w:rPr>
              <w:t>1</w:t>
            </w:r>
            <w:r>
              <w:rPr>
                <w:rFonts w:hint="eastAsia" w:ascii="Times New Roman" w:hAnsi="Times New Roman" w:eastAsia="宋体" w:cs="Times New Roman"/>
                <w:b w:val="0"/>
                <w:bCs w:val="0"/>
                <w:color w:val="auto"/>
                <w:spacing w:val="0"/>
                <w:w w:val="100"/>
                <w:sz w:val="21"/>
                <w:szCs w:val="21"/>
              </w:rPr>
              <w:t>.9m，宽度和安全间隙应符合《规程》；</w:t>
            </w:r>
          </w:p>
        </w:tc>
        <w:tc>
          <w:tcPr>
            <w:tcW w:w="835" w:type="pct"/>
            <w:noWrap w:val="0"/>
            <w:vAlign w:val="center"/>
          </w:tcPr>
          <w:p w14:paraId="69755343">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《金属非金属矿山安全规程》第6.2.5.6条</w:t>
            </w:r>
          </w:p>
        </w:tc>
        <w:tc>
          <w:tcPr>
            <w:tcW w:w="591" w:type="pct"/>
            <w:noWrap w:val="0"/>
            <w:vAlign w:val="center"/>
          </w:tcPr>
          <w:p w14:paraId="7D7A033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现场检查</w:t>
            </w:r>
          </w:p>
        </w:tc>
        <w:tc>
          <w:tcPr>
            <w:tcW w:w="506" w:type="pct"/>
            <w:noWrap w:val="0"/>
            <w:vAlign w:val="top"/>
          </w:tcPr>
          <w:p w14:paraId="5BAF01B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32F41F09">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Times New Roman" w:hAnsi="Times New Roman" w:eastAsia="宋体" w:cs="Times New Roman"/>
                <w:b w:val="0"/>
                <w:bCs w:val="0"/>
                <w:color w:val="auto"/>
                <w:spacing w:val="0"/>
                <w:w w:val="100"/>
                <w:sz w:val="21"/>
                <w:szCs w:val="21"/>
              </w:rPr>
            </w:pPr>
          </w:p>
          <w:p w14:paraId="7656A161">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Times New Roman" w:hAnsi="Times New Roman" w:eastAsia="宋体" w:cs="Times New Roman"/>
                <w:b w:val="0"/>
                <w:bCs w:val="0"/>
                <w:color w:val="auto"/>
                <w:spacing w:val="0"/>
                <w:w w:val="100"/>
                <w:sz w:val="21"/>
                <w:szCs w:val="21"/>
              </w:rPr>
            </w:pPr>
          </w:p>
          <w:p w14:paraId="65CEC6D0">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653069F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67D563E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一处不符合要求扣2分，扣完为止</w:t>
            </w:r>
          </w:p>
        </w:tc>
        <w:tc>
          <w:tcPr>
            <w:tcW w:w="397" w:type="pct"/>
            <w:noWrap w:val="0"/>
            <w:vAlign w:val="center"/>
          </w:tcPr>
          <w:p w14:paraId="1D264253">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cs="Times New Roman"/>
                <w:b w:val="0"/>
                <w:bCs w:val="0"/>
                <w:color w:val="auto"/>
                <w:spacing w:val="0"/>
                <w:w w:val="100"/>
                <w:sz w:val="21"/>
                <w:szCs w:val="21"/>
                <w:lang w:val="en-US" w:eastAsia="zh-CN"/>
              </w:rPr>
              <w:t>3</w:t>
            </w:r>
          </w:p>
        </w:tc>
      </w:tr>
      <w:tr w14:paraId="5AF4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20400109">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3EEBC80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1.3井口及行人巷道要有明显的安全和警示标志。井巷的岔道口必须设置路标；</w:t>
            </w:r>
          </w:p>
        </w:tc>
        <w:tc>
          <w:tcPr>
            <w:tcW w:w="835" w:type="pct"/>
            <w:noWrap w:val="0"/>
            <w:vAlign w:val="center"/>
          </w:tcPr>
          <w:p w14:paraId="39D5B1C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《金属非金属矿山安全规程》第6.1.1.1条</w:t>
            </w:r>
          </w:p>
        </w:tc>
        <w:tc>
          <w:tcPr>
            <w:tcW w:w="591" w:type="pct"/>
            <w:noWrap w:val="0"/>
            <w:vAlign w:val="center"/>
          </w:tcPr>
          <w:p w14:paraId="11CA9AB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现场检查</w:t>
            </w:r>
          </w:p>
        </w:tc>
        <w:tc>
          <w:tcPr>
            <w:tcW w:w="506" w:type="pct"/>
            <w:noWrap w:val="0"/>
            <w:vAlign w:val="top"/>
          </w:tcPr>
          <w:p w14:paraId="074972F6">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lang w:val="en-US" w:eastAsia="zh-CN"/>
              </w:rPr>
              <w:t>+270m应急安全出口缺少安全指示、警示标志</w:t>
            </w:r>
          </w:p>
        </w:tc>
        <w:tc>
          <w:tcPr>
            <w:tcW w:w="407" w:type="pct"/>
            <w:noWrap w:val="0"/>
            <w:vAlign w:val="center"/>
          </w:tcPr>
          <w:p w14:paraId="7A60C51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25D1FE90">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一处没有明显的安全标志扣3分</w:t>
            </w:r>
          </w:p>
        </w:tc>
        <w:tc>
          <w:tcPr>
            <w:tcW w:w="397" w:type="pct"/>
            <w:noWrap w:val="0"/>
            <w:vAlign w:val="center"/>
          </w:tcPr>
          <w:p w14:paraId="5DBCF0F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0</w:t>
            </w:r>
          </w:p>
        </w:tc>
      </w:tr>
      <w:tr w14:paraId="0993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6C2FFF4C">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top"/>
          </w:tcPr>
          <w:p w14:paraId="038552E4">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724660B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2A5C80BD">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1.4地下采矿应按采矿设计进行；</w:t>
            </w:r>
          </w:p>
        </w:tc>
        <w:tc>
          <w:tcPr>
            <w:tcW w:w="835" w:type="pct"/>
            <w:noWrap w:val="0"/>
            <w:vAlign w:val="top"/>
          </w:tcPr>
          <w:p w14:paraId="44CAD196">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4BD13F93">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《金属非金属矿山安全规程》第6.3.1.1条</w:t>
            </w:r>
          </w:p>
        </w:tc>
        <w:tc>
          <w:tcPr>
            <w:tcW w:w="591" w:type="pct"/>
            <w:noWrap w:val="0"/>
            <w:vAlign w:val="top"/>
          </w:tcPr>
          <w:p w14:paraId="2215827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0B1B523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03962572">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现场检查</w:t>
            </w:r>
          </w:p>
        </w:tc>
        <w:tc>
          <w:tcPr>
            <w:tcW w:w="506" w:type="pct"/>
            <w:noWrap w:val="0"/>
            <w:vAlign w:val="top"/>
          </w:tcPr>
          <w:p w14:paraId="6AC6792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0FCA1FC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0D3E6C1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57E77EF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34D8A7E6">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4</w:t>
            </w:r>
          </w:p>
        </w:tc>
        <w:tc>
          <w:tcPr>
            <w:tcW w:w="464" w:type="pct"/>
            <w:noWrap w:val="0"/>
            <w:vAlign w:val="top"/>
          </w:tcPr>
          <w:p w14:paraId="4C9C0A5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一项不符合扣1分，少一项扣1分</w:t>
            </w:r>
          </w:p>
        </w:tc>
        <w:tc>
          <w:tcPr>
            <w:tcW w:w="397" w:type="pct"/>
            <w:noWrap w:val="0"/>
            <w:vAlign w:val="center"/>
          </w:tcPr>
          <w:p w14:paraId="7413D8C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68730272">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4</w:t>
            </w:r>
          </w:p>
        </w:tc>
      </w:tr>
      <w:tr w14:paraId="0064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20B991D2">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top"/>
          </w:tcPr>
          <w:p w14:paraId="598D3C0F">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1.5采矿设计应提出矿柱回采和采空区处理方案，并制定专门的安全措施。</w:t>
            </w:r>
          </w:p>
        </w:tc>
        <w:tc>
          <w:tcPr>
            <w:tcW w:w="835" w:type="pct"/>
            <w:noWrap w:val="0"/>
            <w:vAlign w:val="top"/>
          </w:tcPr>
          <w:p w14:paraId="59C0783A">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《金属非金属矿山安全规程》第6.3.1.1条</w:t>
            </w:r>
          </w:p>
        </w:tc>
        <w:tc>
          <w:tcPr>
            <w:tcW w:w="591" w:type="pct"/>
            <w:noWrap w:val="0"/>
            <w:vAlign w:val="top"/>
          </w:tcPr>
          <w:p w14:paraId="7E88178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49BBFBA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2476CA3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52F2C6A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7E02D8C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0B0DB724">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top"/>
          </w:tcPr>
          <w:p w14:paraId="0F14F5D5">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4FCA1D3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4BAA2BD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r>
      <w:tr w14:paraId="1256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4871E541">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7E131773">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1.6地下开采时，应圈定岩体移动范围或岩体移动监测范围；地表主要建构筑物、主要井筒应布置在地表岩体移动范围之外，或者留保安矿柱消除其影响；</w:t>
            </w:r>
          </w:p>
        </w:tc>
        <w:tc>
          <w:tcPr>
            <w:tcW w:w="835" w:type="pct"/>
            <w:noWrap w:val="0"/>
            <w:vAlign w:val="center"/>
          </w:tcPr>
          <w:p w14:paraId="75F54860">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《金属非金属矿山安全规程》第6.3.1.2条</w:t>
            </w:r>
          </w:p>
        </w:tc>
        <w:tc>
          <w:tcPr>
            <w:tcW w:w="591" w:type="pct"/>
            <w:noWrap w:val="0"/>
            <w:vAlign w:val="center"/>
          </w:tcPr>
          <w:p w14:paraId="2AD06DC3">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2712097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3D411124">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5B59C9E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463BF42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3CB4028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433E6C1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r>
      <w:tr w14:paraId="0B2C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7318AEC9">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00D793D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1.7溜井不应放空。大块矿石、废旧钢材、木材和钢丝绳等不应放入井内。溜井口不应有水流入。人员不应直接站在溜井、漏斗内堆存的矿石上或进入溜井与漏斗内处理堵塞。采用特殊方法处理堵塞 应经矿山企业主要负责人批准；</w:t>
            </w:r>
          </w:p>
        </w:tc>
        <w:tc>
          <w:tcPr>
            <w:tcW w:w="835" w:type="pct"/>
            <w:noWrap w:val="0"/>
            <w:vAlign w:val="center"/>
          </w:tcPr>
          <w:p w14:paraId="5EE6049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《金属非金属矿山安全规程》第6.3.1.9条</w:t>
            </w:r>
          </w:p>
        </w:tc>
        <w:tc>
          <w:tcPr>
            <w:tcW w:w="591" w:type="pct"/>
            <w:noWrap w:val="0"/>
            <w:vAlign w:val="center"/>
          </w:tcPr>
          <w:p w14:paraId="04F763E5">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05D0FF5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376DF70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49566D91">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lang w:val="en-US" w:eastAsia="zh-CN"/>
              </w:rPr>
            </w:pPr>
          </w:p>
          <w:p w14:paraId="2C9166C5">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无关项</w:t>
            </w:r>
          </w:p>
        </w:tc>
        <w:tc>
          <w:tcPr>
            <w:tcW w:w="407" w:type="pct"/>
            <w:noWrap w:val="0"/>
            <w:vAlign w:val="center"/>
          </w:tcPr>
          <w:p w14:paraId="7772D11A">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228A85C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4BE403E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16B1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4ABE3E58">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3649453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1.8露天开采转地下开采时，应考虑露天边坡稳定性以及可能产生的泥石流对地下开采的影响。地下开采时的矿山排水设计应考虑露天坑汇水影响；</w:t>
            </w:r>
          </w:p>
        </w:tc>
        <w:tc>
          <w:tcPr>
            <w:tcW w:w="835" w:type="pct"/>
            <w:noWrap w:val="0"/>
            <w:vAlign w:val="center"/>
          </w:tcPr>
          <w:p w14:paraId="4510309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《金属非金属矿山安全规程》第6.1.2条</w:t>
            </w:r>
          </w:p>
        </w:tc>
        <w:tc>
          <w:tcPr>
            <w:tcW w:w="591" w:type="pct"/>
            <w:noWrap w:val="0"/>
            <w:vAlign w:val="center"/>
          </w:tcPr>
          <w:p w14:paraId="10CBD0E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3992A01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62EA308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13D2AAB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50859F3F">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无关项</w:t>
            </w:r>
          </w:p>
        </w:tc>
        <w:tc>
          <w:tcPr>
            <w:tcW w:w="407" w:type="pct"/>
            <w:noWrap w:val="0"/>
            <w:vAlign w:val="center"/>
          </w:tcPr>
          <w:p w14:paraId="3317DD14">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742C6B85">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3DED70A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6850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23DEF775">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120E566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1.9禁止放空溜矿井、不准有水流入；</w:t>
            </w:r>
          </w:p>
        </w:tc>
        <w:tc>
          <w:tcPr>
            <w:tcW w:w="835" w:type="pct"/>
            <w:noWrap w:val="0"/>
            <w:vAlign w:val="center"/>
          </w:tcPr>
          <w:p w14:paraId="687707F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《金属非金属矿山安全规程》第6.3.1.9条</w:t>
            </w:r>
          </w:p>
        </w:tc>
        <w:tc>
          <w:tcPr>
            <w:tcW w:w="591" w:type="pct"/>
            <w:noWrap w:val="0"/>
            <w:vAlign w:val="center"/>
          </w:tcPr>
          <w:p w14:paraId="3C23D52C">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6BB8179D">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p w14:paraId="2AD6E20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无关项</w:t>
            </w:r>
          </w:p>
        </w:tc>
        <w:tc>
          <w:tcPr>
            <w:tcW w:w="407" w:type="pct"/>
            <w:noWrap w:val="0"/>
            <w:vAlign w:val="center"/>
          </w:tcPr>
          <w:p w14:paraId="0467F48D">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24CA5A0A">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6646FF82">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319F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418" w:type="pct"/>
            <w:vMerge w:val="continue"/>
            <w:noWrap w:val="0"/>
            <w:vAlign w:val="center"/>
          </w:tcPr>
          <w:p w14:paraId="041D6159">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0EDF38E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1.10存在老采空区塌陷的地面要设防护网及警示标志，严禁人员进入；</w:t>
            </w:r>
          </w:p>
        </w:tc>
        <w:tc>
          <w:tcPr>
            <w:tcW w:w="835" w:type="pct"/>
            <w:noWrap w:val="0"/>
            <w:vAlign w:val="center"/>
          </w:tcPr>
          <w:p w14:paraId="58B06819">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《金属非金属矿山安全规程》第6.3.1.14条</w:t>
            </w:r>
          </w:p>
        </w:tc>
        <w:tc>
          <w:tcPr>
            <w:tcW w:w="591" w:type="pct"/>
            <w:noWrap w:val="0"/>
            <w:vAlign w:val="center"/>
          </w:tcPr>
          <w:p w14:paraId="4803F534">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217CA6F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lang w:val="en-US" w:eastAsia="zh-CN"/>
              </w:rPr>
              <w:t>无</w:t>
            </w:r>
            <w:r>
              <w:rPr>
                <w:rFonts w:hint="eastAsia" w:ascii="Times New Roman" w:hAnsi="Times New Roman" w:eastAsia="宋体" w:cs="Times New Roman"/>
                <w:b w:val="0"/>
                <w:bCs w:val="0"/>
                <w:color w:val="auto"/>
                <w:spacing w:val="0"/>
                <w:w w:val="100"/>
                <w:sz w:val="21"/>
                <w:szCs w:val="21"/>
              </w:rPr>
              <w:t>老采空区塌陷</w:t>
            </w:r>
          </w:p>
        </w:tc>
        <w:tc>
          <w:tcPr>
            <w:tcW w:w="407" w:type="pct"/>
            <w:noWrap w:val="0"/>
            <w:vAlign w:val="center"/>
          </w:tcPr>
          <w:p w14:paraId="538E69B8">
            <w:pPr>
              <w:keepNext w:val="0"/>
              <w:keepLines w:val="0"/>
              <w:pageBreakBefore w:val="0"/>
              <w:kinsoku/>
              <w:wordWrap/>
              <w:overflowPunct/>
              <w:topLinePunct w:val="0"/>
              <w:autoSpaceDE/>
              <w:autoSpaceDN/>
              <w:bidi w:val="0"/>
              <w:adjustRightInd/>
              <w:snapToGrid/>
              <w:spacing w:line="320" w:lineRule="exact"/>
              <w:ind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5AADE8C7">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69B3E94C">
            <w:pPr>
              <w:keepNext w:val="0"/>
              <w:keepLines w:val="0"/>
              <w:pageBreakBefore w:val="0"/>
              <w:kinsoku/>
              <w:wordWrap/>
              <w:overflowPunct/>
              <w:topLinePunct w:val="0"/>
              <w:autoSpaceDE/>
              <w:autoSpaceDN/>
              <w:bidi w:val="0"/>
              <w:adjustRightInd/>
              <w:snapToGrid/>
              <w:spacing w:line="320" w:lineRule="exact"/>
              <w:ind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r>
      <w:tr w14:paraId="7F7D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7EC7964E">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2224AC1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1.11井下存在跑矿危险的作业点，应设置确保人员安全撤离的通道。</w:t>
            </w:r>
          </w:p>
        </w:tc>
        <w:tc>
          <w:tcPr>
            <w:tcW w:w="835" w:type="pct"/>
            <w:noWrap w:val="0"/>
            <w:vAlign w:val="center"/>
          </w:tcPr>
          <w:p w14:paraId="399BE246">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《金属非金属矿山安全规程》第6.1.1.6条</w:t>
            </w:r>
          </w:p>
        </w:tc>
        <w:tc>
          <w:tcPr>
            <w:tcW w:w="591" w:type="pct"/>
            <w:noWrap w:val="0"/>
            <w:vAlign w:val="center"/>
          </w:tcPr>
          <w:p w14:paraId="29F67A4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104DC5A8">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p w14:paraId="462CFE71">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031416A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1A013F01">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54E12DE1">
            <w:pPr>
              <w:keepNext w:val="0"/>
              <w:keepLines w:val="0"/>
              <w:pageBreakBefore w:val="0"/>
              <w:kinsoku/>
              <w:wordWrap/>
              <w:overflowPunct/>
              <w:topLinePunct w:val="0"/>
              <w:autoSpaceDE/>
              <w:autoSpaceDN/>
              <w:bidi w:val="0"/>
              <w:adjustRightInd/>
              <w:snapToGrid/>
              <w:spacing w:line="320" w:lineRule="exact"/>
              <w:ind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r>
      <w:tr w14:paraId="571E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18" w:type="pct"/>
            <w:vMerge w:val="restart"/>
            <w:noWrap w:val="0"/>
            <w:vAlign w:val="center"/>
          </w:tcPr>
          <w:p w14:paraId="7CAE66F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4C51A2E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412400E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2、井巷掘进及维护</w:t>
            </w:r>
          </w:p>
          <w:p w14:paraId="325D66CD">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35分</w:t>
            </w:r>
          </w:p>
          <w:p w14:paraId="4EBFA3E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5DE16B8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61FC8ED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0AD65AC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6A1D27A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7D1E905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0587188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3BEBF15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75ECC4F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2.1竖井掘进10分</w:t>
            </w:r>
          </w:p>
        </w:tc>
        <w:tc>
          <w:tcPr>
            <w:tcW w:w="835" w:type="pct"/>
            <w:noWrap w:val="0"/>
            <w:vAlign w:val="center"/>
          </w:tcPr>
          <w:p w14:paraId="6AE76436">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591" w:type="pct"/>
            <w:noWrap w:val="0"/>
            <w:vAlign w:val="center"/>
          </w:tcPr>
          <w:p w14:paraId="195C01CD">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506" w:type="pct"/>
            <w:noWrap w:val="0"/>
            <w:vAlign w:val="top"/>
          </w:tcPr>
          <w:p w14:paraId="39634AB4">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无此项</w:t>
            </w:r>
          </w:p>
        </w:tc>
        <w:tc>
          <w:tcPr>
            <w:tcW w:w="407" w:type="pct"/>
            <w:noWrap w:val="0"/>
            <w:vAlign w:val="center"/>
          </w:tcPr>
          <w:p w14:paraId="24DC599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tc>
        <w:tc>
          <w:tcPr>
            <w:tcW w:w="464" w:type="pct"/>
            <w:noWrap w:val="0"/>
            <w:vAlign w:val="center"/>
          </w:tcPr>
          <w:p w14:paraId="41A40E8A">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397" w:type="pct"/>
            <w:noWrap w:val="0"/>
            <w:vAlign w:val="center"/>
          </w:tcPr>
          <w:p w14:paraId="738F1C5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w:t>
            </w:r>
          </w:p>
        </w:tc>
      </w:tr>
      <w:tr w14:paraId="7B20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418" w:type="pct"/>
            <w:vMerge w:val="continue"/>
            <w:noWrap w:val="0"/>
            <w:vAlign w:val="center"/>
          </w:tcPr>
          <w:p w14:paraId="0525D34D">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4BCDEAE6">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 xml:space="preserve">2.1.1竖井施工，井口应设置临时封口盘，封口盘上设井盖门，井盖门两端必须安装栅栏； </w:t>
            </w:r>
          </w:p>
        </w:tc>
        <w:tc>
          <w:tcPr>
            <w:tcW w:w="835" w:type="pct"/>
            <w:noWrap w:val="0"/>
            <w:vAlign w:val="center"/>
          </w:tcPr>
          <w:p w14:paraId="0715193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《金属非金属矿山安全规程》第6.2.2.2条</w:t>
            </w:r>
          </w:p>
        </w:tc>
        <w:tc>
          <w:tcPr>
            <w:tcW w:w="591" w:type="pct"/>
            <w:noWrap w:val="0"/>
            <w:vAlign w:val="center"/>
          </w:tcPr>
          <w:p w14:paraId="192C5D77">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63C3FF8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6B27F71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无此项</w:t>
            </w:r>
          </w:p>
        </w:tc>
        <w:tc>
          <w:tcPr>
            <w:tcW w:w="407" w:type="pct"/>
            <w:noWrap w:val="0"/>
            <w:vAlign w:val="center"/>
          </w:tcPr>
          <w:p w14:paraId="48FC383F">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665B2F4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736CE14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1C8E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2483BD4B">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5B6699A0">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 xml:space="preserve">2.1.2竖井施工应采用双层吊盘作业； </w:t>
            </w:r>
          </w:p>
        </w:tc>
        <w:tc>
          <w:tcPr>
            <w:tcW w:w="835" w:type="pct"/>
            <w:noWrap w:val="0"/>
            <w:vAlign w:val="center"/>
          </w:tcPr>
          <w:p w14:paraId="212378C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《金属非金属矿山安全规程》第6.2.2.3条</w:t>
            </w:r>
          </w:p>
        </w:tc>
        <w:tc>
          <w:tcPr>
            <w:tcW w:w="591" w:type="pct"/>
            <w:noWrap w:val="0"/>
            <w:vAlign w:val="center"/>
          </w:tcPr>
          <w:p w14:paraId="7784F65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631D056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579991E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无此项</w:t>
            </w:r>
          </w:p>
        </w:tc>
        <w:tc>
          <w:tcPr>
            <w:tcW w:w="407" w:type="pct"/>
            <w:noWrap w:val="0"/>
            <w:vAlign w:val="center"/>
          </w:tcPr>
          <w:p w14:paraId="753553C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w:t>
            </w:r>
          </w:p>
        </w:tc>
        <w:tc>
          <w:tcPr>
            <w:tcW w:w="464" w:type="pct"/>
            <w:noWrap w:val="0"/>
            <w:vAlign w:val="center"/>
          </w:tcPr>
          <w:p w14:paraId="5E96AF1F">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340B81ED">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2AC8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00135C01">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top"/>
          </w:tcPr>
          <w:p w14:paraId="6F02143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2.1.3竖井施工时，必须设悬挂式金属安全梯；</w:t>
            </w:r>
          </w:p>
        </w:tc>
        <w:tc>
          <w:tcPr>
            <w:tcW w:w="835" w:type="pct"/>
            <w:noWrap w:val="0"/>
            <w:vAlign w:val="top"/>
          </w:tcPr>
          <w:p w14:paraId="5193FC0C">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《金属非金属矿山安全规程》第6.2.2.7条</w:t>
            </w:r>
          </w:p>
        </w:tc>
        <w:tc>
          <w:tcPr>
            <w:tcW w:w="591" w:type="pct"/>
            <w:noWrap w:val="0"/>
            <w:vAlign w:val="top"/>
          </w:tcPr>
          <w:p w14:paraId="008AF001">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5476ACB6">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7FA5B56A">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10CE7A3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无此项</w:t>
            </w:r>
          </w:p>
        </w:tc>
        <w:tc>
          <w:tcPr>
            <w:tcW w:w="407" w:type="pct"/>
            <w:noWrap w:val="0"/>
            <w:vAlign w:val="center"/>
          </w:tcPr>
          <w:p w14:paraId="33BA2B8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top"/>
          </w:tcPr>
          <w:p w14:paraId="7F2DAC75">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130492A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lang w:val="en-US" w:eastAsia="zh-CN"/>
              </w:rPr>
            </w:pPr>
          </w:p>
          <w:p w14:paraId="1C2295E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064D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4D733323">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72ABFFF0">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2.1.4竖井延深时，必须用坚固的保护盘或在井底水窝下留岩柱，将井筒延深部分与上部作业中段隔开；</w:t>
            </w:r>
          </w:p>
        </w:tc>
        <w:tc>
          <w:tcPr>
            <w:tcW w:w="835" w:type="pct"/>
            <w:noWrap w:val="0"/>
            <w:vAlign w:val="center"/>
          </w:tcPr>
          <w:p w14:paraId="5EA495AB">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《金属非金属矿山安全规程》第6.2.2.9条</w:t>
            </w:r>
          </w:p>
        </w:tc>
        <w:tc>
          <w:tcPr>
            <w:tcW w:w="591" w:type="pct"/>
            <w:noWrap w:val="0"/>
            <w:vAlign w:val="center"/>
          </w:tcPr>
          <w:p w14:paraId="69F52F34">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14DFB9BD">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50D666F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73133CC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无此项</w:t>
            </w:r>
          </w:p>
        </w:tc>
        <w:tc>
          <w:tcPr>
            <w:tcW w:w="407" w:type="pct"/>
            <w:noWrap w:val="0"/>
            <w:vAlign w:val="center"/>
          </w:tcPr>
          <w:p w14:paraId="545CF9A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1886C68B">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134FF50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50DB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653C938B">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4698B8D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2.1.5提升及出碴符合安全规程。</w:t>
            </w:r>
          </w:p>
        </w:tc>
        <w:tc>
          <w:tcPr>
            <w:tcW w:w="835" w:type="pct"/>
            <w:noWrap w:val="0"/>
            <w:vAlign w:val="center"/>
          </w:tcPr>
          <w:p w14:paraId="1AA823A4">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《金属非金属矿山安全规程》第6.2.2.5条和6.2.2.6条</w:t>
            </w:r>
          </w:p>
        </w:tc>
        <w:tc>
          <w:tcPr>
            <w:tcW w:w="591" w:type="pct"/>
            <w:noWrap w:val="0"/>
            <w:vAlign w:val="center"/>
          </w:tcPr>
          <w:p w14:paraId="6839FC6A">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7040D8AF">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37D865E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w:t>
            </w:r>
          </w:p>
          <w:p w14:paraId="7F148E2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此项</w:t>
            </w:r>
          </w:p>
        </w:tc>
        <w:tc>
          <w:tcPr>
            <w:tcW w:w="407" w:type="pct"/>
            <w:noWrap w:val="0"/>
            <w:vAlign w:val="center"/>
          </w:tcPr>
          <w:p w14:paraId="62507CD2">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2D04EBD4">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558579BA">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25FA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1B8B129C">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5C67BA8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2.2斜井、平巷掘进严格按设计和《规程》进行施工。</w:t>
            </w:r>
          </w:p>
        </w:tc>
        <w:tc>
          <w:tcPr>
            <w:tcW w:w="835" w:type="pct"/>
            <w:noWrap w:val="0"/>
            <w:vAlign w:val="center"/>
          </w:tcPr>
          <w:p w14:paraId="6898EEC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《金属非金属矿山安全规程》第6.2.4条</w:t>
            </w:r>
          </w:p>
        </w:tc>
        <w:tc>
          <w:tcPr>
            <w:tcW w:w="591" w:type="pct"/>
            <w:noWrap w:val="0"/>
            <w:vAlign w:val="center"/>
          </w:tcPr>
          <w:p w14:paraId="4AA85E7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4EEB93E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4BC4A517">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6C87137A">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7B5B4919">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1F98453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r>
      <w:tr w14:paraId="37B0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4F5A3BD7">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16254470">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2.3天井、溜井掘进。</w:t>
            </w:r>
          </w:p>
        </w:tc>
        <w:tc>
          <w:tcPr>
            <w:tcW w:w="835" w:type="pct"/>
            <w:noWrap w:val="0"/>
            <w:vAlign w:val="center"/>
          </w:tcPr>
          <w:p w14:paraId="551B8E01">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591" w:type="pct"/>
            <w:noWrap w:val="0"/>
            <w:vAlign w:val="center"/>
          </w:tcPr>
          <w:p w14:paraId="49C2A135">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3476AE72">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lang w:val="en-US" w:eastAsia="zh-CN"/>
              </w:rPr>
            </w:pPr>
          </w:p>
        </w:tc>
        <w:tc>
          <w:tcPr>
            <w:tcW w:w="407" w:type="pct"/>
            <w:noWrap w:val="0"/>
            <w:vAlign w:val="center"/>
          </w:tcPr>
          <w:p w14:paraId="5399C5A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tc>
        <w:tc>
          <w:tcPr>
            <w:tcW w:w="464" w:type="pct"/>
            <w:noWrap w:val="0"/>
            <w:vAlign w:val="center"/>
          </w:tcPr>
          <w:p w14:paraId="064DBD4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787E44F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p>
        </w:tc>
      </w:tr>
      <w:tr w14:paraId="3E56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660F4F2A">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26A4F077">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2.3.1普通法掘进天井、溜井时要符合下列规定：</w:t>
            </w:r>
          </w:p>
        </w:tc>
        <w:tc>
          <w:tcPr>
            <w:tcW w:w="835" w:type="pct"/>
            <w:noWrap w:val="0"/>
            <w:vAlign w:val="center"/>
          </w:tcPr>
          <w:p w14:paraId="17149559">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《金属非金属矿山安全规程》第6.2.6.1条</w:t>
            </w:r>
          </w:p>
        </w:tc>
        <w:tc>
          <w:tcPr>
            <w:tcW w:w="591" w:type="pct"/>
            <w:noWrap w:val="0"/>
            <w:vAlign w:val="center"/>
          </w:tcPr>
          <w:p w14:paraId="77E1ECD1">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548E257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237BAD4D">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5DB3A71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tc>
        <w:tc>
          <w:tcPr>
            <w:tcW w:w="464" w:type="pct"/>
            <w:noWrap w:val="0"/>
            <w:vAlign w:val="center"/>
          </w:tcPr>
          <w:p w14:paraId="573A0BC5">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17924740">
            <w:pPr>
              <w:keepNext w:val="0"/>
              <w:keepLines w:val="0"/>
              <w:pageBreakBefore w:val="0"/>
              <w:kinsoku/>
              <w:wordWrap/>
              <w:overflowPunct/>
              <w:topLinePunct w:val="0"/>
              <w:autoSpaceDE/>
              <w:autoSpaceDN/>
              <w:bidi w:val="0"/>
              <w:adjustRightInd/>
              <w:snapToGrid/>
              <w:spacing w:line="320" w:lineRule="exact"/>
              <w:ind w:firstLine="105" w:firstLineChars="50"/>
              <w:jc w:val="center"/>
              <w:textAlignment w:val="auto"/>
              <w:rPr>
                <w:rFonts w:hint="eastAsia" w:ascii="Times New Roman" w:hAnsi="Times New Roman" w:eastAsia="宋体" w:cs="Times New Roman"/>
                <w:b w:val="0"/>
                <w:bCs w:val="0"/>
                <w:color w:val="auto"/>
                <w:spacing w:val="0"/>
                <w:w w:val="100"/>
                <w:sz w:val="21"/>
                <w:szCs w:val="21"/>
                <w:lang w:eastAsia="zh-CN"/>
              </w:rPr>
            </w:pPr>
          </w:p>
        </w:tc>
      </w:tr>
      <w:tr w14:paraId="1218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058A3972">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5474C0B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a、架设的工作台必须牢固可靠；</w:t>
            </w:r>
          </w:p>
        </w:tc>
        <w:tc>
          <w:tcPr>
            <w:tcW w:w="835" w:type="pct"/>
            <w:noWrap w:val="0"/>
            <w:vAlign w:val="center"/>
          </w:tcPr>
          <w:p w14:paraId="6C9882D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《金属非金属矿山安全规程》第6.2.6.1条</w:t>
            </w:r>
          </w:p>
        </w:tc>
        <w:tc>
          <w:tcPr>
            <w:tcW w:w="591" w:type="pct"/>
            <w:noWrap w:val="0"/>
            <w:vAlign w:val="center"/>
          </w:tcPr>
          <w:p w14:paraId="2DD6B4A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center"/>
          </w:tcPr>
          <w:p w14:paraId="0815409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4910E17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w:t>
            </w:r>
          </w:p>
        </w:tc>
        <w:tc>
          <w:tcPr>
            <w:tcW w:w="464" w:type="pct"/>
            <w:noWrap w:val="0"/>
            <w:vAlign w:val="center"/>
          </w:tcPr>
          <w:p w14:paraId="264771D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40ED185B">
            <w:pPr>
              <w:keepNext w:val="0"/>
              <w:keepLines w:val="0"/>
              <w:pageBreakBefore w:val="0"/>
              <w:kinsoku/>
              <w:wordWrap/>
              <w:overflowPunct/>
              <w:topLinePunct w:val="0"/>
              <w:autoSpaceDE/>
              <w:autoSpaceDN/>
              <w:bidi w:val="0"/>
              <w:adjustRightInd/>
              <w:snapToGrid/>
              <w:spacing w:line="320" w:lineRule="exact"/>
              <w:ind w:firstLine="105" w:firstLineChars="5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cs="Times New Roman"/>
                <w:b w:val="0"/>
                <w:bCs w:val="0"/>
                <w:color w:val="auto"/>
                <w:spacing w:val="0"/>
                <w:w w:val="100"/>
                <w:sz w:val="21"/>
                <w:szCs w:val="21"/>
                <w:lang w:val="en-US" w:eastAsia="zh-CN"/>
              </w:rPr>
              <w:t>1</w:t>
            </w:r>
          </w:p>
        </w:tc>
      </w:tr>
      <w:tr w14:paraId="2D1D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6A464615">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324949C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b、及时设置安全可靠的支护棚，并使其至工作面的距离不大于6m；</w:t>
            </w:r>
          </w:p>
        </w:tc>
        <w:tc>
          <w:tcPr>
            <w:tcW w:w="835" w:type="pct"/>
            <w:noWrap w:val="0"/>
            <w:vAlign w:val="center"/>
          </w:tcPr>
          <w:p w14:paraId="39965C9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《金属非金属矿山安全规程》第6.2.6.1条</w:t>
            </w:r>
          </w:p>
        </w:tc>
        <w:tc>
          <w:tcPr>
            <w:tcW w:w="591" w:type="pct"/>
            <w:noWrap w:val="0"/>
            <w:vAlign w:val="center"/>
          </w:tcPr>
          <w:p w14:paraId="46EE174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0982024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2D9AA900">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p w14:paraId="64ECEA27">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50D5B7C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w:t>
            </w:r>
          </w:p>
        </w:tc>
        <w:tc>
          <w:tcPr>
            <w:tcW w:w="464" w:type="pct"/>
            <w:noWrap w:val="0"/>
            <w:vAlign w:val="center"/>
          </w:tcPr>
          <w:p w14:paraId="5B1C3345">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4CCBB6D0">
            <w:pPr>
              <w:keepNext w:val="0"/>
              <w:keepLines w:val="0"/>
              <w:pageBreakBefore w:val="0"/>
              <w:kinsoku/>
              <w:wordWrap/>
              <w:overflowPunct/>
              <w:topLinePunct w:val="0"/>
              <w:autoSpaceDE/>
              <w:autoSpaceDN/>
              <w:bidi w:val="0"/>
              <w:adjustRightInd/>
              <w:snapToGrid/>
              <w:spacing w:line="320" w:lineRule="exact"/>
              <w:ind w:firstLine="105" w:firstLineChars="5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cs="Times New Roman"/>
                <w:b w:val="0"/>
                <w:bCs w:val="0"/>
                <w:color w:val="auto"/>
                <w:spacing w:val="0"/>
                <w:w w:val="100"/>
                <w:sz w:val="21"/>
                <w:szCs w:val="21"/>
                <w:lang w:val="en-US" w:eastAsia="zh-CN"/>
              </w:rPr>
              <w:t>1</w:t>
            </w:r>
          </w:p>
        </w:tc>
      </w:tr>
      <w:tr w14:paraId="5E4A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7FCE54C1">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5EEA0A3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c、掘进高度超过7m时应设梯子间、碴子间；</w:t>
            </w:r>
          </w:p>
        </w:tc>
        <w:tc>
          <w:tcPr>
            <w:tcW w:w="835" w:type="pct"/>
            <w:noWrap w:val="0"/>
            <w:vAlign w:val="center"/>
          </w:tcPr>
          <w:p w14:paraId="756A4D37">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《金属非金属矿山安全规程》第6.2.6.1条</w:t>
            </w:r>
          </w:p>
        </w:tc>
        <w:tc>
          <w:tcPr>
            <w:tcW w:w="591" w:type="pct"/>
            <w:noWrap w:val="0"/>
            <w:vAlign w:val="center"/>
          </w:tcPr>
          <w:p w14:paraId="07999962">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346E4D35">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3C066E8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5F514F4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w:t>
            </w:r>
          </w:p>
        </w:tc>
        <w:tc>
          <w:tcPr>
            <w:tcW w:w="464" w:type="pct"/>
            <w:noWrap w:val="0"/>
            <w:vAlign w:val="center"/>
          </w:tcPr>
          <w:p w14:paraId="06FC08D7">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7DD46B34">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cs="Times New Roman"/>
                <w:b w:val="0"/>
                <w:bCs w:val="0"/>
                <w:color w:val="auto"/>
                <w:spacing w:val="0"/>
                <w:w w:val="100"/>
                <w:sz w:val="21"/>
                <w:szCs w:val="21"/>
                <w:lang w:val="en-US" w:eastAsia="zh-CN"/>
              </w:rPr>
              <w:t>1</w:t>
            </w:r>
          </w:p>
        </w:tc>
      </w:tr>
      <w:tr w14:paraId="5738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7183323E">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209163A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d、天井、溜井应尽快与其上部贯通，贯通前不开或少开其他工程，需要开时应加强局部通风措施；</w:t>
            </w:r>
          </w:p>
        </w:tc>
        <w:tc>
          <w:tcPr>
            <w:tcW w:w="835" w:type="pct"/>
            <w:noWrap w:val="0"/>
            <w:vAlign w:val="center"/>
          </w:tcPr>
          <w:p w14:paraId="42A8E04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《金属非金属矿山安全规程》第6.2.6.1条</w:t>
            </w:r>
          </w:p>
        </w:tc>
        <w:tc>
          <w:tcPr>
            <w:tcW w:w="591" w:type="pct"/>
            <w:noWrap w:val="0"/>
            <w:vAlign w:val="center"/>
          </w:tcPr>
          <w:p w14:paraId="53A72EF4">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192A134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3A4EC826">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1002313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w:t>
            </w:r>
          </w:p>
        </w:tc>
        <w:tc>
          <w:tcPr>
            <w:tcW w:w="464" w:type="pct"/>
            <w:noWrap w:val="0"/>
            <w:vAlign w:val="center"/>
          </w:tcPr>
          <w:p w14:paraId="5069D2F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55411E57">
            <w:pPr>
              <w:keepNext w:val="0"/>
              <w:keepLines w:val="0"/>
              <w:pageBreakBefore w:val="0"/>
              <w:kinsoku/>
              <w:wordWrap/>
              <w:overflowPunct/>
              <w:topLinePunct w:val="0"/>
              <w:autoSpaceDE/>
              <w:autoSpaceDN/>
              <w:bidi w:val="0"/>
              <w:adjustRightInd/>
              <w:snapToGrid/>
              <w:spacing w:line="320" w:lineRule="exact"/>
              <w:ind w:firstLine="105" w:firstLineChars="5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cs="Times New Roman"/>
                <w:b w:val="0"/>
                <w:bCs w:val="0"/>
                <w:color w:val="auto"/>
                <w:spacing w:val="0"/>
                <w:w w:val="100"/>
                <w:sz w:val="21"/>
                <w:szCs w:val="21"/>
                <w:lang w:val="en-US" w:eastAsia="zh-CN"/>
              </w:rPr>
              <w:t>1</w:t>
            </w:r>
          </w:p>
        </w:tc>
      </w:tr>
      <w:tr w14:paraId="5227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1D197531">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53052E7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e、天井掘进到距上部7m时，测量人员给出贯通位置，并设置警示标志和围栏；</w:t>
            </w:r>
          </w:p>
        </w:tc>
        <w:tc>
          <w:tcPr>
            <w:tcW w:w="835" w:type="pct"/>
            <w:noWrap w:val="0"/>
            <w:vAlign w:val="center"/>
          </w:tcPr>
          <w:p w14:paraId="68A174B1">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《金属非金属矿山安全规程》第6.2.6.1条</w:t>
            </w:r>
          </w:p>
        </w:tc>
        <w:tc>
          <w:tcPr>
            <w:tcW w:w="591" w:type="pct"/>
            <w:noWrap w:val="0"/>
            <w:vAlign w:val="center"/>
          </w:tcPr>
          <w:p w14:paraId="7333E2B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16DB0076">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08A1C8D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p w14:paraId="3CD4ED4C">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tc>
        <w:tc>
          <w:tcPr>
            <w:tcW w:w="407" w:type="pct"/>
            <w:noWrap w:val="0"/>
            <w:vAlign w:val="center"/>
          </w:tcPr>
          <w:p w14:paraId="4883D8D4">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w:t>
            </w:r>
          </w:p>
        </w:tc>
        <w:tc>
          <w:tcPr>
            <w:tcW w:w="464" w:type="pct"/>
            <w:noWrap w:val="0"/>
            <w:vAlign w:val="center"/>
          </w:tcPr>
          <w:p w14:paraId="580E7E61">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7AB2C6CD">
            <w:pPr>
              <w:keepNext w:val="0"/>
              <w:keepLines w:val="0"/>
              <w:pageBreakBefore w:val="0"/>
              <w:kinsoku/>
              <w:wordWrap/>
              <w:overflowPunct/>
              <w:topLinePunct w:val="0"/>
              <w:autoSpaceDE/>
              <w:autoSpaceDN/>
              <w:bidi w:val="0"/>
              <w:adjustRightInd/>
              <w:snapToGrid/>
              <w:spacing w:line="320" w:lineRule="exact"/>
              <w:ind w:firstLine="105" w:firstLineChars="5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cs="Times New Roman"/>
                <w:b w:val="0"/>
                <w:bCs w:val="0"/>
                <w:color w:val="auto"/>
                <w:spacing w:val="0"/>
                <w:w w:val="100"/>
                <w:sz w:val="21"/>
                <w:szCs w:val="21"/>
                <w:lang w:val="en-US" w:eastAsia="zh-CN"/>
              </w:rPr>
              <w:t>1</w:t>
            </w:r>
          </w:p>
        </w:tc>
      </w:tr>
      <w:tr w14:paraId="2404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418" w:type="pct"/>
            <w:vMerge w:val="continue"/>
            <w:noWrap w:val="0"/>
            <w:vAlign w:val="center"/>
          </w:tcPr>
          <w:p w14:paraId="0C4C5408">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65F4B6A5">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f、溜矿格不得放空，应保留至少一茬炮爆下的矿量。</w:t>
            </w:r>
          </w:p>
        </w:tc>
        <w:tc>
          <w:tcPr>
            <w:tcW w:w="835" w:type="pct"/>
            <w:noWrap w:val="0"/>
            <w:vAlign w:val="center"/>
          </w:tcPr>
          <w:p w14:paraId="0A626896">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《金属非金属矿山安全规程》第6.2.6.1条</w:t>
            </w:r>
          </w:p>
        </w:tc>
        <w:tc>
          <w:tcPr>
            <w:tcW w:w="591" w:type="pct"/>
            <w:noWrap w:val="0"/>
            <w:vAlign w:val="center"/>
          </w:tcPr>
          <w:p w14:paraId="6FDFA85F">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21236EE2">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7567C35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434EE38D">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w:t>
            </w:r>
          </w:p>
        </w:tc>
        <w:tc>
          <w:tcPr>
            <w:tcW w:w="464" w:type="pct"/>
            <w:noWrap w:val="0"/>
            <w:vAlign w:val="center"/>
          </w:tcPr>
          <w:p w14:paraId="1CF4DAA1">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41A75334">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cs="Times New Roman"/>
                <w:b w:val="0"/>
                <w:bCs w:val="0"/>
                <w:color w:val="auto"/>
                <w:spacing w:val="0"/>
                <w:w w:val="100"/>
                <w:sz w:val="21"/>
                <w:szCs w:val="21"/>
                <w:lang w:val="en-US" w:eastAsia="zh-CN"/>
              </w:rPr>
              <w:t>1</w:t>
            </w:r>
          </w:p>
        </w:tc>
      </w:tr>
      <w:tr w14:paraId="6A9E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3CC5D6AB">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566AA6B3">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2.3.2用吊罐法、爬罐法掘进天井时，必须符合《规程》规定；</w:t>
            </w:r>
          </w:p>
        </w:tc>
        <w:tc>
          <w:tcPr>
            <w:tcW w:w="835" w:type="pct"/>
            <w:noWrap w:val="0"/>
            <w:vAlign w:val="center"/>
          </w:tcPr>
          <w:p w14:paraId="711B5693">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《金属非金属矿山安全规程》第6.2.6.2条</w:t>
            </w:r>
          </w:p>
        </w:tc>
        <w:tc>
          <w:tcPr>
            <w:tcW w:w="591" w:type="pct"/>
            <w:noWrap w:val="0"/>
            <w:vAlign w:val="center"/>
          </w:tcPr>
          <w:p w14:paraId="734A679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21B7E591">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6D82493C">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无此项</w:t>
            </w:r>
          </w:p>
        </w:tc>
        <w:tc>
          <w:tcPr>
            <w:tcW w:w="407" w:type="pct"/>
            <w:noWrap w:val="0"/>
            <w:vAlign w:val="center"/>
          </w:tcPr>
          <w:p w14:paraId="017B174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56A91BC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0BB91A73">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4C32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6D4366EC">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top"/>
          </w:tcPr>
          <w:p w14:paraId="1C91401D">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2.4在不稳定的岩层中掘进井巷必须进行支护。并符合设计和《规程》要求；</w:t>
            </w:r>
          </w:p>
        </w:tc>
        <w:tc>
          <w:tcPr>
            <w:tcW w:w="835" w:type="pct"/>
            <w:noWrap w:val="0"/>
            <w:vAlign w:val="top"/>
          </w:tcPr>
          <w:p w14:paraId="1A67E82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《金属非金属矿山安全规程》第6.1.5.1条</w:t>
            </w:r>
          </w:p>
        </w:tc>
        <w:tc>
          <w:tcPr>
            <w:tcW w:w="591" w:type="pct"/>
            <w:noWrap w:val="0"/>
            <w:vAlign w:val="top"/>
          </w:tcPr>
          <w:p w14:paraId="4D4C588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28A3FAE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7D313F52">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75231BE3">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21AAED2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4</w:t>
            </w:r>
          </w:p>
        </w:tc>
        <w:tc>
          <w:tcPr>
            <w:tcW w:w="464" w:type="pct"/>
            <w:noWrap w:val="0"/>
            <w:vAlign w:val="top"/>
          </w:tcPr>
          <w:p w14:paraId="7D6C284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60FF2206">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4</w:t>
            </w:r>
          </w:p>
        </w:tc>
      </w:tr>
      <w:tr w14:paraId="6C63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6C496E3A">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6C576F8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2.5报废旧井巷和硐室入必须及时封闭。封闭前设明显禁止入内标志；报废的竖井、斜井和平巷，地面入口周围设不低于1.5m的栅栏并标明井巷名称。</w:t>
            </w:r>
          </w:p>
        </w:tc>
        <w:tc>
          <w:tcPr>
            <w:tcW w:w="835" w:type="pct"/>
            <w:noWrap w:val="0"/>
            <w:vAlign w:val="center"/>
          </w:tcPr>
          <w:p w14:paraId="2B91CD99">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《金属非金属矿山安全规程》第6.2.8.6条</w:t>
            </w:r>
          </w:p>
        </w:tc>
        <w:tc>
          <w:tcPr>
            <w:tcW w:w="591" w:type="pct"/>
            <w:noWrap w:val="0"/>
            <w:vAlign w:val="center"/>
          </w:tcPr>
          <w:p w14:paraId="6B32ED4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7D4DE80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lang w:val="en-US" w:eastAsia="zh-CN"/>
              </w:rPr>
            </w:pPr>
            <w:r>
              <w:rPr>
                <w:rFonts w:hint="eastAsia" w:ascii="宋体" w:hAnsi="宋体" w:cs="宋体"/>
                <w:color w:val="auto"/>
                <w:spacing w:val="0"/>
                <w:sz w:val="21"/>
                <w:szCs w:val="21"/>
                <w:lang w:val="en-US" w:eastAsia="zh-CN"/>
              </w:rPr>
              <w:t>+27</w:t>
            </w:r>
            <w:r>
              <w:rPr>
                <w:rFonts w:hint="eastAsia" w:ascii="宋体" w:hAnsi="宋体" w:eastAsia="宋体" w:cs="宋体"/>
                <w:color w:val="auto"/>
                <w:spacing w:val="0"/>
                <w:sz w:val="21"/>
                <w:szCs w:val="21"/>
                <w:lang w:val="en-US" w:eastAsia="zh-CN"/>
              </w:rPr>
              <w:t>0m中段</w:t>
            </w:r>
            <w:r>
              <w:rPr>
                <w:rFonts w:hint="eastAsia" w:ascii="宋体" w:hAnsi="宋体" w:cs="宋体"/>
                <w:color w:val="auto"/>
                <w:spacing w:val="0"/>
                <w:sz w:val="21"/>
                <w:szCs w:val="21"/>
                <w:lang w:val="en-US" w:eastAsia="zh-CN"/>
              </w:rPr>
              <w:t>一</w:t>
            </w:r>
            <w:r>
              <w:rPr>
                <w:rFonts w:hint="eastAsia" w:ascii="宋体" w:hAnsi="宋体" w:eastAsia="宋体" w:cs="宋体"/>
                <w:color w:val="auto"/>
                <w:spacing w:val="0"/>
                <w:sz w:val="21"/>
                <w:szCs w:val="21"/>
                <w:lang w:val="en-US" w:eastAsia="zh-CN"/>
              </w:rPr>
              <w:t>封堵墙破损，未设</w:t>
            </w:r>
            <w:r>
              <w:rPr>
                <w:rFonts w:hint="eastAsia" w:ascii="Times New Roman" w:hAnsi="Times New Roman" w:eastAsia="宋体" w:cs="Times New Roman"/>
                <w:b w:val="0"/>
                <w:bCs w:val="0"/>
                <w:color w:val="auto"/>
                <w:spacing w:val="0"/>
                <w:w w:val="100"/>
                <w:sz w:val="21"/>
                <w:szCs w:val="21"/>
              </w:rPr>
              <w:t>标志</w:t>
            </w:r>
            <w:r>
              <w:rPr>
                <w:rFonts w:hint="eastAsia" w:ascii="Times New Roman" w:hAnsi="Times New Roman" w:eastAsia="宋体" w:cs="Times New Roman"/>
                <w:b w:val="0"/>
                <w:bCs w:val="0"/>
                <w:color w:val="auto"/>
                <w:spacing w:val="0"/>
                <w:w w:val="100"/>
                <w:sz w:val="21"/>
                <w:szCs w:val="21"/>
                <w:lang w:val="en-US" w:eastAsia="zh-CN"/>
              </w:rPr>
              <w:t>牌</w:t>
            </w:r>
          </w:p>
        </w:tc>
        <w:tc>
          <w:tcPr>
            <w:tcW w:w="407" w:type="pct"/>
            <w:noWrap w:val="0"/>
            <w:vAlign w:val="center"/>
          </w:tcPr>
          <w:p w14:paraId="790206C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4E1676B1">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009E6A9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cs="Times New Roman"/>
                <w:b w:val="0"/>
                <w:bCs w:val="0"/>
                <w:color w:val="auto"/>
                <w:spacing w:val="0"/>
                <w:w w:val="100"/>
                <w:sz w:val="21"/>
                <w:szCs w:val="21"/>
                <w:lang w:val="en-US" w:eastAsia="zh-CN"/>
              </w:rPr>
              <w:t>0</w:t>
            </w:r>
          </w:p>
        </w:tc>
      </w:tr>
      <w:tr w14:paraId="1517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410D6C0B">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36196192">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2.6防坠</w:t>
            </w:r>
          </w:p>
        </w:tc>
        <w:tc>
          <w:tcPr>
            <w:tcW w:w="835" w:type="pct"/>
            <w:noWrap w:val="0"/>
            <w:vAlign w:val="center"/>
          </w:tcPr>
          <w:p w14:paraId="4E45F73F">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591" w:type="pct"/>
            <w:noWrap w:val="0"/>
            <w:vAlign w:val="center"/>
          </w:tcPr>
          <w:p w14:paraId="57DDAA2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20C9A7D4">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407" w:type="pct"/>
            <w:noWrap w:val="0"/>
            <w:vAlign w:val="center"/>
          </w:tcPr>
          <w:p w14:paraId="6030C88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tc>
        <w:tc>
          <w:tcPr>
            <w:tcW w:w="464" w:type="pct"/>
            <w:noWrap w:val="0"/>
            <w:vAlign w:val="center"/>
          </w:tcPr>
          <w:p w14:paraId="05D36E3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tc>
        <w:tc>
          <w:tcPr>
            <w:tcW w:w="397" w:type="pct"/>
            <w:noWrap w:val="0"/>
            <w:vAlign w:val="center"/>
          </w:tcPr>
          <w:p w14:paraId="3532B4AB">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tc>
      </w:tr>
      <w:tr w14:paraId="7093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3506A552">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72A73BD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2.6.1罐笼提升竖井与各水平的连接处应设置下列设施：</w:t>
            </w:r>
          </w:p>
          <w:p w14:paraId="1A21CD03">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——足够的照明及视频监视装置；</w:t>
            </w:r>
          </w:p>
          <w:p w14:paraId="733ABE7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——通往罐笼间的进出口设常闭安全门，安全门只应在人员或车辆通过时打开；</w:t>
            </w:r>
          </w:p>
          <w:p w14:paraId="258DA4E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 xml:space="preserve"> ——井口周围应设置高度不小于1.5m的防护栏杆或金属网；</w:t>
            </w:r>
          </w:p>
          <w:p w14:paraId="01F4B36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——候罐平台等应设梯子和高度不小于1.2m 的防护栏杆；</w:t>
            </w:r>
          </w:p>
          <w:p w14:paraId="1F743FAC">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——铺设轨道时设置阻车器；</w:t>
            </w:r>
          </w:p>
          <w:p w14:paraId="008C3F9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——井筒两侧的马头门应有人行绕道连通。</w:t>
            </w:r>
          </w:p>
        </w:tc>
        <w:tc>
          <w:tcPr>
            <w:tcW w:w="835" w:type="pct"/>
            <w:noWrap w:val="0"/>
            <w:vAlign w:val="center"/>
          </w:tcPr>
          <w:p w14:paraId="7E1FCA59">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《金属非金属矿山安全规程》第6.2.3.4条</w:t>
            </w:r>
          </w:p>
        </w:tc>
        <w:tc>
          <w:tcPr>
            <w:tcW w:w="591" w:type="pct"/>
            <w:noWrap w:val="0"/>
            <w:vAlign w:val="center"/>
          </w:tcPr>
          <w:p w14:paraId="6D81072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70A25717">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p>
          <w:p w14:paraId="674873F2">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p>
          <w:p w14:paraId="4056A18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p>
          <w:p w14:paraId="44D82C8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p>
          <w:p w14:paraId="4B14D36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p>
          <w:p w14:paraId="41F9CDD8">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p w14:paraId="76688629">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p w14:paraId="7CD898B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p w14:paraId="03833666">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无此项</w:t>
            </w:r>
          </w:p>
          <w:p w14:paraId="1DF772E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p>
          <w:p w14:paraId="499A616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宋体" w:cs="Times New Roman"/>
                <w:b w:val="0"/>
                <w:bCs w:val="0"/>
                <w:color w:val="auto"/>
                <w:spacing w:val="0"/>
                <w:w w:val="100"/>
                <w:sz w:val="21"/>
                <w:szCs w:val="21"/>
              </w:rPr>
            </w:pPr>
          </w:p>
          <w:p w14:paraId="0AE3946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tc>
        <w:tc>
          <w:tcPr>
            <w:tcW w:w="407" w:type="pct"/>
            <w:noWrap w:val="0"/>
            <w:vAlign w:val="center"/>
          </w:tcPr>
          <w:p w14:paraId="1670002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2EE46E9D">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一处不合格扣1分，扣完为止</w:t>
            </w:r>
          </w:p>
        </w:tc>
        <w:tc>
          <w:tcPr>
            <w:tcW w:w="397" w:type="pct"/>
            <w:noWrap w:val="0"/>
            <w:vAlign w:val="center"/>
          </w:tcPr>
          <w:p w14:paraId="76C2FD6F">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5695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03608C1F">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4D37F58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2.6.2天井、溜井和漏斗口，必须设有标志、照明、护栏或格筛、盖板；</w:t>
            </w:r>
          </w:p>
        </w:tc>
        <w:tc>
          <w:tcPr>
            <w:tcW w:w="835" w:type="pct"/>
            <w:noWrap w:val="0"/>
            <w:vAlign w:val="center"/>
          </w:tcPr>
          <w:p w14:paraId="0AA284A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《金属非金属矿山安全规程》第6.1.4.5条</w:t>
            </w:r>
          </w:p>
        </w:tc>
        <w:tc>
          <w:tcPr>
            <w:tcW w:w="591" w:type="pct"/>
            <w:noWrap w:val="0"/>
            <w:vAlign w:val="center"/>
          </w:tcPr>
          <w:p w14:paraId="736E9FB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13319856">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+270m应急安全出口缺少安全指示、警示标志</w:t>
            </w:r>
          </w:p>
        </w:tc>
        <w:tc>
          <w:tcPr>
            <w:tcW w:w="407" w:type="pct"/>
            <w:noWrap w:val="0"/>
            <w:vAlign w:val="center"/>
          </w:tcPr>
          <w:p w14:paraId="06274AC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w:t>
            </w:r>
          </w:p>
        </w:tc>
        <w:tc>
          <w:tcPr>
            <w:tcW w:w="464" w:type="pct"/>
            <w:noWrap w:val="0"/>
            <w:vAlign w:val="center"/>
          </w:tcPr>
          <w:p w14:paraId="0B554B54">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不合格扣3分</w:t>
            </w:r>
          </w:p>
        </w:tc>
        <w:tc>
          <w:tcPr>
            <w:tcW w:w="397" w:type="pct"/>
            <w:noWrap w:val="0"/>
            <w:vAlign w:val="center"/>
          </w:tcPr>
          <w:p w14:paraId="416B3BF0">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cs="Times New Roman"/>
                <w:b w:val="0"/>
                <w:bCs w:val="0"/>
                <w:color w:val="auto"/>
                <w:spacing w:val="0"/>
                <w:w w:val="100"/>
                <w:sz w:val="21"/>
                <w:szCs w:val="21"/>
                <w:lang w:val="en-US" w:eastAsia="zh-CN"/>
              </w:rPr>
              <w:t>0</w:t>
            </w:r>
          </w:p>
        </w:tc>
      </w:tr>
      <w:tr w14:paraId="2D9F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4C3447BD">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6DB1D22F">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2.6.3在竖井、天井、溜井、漏斗上方作业以及在相对于坠落基准面超过2m以上时必须系安全带或者在作业点下方设防坠保护平台或安全网，作业时应有专人监护。</w:t>
            </w:r>
          </w:p>
        </w:tc>
        <w:tc>
          <w:tcPr>
            <w:tcW w:w="835" w:type="pct"/>
            <w:noWrap w:val="0"/>
            <w:vAlign w:val="center"/>
          </w:tcPr>
          <w:p w14:paraId="0D4A5F3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《金属非金属矿山安全规程》第6.1.4.6条</w:t>
            </w:r>
          </w:p>
        </w:tc>
        <w:tc>
          <w:tcPr>
            <w:tcW w:w="591" w:type="pct"/>
            <w:noWrap w:val="0"/>
            <w:vAlign w:val="center"/>
          </w:tcPr>
          <w:p w14:paraId="264962F4">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4845D68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09260B0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b w:val="0"/>
                <w:bCs w:val="0"/>
                <w:color w:val="auto"/>
                <w:spacing w:val="0"/>
                <w:w w:val="100"/>
                <w:sz w:val="21"/>
                <w:szCs w:val="21"/>
              </w:rPr>
            </w:pPr>
          </w:p>
          <w:p w14:paraId="35BA1F7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2EBDAA5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3177A91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一处不合格扣1分，扣完为止</w:t>
            </w:r>
          </w:p>
        </w:tc>
        <w:tc>
          <w:tcPr>
            <w:tcW w:w="397" w:type="pct"/>
            <w:noWrap w:val="0"/>
            <w:vAlign w:val="center"/>
          </w:tcPr>
          <w:p w14:paraId="224826B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r>
      <w:tr w14:paraId="5080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restart"/>
            <w:noWrap w:val="0"/>
            <w:vAlign w:val="center"/>
          </w:tcPr>
          <w:p w14:paraId="1A2DF8E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3、采矿方法和地压控制</w:t>
            </w:r>
          </w:p>
          <w:p w14:paraId="405A806F">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12分</w:t>
            </w:r>
          </w:p>
        </w:tc>
        <w:tc>
          <w:tcPr>
            <w:tcW w:w="1378" w:type="pct"/>
            <w:noWrap w:val="0"/>
            <w:vAlign w:val="center"/>
          </w:tcPr>
          <w:p w14:paraId="7D330CDB">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3.1采用的采矿方法，必须符合设计和《规程》的要求；</w:t>
            </w:r>
          </w:p>
        </w:tc>
        <w:tc>
          <w:tcPr>
            <w:tcW w:w="835" w:type="pct"/>
            <w:noWrap w:val="0"/>
            <w:vAlign w:val="center"/>
          </w:tcPr>
          <w:p w14:paraId="1B536631">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《金属非金属矿山安全规程》第6.3.2条</w:t>
            </w:r>
          </w:p>
        </w:tc>
        <w:tc>
          <w:tcPr>
            <w:tcW w:w="591" w:type="pct"/>
            <w:noWrap w:val="0"/>
            <w:vAlign w:val="center"/>
          </w:tcPr>
          <w:p w14:paraId="13CAE8A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center"/>
          </w:tcPr>
          <w:p w14:paraId="41186185">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2B5CB09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133E2F1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6C59B2A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r>
      <w:tr w14:paraId="5517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298611CA">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5C6FE5EF">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3.2工作面的空顶高度不得超过设计规定的数值；</w:t>
            </w:r>
          </w:p>
        </w:tc>
        <w:tc>
          <w:tcPr>
            <w:tcW w:w="835" w:type="pct"/>
            <w:noWrap w:val="0"/>
            <w:vAlign w:val="center"/>
          </w:tcPr>
          <w:p w14:paraId="6F12E116">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《金属非金属矿山安全规程》第6.3.1.2条</w:t>
            </w:r>
          </w:p>
        </w:tc>
        <w:tc>
          <w:tcPr>
            <w:tcW w:w="591" w:type="pct"/>
            <w:noWrap w:val="0"/>
            <w:vAlign w:val="center"/>
          </w:tcPr>
          <w:p w14:paraId="0E2890E7">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center"/>
          </w:tcPr>
          <w:p w14:paraId="6B13BAE9">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622684FC">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3FF223D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71C1975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r>
      <w:tr w14:paraId="0EE5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0C2B4FFC">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2E82FBE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3.3采矿设计应提出矿柱回采和采空区处理方案，并制定专门的安全措施；</w:t>
            </w:r>
          </w:p>
        </w:tc>
        <w:tc>
          <w:tcPr>
            <w:tcW w:w="835" w:type="pct"/>
            <w:noWrap w:val="0"/>
            <w:vAlign w:val="center"/>
          </w:tcPr>
          <w:p w14:paraId="3B63C07A">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《金属非金属矿山安全规程》第6.3.1.5条</w:t>
            </w:r>
          </w:p>
        </w:tc>
        <w:tc>
          <w:tcPr>
            <w:tcW w:w="591" w:type="pct"/>
            <w:noWrap w:val="0"/>
            <w:vAlign w:val="center"/>
          </w:tcPr>
          <w:p w14:paraId="2BA9C3CE">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center"/>
          </w:tcPr>
          <w:p w14:paraId="5156FC8F">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+270m中段掘进作业边帮松石未处理</w:t>
            </w:r>
          </w:p>
        </w:tc>
        <w:tc>
          <w:tcPr>
            <w:tcW w:w="407" w:type="pct"/>
            <w:noWrap w:val="0"/>
            <w:vAlign w:val="center"/>
          </w:tcPr>
          <w:p w14:paraId="23AC5C7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58EB13AF">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2B7E423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0</w:t>
            </w:r>
          </w:p>
        </w:tc>
      </w:tr>
      <w:tr w14:paraId="6F40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4B27DEAA">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top"/>
          </w:tcPr>
          <w:p w14:paraId="30FD84E6">
            <w:pPr>
              <w:keepNext w:val="0"/>
              <w:keepLines w:val="0"/>
              <w:pageBreakBefore w:val="0"/>
              <w:kinsoku/>
              <w:wordWrap/>
              <w:overflowPunct/>
              <w:topLinePunct w:val="0"/>
              <w:autoSpaceDE/>
              <w:autoSpaceDN/>
              <w:bidi w:val="0"/>
              <w:adjustRightInd/>
              <w:snapToGrid/>
              <w:spacing w:line="320" w:lineRule="exact"/>
              <w:ind w:left="0" w:leftChars="0" w:firstLine="0" w:firstLineChars="0"/>
              <w:jc w:val="left"/>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3.4严格保持矿柱的尺寸、形状和直立度，应有专人检查和管理，以保证其在整个利用期间的稳定性；</w:t>
            </w:r>
          </w:p>
        </w:tc>
        <w:tc>
          <w:tcPr>
            <w:tcW w:w="835" w:type="pct"/>
            <w:noWrap w:val="0"/>
            <w:vAlign w:val="top"/>
          </w:tcPr>
          <w:p w14:paraId="1DCE84D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《金属非金属矿山安全规程》第6.3.1.6条</w:t>
            </w:r>
          </w:p>
        </w:tc>
        <w:tc>
          <w:tcPr>
            <w:tcW w:w="591" w:type="pct"/>
            <w:noWrap w:val="0"/>
            <w:vAlign w:val="top"/>
          </w:tcPr>
          <w:p w14:paraId="15D4728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5E0F99B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top"/>
          </w:tcPr>
          <w:p w14:paraId="6E79C1DB">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p>
          <w:p w14:paraId="036CB6E0">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115FA5EB">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top"/>
          </w:tcPr>
          <w:p w14:paraId="240D57A2">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3326C1E8">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r>
      <w:tr w14:paraId="38C9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53AD4810">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3BE8AE5E">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3.5应建立顶板分级管理制度；</w:t>
            </w:r>
          </w:p>
        </w:tc>
        <w:tc>
          <w:tcPr>
            <w:tcW w:w="835" w:type="pct"/>
            <w:noWrap w:val="0"/>
            <w:vAlign w:val="center"/>
          </w:tcPr>
          <w:p w14:paraId="2D0A70D8">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《金属非金属矿山安全规程》第6.3.1.12条</w:t>
            </w:r>
          </w:p>
        </w:tc>
        <w:tc>
          <w:tcPr>
            <w:tcW w:w="591" w:type="pct"/>
            <w:noWrap w:val="0"/>
            <w:vAlign w:val="center"/>
          </w:tcPr>
          <w:p w14:paraId="1BF6EBFF">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center"/>
          </w:tcPr>
          <w:p w14:paraId="71B4BA8D">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lang w:val="en-US" w:eastAsia="zh-CN"/>
              </w:rPr>
              <w:t>不</w:t>
            </w:r>
            <w:r>
              <w:rPr>
                <w:rFonts w:hint="eastAsia" w:ascii="Times New Roman" w:hAnsi="Times New Roman" w:eastAsia="宋体" w:cs="Times New Roman"/>
                <w:b w:val="0"/>
                <w:bCs w:val="0"/>
                <w:color w:val="auto"/>
                <w:spacing w:val="0"/>
                <w:w w:val="100"/>
                <w:sz w:val="21"/>
                <w:szCs w:val="21"/>
              </w:rPr>
              <w:t>符合</w:t>
            </w:r>
          </w:p>
        </w:tc>
        <w:tc>
          <w:tcPr>
            <w:tcW w:w="407" w:type="pct"/>
            <w:noWrap w:val="0"/>
            <w:vAlign w:val="center"/>
          </w:tcPr>
          <w:p w14:paraId="75926181">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577D991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21C20367">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0</w:t>
            </w:r>
          </w:p>
        </w:tc>
      </w:tr>
      <w:tr w14:paraId="643F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noWrap w:val="0"/>
            <w:vAlign w:val="center"/>
          </w:tcPr>
          <w:p w14:paraId="654C679E">
            <w:pPr>
              <w:keepNext w:val="0"/>
              <w:keepLines w:val="0"/>
              <w:pageBreakBefore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b w:val="0"/>
                <w:bCs w:val="0"/>
                <w:color w:val="auto"/>
                <w:spacing w:val="0"/>
                <w:w w:val="100"/>
                <w:sz w:val="21"/>
                <w:szCs w:val="21"/>
              </w:rPr>
            </w:pPr>
          </w:p>
        </w:tc>
        <w:tc>
          <w:tcPr>
            <w:tcW w:w="1378" w:type="pct"/>
            <w:noWrap w:val="0"/>
            <w:vAlign w:val="center"/>
          </w:tcPr>
          <w:p w14:paraId="4F4A7E4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3.6采用空场法采矿的矿山，应采取充填、隔离或强制崩落围岩的措施，及时处理采空区。</w:t>
            </w:r>
          </w:p>
        </w:tc>
        <w:tc>
          <w:tcPr>
            <w:tcW w:w="835" w:type="pct"/>
            <w:noWrap w:val="0"/>
            <w:vAlign w:val="center"/>
          </w:tcPr>
          <w:p w14:paraId="1C4393ED">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《金属非金属矿山安全规程》第6.3.1.15条</w:t>
            </w:r>
          </w:p>
        </w:tc>
        <w:tc>
          <w:tcPr>
            <w:tcW w:w="591" w:type="pct"/>
            <w:noWrap w:val="0"/>
            <w:vAlign w:val="center"/>
          </w:tcPr>
          <w:p w14:paraId="23FDD3F1">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查现场</w:t>
            </w:r>
          </w:p>
        </w:tc>
        <w:tc>
          <w:tcPr>
            <w:tcW w:w="506" w:type="pct"/>
            <w:noWrap w:val="0"/>
            <w:vAlign w:val="center"/>
          </w:tcPr>
          <w:p w14:paraId="56DFAEA8">
            <w:pPr>
              <w:keepNext w:val="0"/>
              <w:keepLines w:val="0"/>
              <w:pageBreakBefore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lang w:val="en-US" w:eastAsia="zh-CN"/>
              </w:rPr>
              <w:t>用墙</w:t>
            </w:r>
            <w:r>
              <w:rPr>
                <w:rFonts w:hint="eastAsia" w:ascii="Times New Roman" w:hAnsi="Times New Roman" w:eastAsia="宋体" w:cs="Times New Roman"/>
                <w:b w:val="0"/>
                <w:bCs w:val="0"/>
                <w:color w:val="auto"/>
                <w:spacing w:val="0"/>
                <w:w w:val="100"/>
                <w:sz w:val="21"/>
                <w:szCs w:val="21"/>
              </w:rPr>
              <w:t>隔离采空区</w:t>
            </w:r>
          </w:p>
        </w:tc>
        <w:tc>
          <w:tcPr>
            <w:tcW w:w="407" w:type="pct"/>
            <w:noWrap w:val="0"/>
            <w:vAlign w:val="center"/>
          </w:tcPr>
          <w:p w14:paraId="582378D5">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2</w:t>
            </w:r>
          </w:p>
        </w:tc>
        <w:tc>
          <w:tcPr>
            <w:tcW w:w="464" w:type="pct"/>
            <w:noWrap w:val="0"/>
            <w:vAlign w:val="center"/>
          </w:tcPr>
          <w:p w14:paraId="1B598D0B">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不符合要求不得分</w:t>
            </w:r>
          </w:p>
        </w:tc>
        <w:tc>
          <w:tcPr>
            <w:tcW w:w="397" w:type="pct"/>
            <w:noWrap w:val="0"/>
            <w:vAlign w:val="center"/>
          </w:tcPr>
          <w:p w14:paraId="3B08854E">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2</w:t>
            </w:r>
          </w:p>
        </w:tc>
      </w:tr>
      <w:tr w14:paraId="0356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noWrap w:val="0"/>
            <w:vAlign w:val="center"/>
          </w:tcPr>
          <w:p w14:paraId="5BF63E39">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小计</w:t>
            </w:r>
          </w:p>
        </w:tc>
        <w:tc>
          <w:tcPr>
            <w:tcW w:w="1378" w:type="pct"/>
            <w:noWrap w:val="0"/>
            <w:vAlign w:val="center"/>
          </w:tcPr>
          <w:p w14:paraId="299F6C7F">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rPr>
              <w:t>总分80分</w:t>
            </w:r>
          </w:p>
        </w:tc>
        <w:tc>
          <w:tcPr>
            <w:tcW w:w="835" w:type="pct"/>
            <w:noWrap w:val="0"/>
            <w:vAlign w:val="center"/>
          </w:tcPr>
          <w:p w14:paraId="00CAE351">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tc>
        <w:tc>
          <w:tcPr>
            <w:tcW w:w="591" w:type="pct"/>
            <w:noWrap w:val="0"/>
            <w:vAlign w:val="center"/>
          </w:tcPr>
          <w:p w14:paraId="5C72E04C">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tc>
        <w:tc>
          <w:tcPr>
            <w:tcW w:w="506" w:type="pct"/>
            <w:noWrap w:val="0"/>
            <w:vAlign w:val="top"/>
          </w:tcPr>
          <w:p w14:paraId="4F496394">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tc>
        <w:tc>
          <w:tcPr>
            <w:tcW w:w="407" w:type="pct"/>
            <w:noWrap w:val="0"/>
            <w:vAlign w:val="center"/>
          </w:tcPr>
          <w:p w14:paraId="7ED82219">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54</w:t>
            </w:r>
          </w:p>
        </w:tc>
        <w:tc>
          <w:tcPr>
            <w:tcW w:w="464" w:type="pct"/>
            <w:noWrap w:val="0"/>
            <w:vAlign w:val="center"/>
          </w:tcPr>
          <w:p w14:paraId="4F5FF3D2">
            <w:pPr>
              <w:keepNext w:val="0"/>
              <w:keepLines w:val="0"/>
              <w:pageBreakBefore w:val="0"/>
              <w:kinsoku/>
              <w:wordWrap/>
              <w:overflowPunct/>
              <w:topLinePunct w:val="0"/>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b w:val="0"/>
                <w:bCs w:val="0"/>
                <w:color w:val="auto"/>
                <w:spacing w:val="0"/>
                <w:w w:val="100"/>
                <w:sz w:val="21"/>
                <w:szCs w:val="21"/>
              </w:rPr>
            </w:pPr>
          </w:p>
        </w:tc>
        <w:tc>
          <w:tcPr>
            <w:tcW w:w="397" w:type="pct"/>
            <w:noWrap w:val="0"/>
            <w:vAlign w:val="center"/>
          </w:tcPr>
          <w:p w14:paraId="5BE07E23">
            <w:pPr>
              <w:keepNext w:val="0"/>
              <w:keepLines w:val="0"/>
              <w:pageBreakBefore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4</w:t>
            </w:r>
            <w:r>
              <w:rPr>
                <w:rFonts w:hint="eastAsia" w:ascii="Times New Roman" w:hAnsi="Times New Roman" w:cs="Times New Roman"/>
                <w:b w:val="0"/>
                <w:bCs w:val="0"/>
                <w:color w:val="auto"/>
                <w:spacing w:val="0"/>
                <w:w w:val="100"/>
                <w:sz w:val="21"/>
                <w:szCs w:val="21"/>
                <w:lang w:val="en-US" w:eastAsia="zh-CN"/>
              </w:rPr>
              <w:t>1</w:t>
            </w:r>
          </w:p>
        </w:tc>
      </w:tr>
    </w:tbl>
    <w:p w14:paraId="478D9E83">
      <w:pPr>
        <w:pStyle w:val="5"/>
        <w:bidi w:val="0"/>
        <w:rPr>
          <w:rFonts w:hint="eastAsia"/>
          <w:color w:val="auto"/>
          <w:lang w:val="en-US" w:eastAsia="zh-CN"/>
        </w:rPr>
      </w:pPr>
      <w:bookmarkStart w:id="816" w:name="_Toc1615"/>
      <w:bookmarkStart w:id="817" w:name="_Toc17412"/>
      <w:bookmarkStart w:id="818" w:name="_Toc25104"/>
      <w:bookmarkStart w:id="819" w:name="_Toc18582"/>
      <w:r>
        <w:rPr>
          <w:rFonts w:hint="eastAsia"/>
          <w:color w:val="auto"/>
          <w:lang w:val="en-US" w:eastAsia="zh-CN"/>
        </w:rPr>
        <w:t>5.2.2 单元评价小结</w:t>
      </w:r>
      <w:bookmarkEnd w:id="816"/>
      <w:bookmarkEnd w:id="817"/>
      <w:bookmarkEnd w:id="818"/>
      <w:bookmarkEnd w:id="819"/>
    </w:p>
    <w:p w14:paraId="7D8921B4">
      <w:pPr>
        <w:bidi w:val="0"/>
        <w:rPr>
          <w:rFonts w:hint="eastAsia"/>
          <w:color w:val="auto"/>
        </w:rPr>
      </w:pPr>
      <w:bookmarkStart w:id="820" w:name="_Toc1017"/>
      <w:bookmarkStart w:id="821" w:name="_Toc14930"/>
      <w:bookmarkStart w:id="822" w:name="_Toc7699"/>
      <w:bookmarkStart w:id="823" w:name="_Toc29782"/>
      <w:bookmarkStart w:id="824" w:name="_Toc20599"/>
      <w:bookmarkStart w:id="825" w:name="_Toc17618"/>
      <w:bookmarkStart w:id="826" w:name="_Toc14243"/>
      <w:bookmarkStart w:id="827" w:name="_Toc8268"/>
      <w:r>
        <w:rPr>
          <w:rFonts w:hint="eastAsia"/>
          <w:color w:val="auto"/>
        </w:rPr>
        <w:t>1）通过安全检查表分析评价，开采综合单元总分80分，无关项</w:t>
      </w:r>
      <w:r>
        <w:rPr>
          <w:rFonts w:hint="eastAsia"/>
          <w:color w:val="auto"/>
          <w:lang w:val="en-US" w:eastAsia="zh-CN"/>
        </w:rPr>
        <w:t>26</w:t>
      </w:r>
      <w:r>
        <w:rPr>
          <w:rFonts w:hint="eastAsia"/>
          <w:color w:val="auto"/>
        </w:rPr>
        <w:t>分，应得分</w:t>
      </w:r>
      <w:r>
        <w:rPr>
          <w:rFonts w:hint="eastAsia"/>
          <w:color w:val="auto"/>
          <w:lang w:val="en-US" w:eastAsia="zh-CN"/>
        </w:rPr>
        <w:t>54</w:t>
      </w:r>
      <w:r>
        <w:rPr>
          <w:rFonts w:hint="eastAsia"/>
          <w:color w:val="auto"/>
        </w:rPr>
        <w:t>分，</w:t>
      </w:r>
      <w:r>
        <w:rPr>
          <w:rFonts w:hint="eastAsia"/>
          <w:color w:val="auto"/>
          <w:lang w:val="en-US" w:eastAsia="zh-CN"/>
        </w:rPr>
        <w:t>扣分13分，</w:t>
      </w:r>
      <w:r>
        <w:rPr>
          <w:rFonts w:hint="eastAsia"/>
          <w:color w:val="auto"/>
        </w:rPr>
        <w:t>实得分</w:t>
      </w:r>
      <w:r>
        <w:rPr>
          <w:rFonts w:hint="eastAsia"/>
          <w:color w:val="auto"/>
          <w:lang w:val="en-US" w:eastAsia="zh-CN"/>
        </w:rPr>
        <w:t>41</w:t>
      </w:r>
      <w:r>
        <w:rPr>
          <w:rFonts w:hint="eastAsia"/>
          <w:color w:val="auto"/>
        </w:rPr>
        <w:t>分，得分率为</w:t>
      </w:r>
      <w:r>
        <w:rPr>
          <w:rFonts w:hint="eastAsia"/>
          <w:color w:val="auto"/>
          <w:lang w:val="en-US" w:eastAsia="zh-CN"/>
        </w:rPr>
        <w:t>75.93</w:t>
      </w:r>
      <w:r>
        <w:rPr>
          <w:rFonts w:hint="eastAsia"/>
          <w:color w:val="auto"/>
        </w:rPr>
        <w:t>%。综上所述，开采综合单元能满足安全生产活动。</w:t>
      </w:r>
    </w:p>
    <w:p w14:paraId="64536FDB">
      <w:pPr>
        <w:bidi w:val="0"/>
        <w:rPr>
          <w:rFonts w:hint="eastAsia"/>
          <w:color w:val="auto"/>
        </w:rPr>
      </w:pPr>
      <w:r>
        <w:rPr>
          <w:rFonts w:hint="eastAsia"/>
          <w:color w:val="auto"/>
        </w:rPr>
        <w:t>2）存在的问题：</w:t>
      </w:r>
    </w:p>
    <w:p w14:paraId="157B8CEB">
      <w:pPr>
        <w:bidi w:val="0"/>
        <w:rPr>
          <w:rFonts w:hint="eastAsia"/>
          <w:color w:val="auto"/>
          <w:lang w:val="en-US"/>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+270m应急安全出口缺少安全指示、警示标志。</w:t>
      </w:r>
    </w:p>
    <w:p w14:paraId="1A6C05A8">
      <w:pPr>
        <w:bidi w:val="0"/>
        <w:rPr>
          <w:rFonts w:hint="eastAsia"/>
          <w:color w:val="auto"/>
          <w:lang w:val="en-US" w:eastAsia="zh-CN"/>
        </w:rPr>
      </w:pPr>
      <w:r>
        <w:rPr>
          <w:rFonts w:hint="eastAsia"/>
          <w:color w:val="auto"/>
          <w:lang w:val="en-US" w:eastAsia="zh-CN"/>
        </w:rPr>
        <w:t>（2）+270m中段一封堵墙破损，墙上未设标识牌。</w:t>
      </w:r>
    </w:p>
    <w:p w14:paraId="1DE7076C">
      <w:pPr>
        <w:bidi w:val="0"/>
        <w:rPr>
          <w:rFonts w:hint="eastAsia"/>
          <w:color w:val="auto"/>
        </w:rPr>
      </w:pPr>
      <w:r>
        <w:rPr>
          <w:rFonts w:hint="eastAsia"/>
          <w:color w:val="auto"/>
          <w:lang w:val="en-US" w:eastAsia="zh-CN"/>
        </w:rPr>
        <w:t>（3）+270m中段掘进作业边帮松石未处理。</w:t>
      </w:r>
    </w:p>
    <w:p w14:paraId="159BF8D1">
      <w:pPr>
        <w:bidi w:val="0"/>
        <w:rPr>
          <w:rFonts w:hint="eastAsia"/>
          <w:color w:val="auto"/>
          <w:lang w:eastAsia="zh-CN"/>
        </w:rPr>
      </w:pPr>
      <w:r>
        <w:rPr>
          <w:rFonts w:hint="eastAsia"/>
          <w:color w:val="auto"/>
          <w:lang w:val="en-US" w:eastAsia="zh-CN"/>
        </w:rPr>
        <w:t>（4）未</w:t>
      </w:r>
      <w:r>
        <w:rPr>
          <w:rFonts w:hint="eastAsia"/>
          <w:color w:val="auto"/>
        </w:rPr>
        <w:t>建立顶板分级管理制度</w:t>
      </w:r>
      <w:r>
        <w:rPr>
          <w:rFonts w:hint="eastAsia"/>
          <w:color w:val="auto"/>
          <w:lang w:eastAsia="zh-CN"/>
        </w:rPr>
        <w:t>。</w:t>
      </w:r>
    </w:p>
    <w:p w14:paraId="3F7F04D1">
      <w:pPr>
        <w:pStyle w:val="4"/>
        <w:bidi w:val="0"/>
        <w:rPr>
          <w:rFonts w:hint="eastAsia"/>
          <w:color w:val="auto"/>
          <w:lang w:val="en-US" w:eastAsia="zh-CN"/>
        </w:rPr>
      </w:pPr>
      <w:bookmarkStart w:id="828" w:name="_Toc18609"/>
      <w:r>
        <w:rPr>
          <w:rFonts w:hint="eastAsia"/>
          <w:color w:val="auto"/>
          <w:lang w:val="en-US" w:eastAsia="zh-CN"/>
        </w:rPr>
        <w:t>5.3 爆破单元</w:t>
      </w:r>
      <w:bookmarkEnd w:id="820"/>
      <w:bookmarkEnd w:id="821"/>
      <w:bookmarkEnd w:id="822"/>
      <w:bookmarkEnd w:id="823"/>
      <w:bookmarkEnd w:id="824"/>
      <w:bookmarkEnd w:id="825"/>
      <w:bookmarkEnd w:id="826"/>
      <w:bookmarkEnd w:id="827"/>
      <w:bookmarkEnd w:id="828"/>
    </w:p>
    <w:p w14:paraId="1648A385">
      <w:pPr>
        <w:pStyle w:val="5"/>
        <w:bidi w:val="0"/>
        <w:rPr>
          <w:color w:val="auto"/>
        </w:rPr>
      </w:pPr>
      <w:bookmarkStart w:id="829" w:name="_Toc8589"/>
      <w:bookmarkStart w:id="830" w:name="_Toc22253"/>
      <w:bookmarkStart w:id="831" w:name="_Toc29440"/>
      <w:bookmarkStart w:id="832" w:name="_Toc30785"/>
      <w:r>
        <w:rPr>
          <w:rFonts w:hint="eastAsia"/>
          <w:color w:val="auto"/>
          <w:lang w:val="en-US" w:eastAsia="zh-CN"/>
        </w:rPr>
        <w:t>5.3.1 安全检查表评价</w:t>
      </w:r>
      <w:bookmarkEnd w:id="829"/>
      <w:bookmarkEnd w:id="830"/>
      <w:bookmarkEnd w:id="831"/>
      <w:bookmarkEnd w:id="832"/>
    </w:p>
    <w:p w14:paraId="5BD61F59">
      <w:pPr>
        <w:bidi w:val="0"/>
        <w:jc w:val="left"/>
        <w:rPr>
          <w:rFonts w:hint="eastAsia"/>
          <w:color w:val="auto"/>
          <w:lang w:val="en-US" w:eastAsia="zh-CN"/>
        </w:rPr>
      </w:pPr>
      <w:r>
        <w:rPr>
          <w:rFonts w:hint="eastAsia"/>
          <w:color w:val="auto"/>
          <w:lang w:val="en-US" w:eastAsia="zh-CN"/>
        </w:rPr>
        <w:t>矿山只在地面上有民用爆炸物品存储库，井下需用</w:t>
      </w:r>
      <w:r>
        <w:rPr>
          <w:rFonts w:hint="default"/>
          <w:color w:val="auto"/>
          <w:lang w:val="en-US" w:eastAsia="zh-CN"/>
        </w:rPr>
        <w:t>爆破物品</w:t>
      </w:r>
      <w:r>
        <w:rPr>
          <w:rFonts w:hint="eastAsia"/>
          <w:color w:val="auto"/>
          <w:lang w:val="en-US" w:eastAsia="zh-CN"/>
        </w:rPr>
        <w:t>时，按所需当天领入井内。用安全检查表分析法对爆破单元进行分析评价，见表5.3-1。</w:t>
      </w:r>
    </w:p>
    <w:p w14:paraId="70365D0B">
      <w:pPr>
        <w:bidi w:val="0"/>
        <w:jc w:val="center"/>
        <w:rPr>
          <w:rFonts w:hint="eastAsia"/>
          <w:color w:val="auto"/>
        </w:rPr>
      </w:pPr>
      <w:r>
        <w:rPr>
          <w:rFonts w:hint="eastAsia"/>
          <w:color w:val="auto"/>
        </w:rPr>
        <w:t>表 5</w:t>
      </w:r>
      <w:r>
        <w:rPr>
          <w:rFonts w:hint="eastAsia"/>
          <w:color w:val="auto"/>
          <w:lang w:val="en-US" w:eastAsia="zh-CN"/>
        </w:rPr>
        <w:t>.3-1</w:t>
      </w:r>
      <w:r>
        <w:rPr>
          <w:rFonts w:hint="eastAsia"/>
          <w:color w:val="auto"/>
        </w:rPr>
        <w:t xml:space="preserve">   爆破单元安全检查表</w:t>
      </w:r>
    </w:p>
    <w:tbl>
      <w:tblPr>
        <w:tblStyle w:val="18"/>
        <w:tblpPr w:leftFromText="180" w:rightFromText="180" w:vertAnchor="text" w:horzAnchor="page" w:tblpX="1807" w:tblpY="4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722"/>
        <w:gridCol w:w="1316"/>
        <w:gridCol w:w="930"/>
        <w:gridCol w:w="770"/>
        <w:gridCol w:w="690"/>
        <w:gridCol w:w="680"/>
        <w:gridCol w:w="644"/>
      </w:tblGrid>
      <w:tr w14:paraId="2C6B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54" w:type="dxa"/>
            <w:noWrap w:val="0"/>
            <w:vAlign w:val="center"/>
          </w:tcPr>
          <w:p w14:paraId="73CC856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w:t>
            </w:r>
          </w:p>
          <w:p w14:paraId="02A33B2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项目</w:t>
            </w:r>
          </w:p>
        </w:tc>
        <w:tc>
          <w:tcPr>
            <w:tcW w:w="2722" w:type="dxa"/>
            <w:noWrap w:val="0"/>
            <w:vAlign w:val="center"/>
          </w:tcPr>
          <w:p w14:paraId="760CDFDB">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检查内容</w:t>
            </w:r>
          </w:p>
        </w:tc>
        <w:tc>
          <w:tcPr>
            <w:tcW w:w="1316" w:type="dxa"/>
            <w:noWrap w:val="0"/>
            <w:vAlign w:val="center"/>
          </w:tcPr>
          <w:p w14:paraId="0B4D677D">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检查依据</w:t>
            </w:r>
          </w:p>
        </w:tc>
        <w:tc>
          <w:tcPr>
            <w:tcW w:w="930" w:type="dxa"/>
            <w:noWrap w:val="0"/>
            <w:vAlign w:val="center"/>
          </w:tcPr>
          <w:p w14:paraId="6BC29910">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w:t>
            </w:r>
          </w:p>
          <w:p w14:paraId="3CAF0091">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方法及地点</w:t>
            </w:r>
          </w:p>
        </w:tc>
        <w:tc>
          <w:tcPr>
            <w:tcW w:w="770" w:type="dxa"/>
            <w:noWrap w:val="0"/>
            <w:vAlign w:val="center"/>
          </w:tcPr>
          <w:p w14:paraId="0CA7F41C">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检查记录</w:t>
            </w:r>
          </w:p>
        </w:tc>
        <w:tc>
          <w:tcPr>
            <w:tcW w:w="690" w:type="dxa"/>
            <w:noWrap w:val="0"/>
            <w:vAlign w:val="center"/>
          </w:tcPr>
          <w:p w14:paraId="4A5B93DE">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标准分值</w:t>
            </w:r>
          </w:p>
        </w:tc>
        <w:tc>
          <w:tcPr>
            <w:tcW w:w="680" w:type="dxa"/>
            <w:noWrap w:val="0"/>
            <w:vAlign w:val="center"/>
          </w:tcPr>
          <w:p w14:paraId="1DCA2196">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评分</w:t>
            </w:r>
          </w:p>
          <w:p w14:paraId="15D6B00D">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标准</w:t>
            </w:r>
          </w:p>
        </w:tc>
        <w:tc>
          <w:tcPr>
            <w:tcW w:w="644" w:type="dxa"/>
            <w:noWrap w:val="0"/>
            <w:vAlign w:val="center"/>
          </w:tcPr>
          <w:p w14:paraId="596CA880">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检查结果</w:t>
            </w:r>
          </w:p>
        </w:tc>
      </w:tr>
      <w:tr w14:paraId="4994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754" w:type="dxa"/>
            <w:vMerge w:val="restart"/>
            <w:noWrap w:val="0"/>
            <w:vAlign w:val="center"/>
          </w:tcPr>
          <w:p w14:paraId="2DD02836">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r>
              <w:rPr>
                <w:rFonts w:hint="eastAsia" w:ascii="宋体" w:hAnsi="宋体" w:eastAsia="宋体" w:cs="Times New Roman"/>
                <w:color w:val="auto"/>
                <w:spacing w:val="0"/>
                <w:sz w:val="21"/>
                <w:szCs w:val="21"/>
                <w:lang w:val="en-US" w:eastAsia="zh-CN"/>
              </w:rPr>
              <w:t>.</w:t>
            </w:r>
            <w:r>
              <w:rPr>
                <w:rFonts w:hint="eastAsia" w:ascii="宋体" w:hAnsi="宋体" w:eastAsia="宋体" w:cs="Times New Roman"/>
                <w:color w:val="auto"/>
                <w:spacing w:val="0"/>
                <w:sz w:val="21"/>
                <w:szCs w:val="21"/>
              </w:rPr>
              <w:t>井下爆破</w:t>
            </w:r>
          </w:p>
        </w:tc>
        <w:tc>
          <w:tcPr>
            <w:tcW w:w="2722" w:type="dxa"/>
            <w:noWrap w:val="0"/>
            <w:vAlign w:val="center"/>
          </w:tcPr>
          <w:p w14:paraId="3315AB3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1.1矿山应建立炸药领用和退库登记制度</w:t>
            </w:r>
          </w:p>
        </w:tc>
        <w:tc>
          <w:tcPr>
            <w:tcW w:w="1316" w:type="dxa"/>
            <w:noWrap w:val="0"/>
            <w:vAlign w:val="center"/>
          </w:tcPr>
          <w:p w14:paraId="37254F50">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《民用爆炸物品安全管理条例》第41条</w:t>
            </w:r>
          </w:p>
        </w:tc>
        <w:tc>
          <w:tcPr>
            <w:tcW w:w="930" w:type="dxa"/>
            <w:noWrap w:val="0"/>
            <w:vAlign w:val="center"/>
          </w:tcPr>
          <w:p w14:paraId="1C434F93">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查资料</w:t>
            </w:r>
          </w:p>
        </w:tc>
        <w:tc>
          <w:tcPr>
            <w:tcW w:w="770" w:type="dxa"/>
            <w:noWrap w:val="0"/>
            <w:vAlign w:val="top"/>
          </w:tcPr>
          <w:p w14:paraId="58A330F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lang w:val="en-US" w:eastAsia="zh-CN"/>
              </w:rPr>
            </w:pPr>
          </w:p>
          <w:p w14:paraId="7017197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cs="Times New Roman"/>
                <w:color w:val="auto"/>
                <w:spacing w:val="0"/>
                <w:sz w:val="21"/>
                <w:szCs w:val="21"/>
                <w:lang w:val="en-US" w:eastAsia="zh-CN"/>
              </w:rPr>
              <w:t>符合</w:t>
            </w:r>
          </w:p>
        </w:tc>
        <w:tc>
          <w:tcPr>
            <w:tcW w:w="690" w:type="dxa"/>
            <w:noWrap w:val="0"/>
            <w:vAlign w:val="center"/>
          </w:tcPr>
          <w:p w14:paraId="2D91730B">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05F750D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63A7AC7B">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cs="Times New Roman"/>
                <w:color w:val="auto"/>
                <w:spacing w:val="0"/>
                <w:sz w:val="21"/>
                <w:szCs w:val="21"/>
                <w:lang w:val="en-US" w:eastAsia="zh-CN"/>
              </w:rPr>
              <w:t>2</w:t>
            </w:r>
          </w:p>
        </w:tc>
      </w:tr>
      <w:tr w14:paraId="34A3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54" w:type="dxa"/>
            <w:vMerge w:val="continue"/>
            <w:noWrap w:val="0"/>
            <w:vAlign w:val="center"/>
          </w:tcPr>
          <w:p w14:paraId="60DF3559">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24895E6A">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rPr>
              <w:t>1.2井下爆破作业，必须严格按审批的爆破设计或爆破说明书进行。爆破设计书应由单位技术负责人批准</w:t>
            </w:r>
          </w:p>
        </w:tc>
        <w:tc>
          <w:tcPr>
            <w:tcW w:w="1316" w:type="dxa"/>
            <w:noWrap w:val="0"/>
            <w:vAlign w:val="center"/>
          </w:tcPr>
          <w:p w14:paraId="2099EAFB">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w:t>
            </w:r>
          </w:p>
        </w:tc>
        <w:tc>
          <w:tcPr>
            <w:tcW w:w="930" w:type="dxa"/>
            <w:noWrap w:val="0"/>
            <w:vAlign w:val="center"/>
          </w:tcPr>
          <w:p w14:paraId="7820CFB7">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查资料</w:t>
            </w:r>
          </w:p>
        </w:tc>
        <w:tc>
          <w:tcPr>
            <w:tcW w:w="770" w:type="dxa"/>
            <w:noWrap w:val="0"/>
            <w:vAlign w:val="top"/>
          </w:tcPr>
          <w:p w14:paraId="263E321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有设计和审批</w:t>
            </w:r>
          </w:p>
        </w:tc>
        <w:tc>
          <w:tcPr>
            <w:tcW w:w="690" w:type="dxa"/>
            <w:noWrap w:val="0"/>
            <w:vAlign w:val="center"/>
          </w:tcPr>
          <w:p w14:paraId="3FB50066">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p>
        </w:tc>
        <w:tc>
          <w:tcPr>
            <w:tcW w:w="680" w:type="dxa"/>
            <w:noWrap w:val="0"/>
            <w:vAlign w:val="center"/>
          </w:tcPr>
          <w:p w14:paraId="520EC1F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677560B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p>
        </w:tc>
      </w:tr>
      <w:tr w14:paraId="61F5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54" w:type="dxa"/>
            <w:vMerge w:val="continue"/>
            <w:noWrap w:val="0"/>
            <w:vAlign w:val="center"/>
          </w:tcPr>
          <w:p w14:paraId="74036BD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0BA9E886">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1.3井下爆破可能引起地表陷落和山坡滚石时，要在该区域道路上设置警戒、树立醒目标志</w:t>
            </w:r>
          </w:p>
        </w:tc>
        <w:tc>
          <w:tcPr>
            <w:tcW w:w="1316" w:type="dxa"/>
            <w:noWrap w:val="0"/>
            <w:vAlign w:val="center"/>
          </w:tcPr>
          <w:p w14:paraId="7BE7F0E0">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《爆破安全规程》5.3.1.1</w:t>
            </w:r>
          </w:p>
        </w:tc>
        <w:tc>
          <w:tcPr>
            <w:tcW w:w="930" w:type="dxa"/>
            <w:noWrap w:val="0"/>
            <w:vAlign w:val="center"/>
          </w:tcPr>
          <w:p w14:paraId="64CC4B2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查资料</w:t>
            </w:r>
          </w:p>
        </w:tc>
        <w:tc>
          <w:tcPr>
            <w:tcW w:w="770" w:type="dxa"/>
            <w:noWrap w:val="0"/>
            <w:vAlign w:val="center"/>
          </w:tcPr>
          <w:p w14:paraId="63BAEC5B">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无此区域</w:t>
            </w:r>
          </w:p>
        </w:tc>
        <w:tc>
          <w:tcPr>
            <w:tcW w:w="690" w:type="dxa"/>
            <w:noWrap w:val="0"/>
            <w:vAlign w:val="center"/>
          </w:tcPr>
          <w:p w14:paraId="7272C917">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p>
        </w:tc>
        <w:tc>
          <w:tcPr>
            <w:tcW w:w="680" w:type="dxa"/>
            <w:noWrap w:val="0"/>
            <w:vAlign w:val="center"/>
          </w:tcPr>
          <w:p w14:paraId="12D5998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3D115ED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w:t>
            </w:r>
          </w:p>
        </w:tc>
      </w:tr>
      <w:tr w14:paraId="49F3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3DFF8758">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198447D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1.4用爆破法贯通井巷，应有测量图，每班都要在图上填明进度，爆破作业有专人指挥。</w:t>
            </w:r>
          </w:p>
        </w:tc>
        <w:tc>
          <w:tcPr>
            <w:tcW w:w="1316" w:type="dxa"/>
            <w:noWrap w:val="0"/>
            <w:vAlign w:val="center"/>
          </w:tcPr>
          <w:p w14:paraId="3A3E20C8">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《爆破安全规程》5.3.2.1</w:t>
            </w:r>
          </w:p>
        </w:tc>
        <w:tc>
          <w:tcPr>
            <w:tcW w:w="930" w:type="dxa"/>
            <w:noWrap w:val="0"/>
            <w:vAlign w:val="center"/>
          </w:tcPr>
          <w:p w14:paraId="2BA0FB43">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查图纸、现场</w:t>
            </w:r>
          </w:p>
        </w:tc>
        <w:tc>
          <w:tcPr>
            <w:tcW w:w="770" w:type="dxa"/>
            <w:noWrap w:val="0"/>
            <w:vAlign w:val="center"/>
          </w:tcPr>
          <w:p w14:paraId="641F866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符合要求</w:t>
            </w:r>
          </w:p>
        </w:tc>
        <w:tc>
          <w:tcPr>
            <w:tcW w:w="690" w:type="dxa"/>
            <w:noWrap w:val="0"/>
            <w:vAlign w:val="center"/>
          </w:tcPr>
          <w:p w14:paraId="1EA23F67">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p>
        </w:tc>
        <w:tc>
          <w:tcPr>
            <w:tcW w:w="680" w:type="dxa"/>
            <w:noWrap w:val="0"/>
            <w:vAlign w:val="center"/>
          </w:tcPr>
          <w:p w14:paraId="2D14290D">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7921EB0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p>
        </w:tc>
      </w:tr>
      <w:tr w14:paraId="456A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2B24F32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3546840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1.5井下炸药库30m以内的区域不应进行爆破作业，30～100m之内进行爆破，炸药库内人员必须撤到安全地点</w:t>
            </w:r>
          </w:p>
        </w:tc>
        <w:tc>
          <w:tcPr>
            <w:tcW w:w="1316" w:type="dxa"/>
            <w:noWrap w:val="0"/>
            <w:vAlign w:val="center"/>
          </w:tcPr>
          <w:p w14:paraId="02B2B51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《爆破安全规程》5.3.1.4</w:t>
            </w:r>
          </w:p>
        </w:tc>
        <w:tc>
          <w:tcPr>
            <w:tcW w:w="930" w:type="dxa"/>
            <w:noWrap w:val="0"/>
            <w:vAlign w:val="center"/>
          </w:tcPr>
          <w:p w14:paraId="4F1EEBB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查图纸、现场</w:t>
            </w:r>
          </w:p>
        </w:tc>
        <w:tc>
          <w:tcPr>
            <w:tcW w:w="770" w:type="dxa"/>
            <w:noWrap w:val="0"/>
            <w:vAlign w:val="center"/>
          </w:tcPr>
          <w:p w14:paraId="056998DD">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无关项</w:t>
            </w:r>
          </w:p>
        </w:tc>
        <w:tc>
          <w:tcPr>
            <w:tcW w:w="690" w:type="dxa"/>
            <w:noWrap w:val="0"/>
            <w:vAlign w:val="center"/>
          </w:tcPr>
          <w:p w14:paraId="1860FAE7">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6B74ED9D">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66829C27">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w:t>
            </w:r>
          </w:p>
        </w:tc>
      </w:tr>
      <w:tr w14:paraId="7EDF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18ED6C87">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12EE680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1.6爆破前必须有明显的声、光警戒信号，与爆破无关人员必须撤离井口</w:t>
            </w:r>
          </w:p>
        </w:tc>
        <w:tc>
          <w:tcPr>
            <w:tcW w:w="1316" w:type="dxa"/>
            <w:noWrap w:val="0"/>
            <w:vAlign w:val="center"/>
          </w:tcPr>
          <w:p w14:paraId="44A4C2C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《爆破安全规程》5.3.1.4</w:t>
            </w:r>
          </w:p>
        </w:tc>
        <w:tc>
          <w:tcPr>
            <w:tcW w:w="930" w:type="dxa"/>
            <w:noWrap w:val="0"/>
            <w:vAlign w:val="center"/>
          </w:tcPr>
          <w:p w14:paraId="16F18C7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查图纸、现场</w:t>
            </w:r>
          </w:p>
        </w:tc>
        <w:tc>
          <w:tcPr>
            <w:tcW w:w="770" w:type="dxa"/>
            <w:noWrap w:val="0"/>
            <w:vAlign w:val="top"/>
          </w:tcPr>
          <w:p w14:paraId="777DBC3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有信号并撤离</w:t>
            </w:r>
          </w:p>
        </w:tc>
        <w:tc>
          <w:tcPr>
            <w:tcW w:w="690" w:type="dxa"/>
            <w:noWrap w:val="0"/>
            <w:vAlign w:val="center"/>
          </w:tcPr>
          <w:p w14:paraId="79F70762">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00A4B55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310E7F6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r>
      <w:tr w14:paraId="493D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72E66357">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3BE43FED">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1.7地下爆破应在有关的通道上设置岗哨。回风巷应使用木板交叉钉封或设支架路障，并挂上“爆破危险区，不准入内”的标志，巷道经过充分通风后，方可拆除回风巷的木板及标志</w:t>
            </w:r>
          </w:p>
        </w:tc>
        <w:tc>
          <w:tcPr>
            <w:tcW w:w="1316" w:type="dxa"/>
            <w:noWrap w:val="0"/>
            <w:vAlign w:val="center"/>
          </w:tcPr>
          <w:p w14:paraId="6B49D63A">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《爆破安全规程》5.3.1.4</w:t>
            </w:r>
          </w:p>
        </w:tc>
        <w:tc>
          <w:tcPr>
            <w:tcW w:w="930" w:type="dxa"/>
            <w:noWrap w:val="0"/>
            <w:vAlign w:val="center"/>
          </w:tcPr>
          <w:p w14:paraId="5C434A0A">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查图纸、现场</w:t>
            </w:r>
          </w:p>
        </w:tc>
        <w:tc>
          <w:tcPr>
            <w:tcW w:w="770" w:type="dxa"/>
            <w:noWrap w:val="0"/>
            <w:vAlign w:val="top"/>
          </w:tcPr>
          <w:p w14:paraId="349DC09A">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p>
          <w:p w14:paraId="0476821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按规范作业设置警戒</w:t>
            </w:r>
          </w:p>
        </w:tc>
        <w:tc>
          <w:tcPr>
            <w:tcW w:w="690" w:type="dxa"/>
            <w:noWrap w:val="0"/>
            <w:vAlign w:val="center"/>
          </w:tcPr>
          <w:p w14:paraId="4E31D6BE">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4</w:t>
            </w:r>
          </w:p>
        </w:tc>
        <w:tc>
          <w:tcPr>
            <w:tcW w:w="680" w:type="dxa"/>
            <w:noWrap w:val="0"/>
            <w:vAlign w:val="center"/>
          </w:tcPr>
          <w:p w14:paraId="54A69DF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1718376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4</w:t>
            </w:r>
          </w:p>
        </w:tc>
      </w:tr>
      <w:tr w14:paraId="340D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6EE94B9D">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6980C38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1.8爆破后，爆破员必须按规定的等待时间进入爆破地点，检查有无冒顶、危石、支护破坏和盲炮等现象，如果有应及时进行处理，只有确认爆破地点安全后，经当班安全员同意，才准许人员进入爆破地点</w:t>
            </w:r>
          </w:p>
        </w:tc>
        <w:tc>
          <w:tcPr>
            <w:tcW w:w="1316" w:type="dxa"/>
            <w:noWrap w:val="0"/>
            <w:vAlign w:val="center"/>
          </w:tcPr>
          <w:p w14:paraId="7878200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《爆破安全规程》5.3.1.6</w:t>
            </w:r>
          </w:p>
        </w:tc>
        <w:tc>
          <w:tcPr>
            <w:tcW w:w="930" w:type="dxa"/>
            <w:noWrap w:val="0"/>
            <w:vAlign w:val="center"/>
          </w:tcPr>
          <w:p w14:paraId="492B0417">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查图纸、现场</w:t>
            </w:r>
          </w:p>
        </w:tc>
        <w:tc>
          <w:tcPr>
            <w:tcW w:w="770" w:type="dxa"/>
            <w:noWrap w:val="0"/>
            <w:vAlign w:val="top"/>
          </w:tcPr>
          <w:p w14:paraId="5001F76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p>
          <w:p w14:paraId="66A13B4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p>
          <w:p w14:paraId="5FB6CC8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检查记录已做到</w:t>
            </w:r>
          </w:p>
        </w:tc>
        <w:tc>
          <w:tcPr>
            <w:tcW w:w="690" w:type="dxa"/>
            <w:noWrap w:val="0"/>
            <w:vAlign w:val="center"/>
          </w:tcPr>
          <w:p w14:paraId="6A566275">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p>
        </w:tc>
        <w:tc>
          <w:tcPr>
            <w:tcW w:w="680" w:type="dxa"/>
            <w:noWrap w:val="0"/>
            <w:vAlign w:val="top"/>
          </w:tcPr>
          <w:p w14:paraId="0FB4B85F">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p>
          <w:p w14:paraId="0475D740">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p>
          <w:p w14:paraId="0EB4851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7BB2D6B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p>
        </w:tc>
      </w:tr>
      <w:tr w14:paraId="2AF2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126970E6">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013F2373">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1.9有相邻作业单位的爆破要按协议规定做好信息沟通</w:t>
            </w:r>
          </w:p>
        </w:tc>
        <w:tc>
          <w:tcPr>
            <w:tcW w:w="1316" w:type="dxa"/>
            <w:noWrap w:val="0"/>
            <w:vAlign w:val="center"/>
          </w:tcPr>
          <w:p w14:paraId="44627A20">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《安全生产法》第40条</w:t>
            </w:r>
          </w:p>
        </w:tc>
        <w:tc>
          <w:tcPr>
            <w:tcW w:w="930" w:type="dxa"/>
            <w:noWrap w:val="0"/>
            <w:vAlign w:val="center"/>
          </w:tcPr>
          <w:p w14:paraId="4F9E9CD0">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查资料</w:t>
            </w:r>
          </w:p>
        </w:tc>
        <w:tc>
          <w:tcPr>
            <w:tcW w:w="770" w:type="dxa"/>
            <w:noWrap w:val="0"/>
            <w:vAlign w:val="center"/>
          </w:tcPr>
          <w:p w14:paraId="6583A1B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无关项</w:t>
            </w:r>
          </w:p>
        </w:tc>
        <w:tc>
          <w:tcPr>
            <w:tcW w:w="690" w:type="dxa"/>
            <w:noWrap w:val="0"/>
            <w:vAlign w:val="center"/>
          </w:tcPr>
          <w:p w14:paraId="05424C36">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557B04E6">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06186BE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w:t>
            </w:r>
          </w:p>
        </w:tc>
      </w:tr>
      <w:tr w14:paraId="7778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0D09D7E6">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0BED5463">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1.10每次爆破后，爆破员应认真填写爆破记录</w:t>
            </w:r>
          </w:p>
        </w:tc>
        <w:tc>
          <w:tcPr>
            <w:tcW w:w="1316" w:type="dxa"/>
            <w:noWrap w:val="0"/>
            <w:vAlign w:val="center"/>
          </w:tcPr>
          <w:p w14:paraId="67819AD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w:t>
            </w:r>
          </w:p>
        </w:tc>
        <w:tc>
          <w:tcPr>
            <w:tcW w:w="930" w:type="dxa"/>
            <w:noWrap w:val="0"/>
            <w:vAlign w:val="center"/>
          </w:tcPr>
          <w:p w14:paraId="20116EA0">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查资料</w:t>
            </w:r>
          </w:p>
        </w:tc>
        <w:tc>
          <w:tcPr>
            <w:tcW w:w="770" w:type="dxa"/>
            <w:noWrap w:val="0"/>
            <w:vAlign w:val="center"/>
          </w:tcPr>
          <w:p w14:paraId="47BE827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cs="Times New Roman"/>
                <w:color w:val="auto"/>
                <w:spacing w:val="0"/>
                <w:sz w:val="21"/>
                <w:szCs w:val="21"/>
                <w:lang w:val="en-US" w:eastAsia="zh-CN"/>
              </w:rPr>
              <w:t>不规范</w:t>
            </w:r>
          </w:p>
        </w:tc>
        <w:tc>
          <w:tcPr>
            <w:tcW w:w="690" w:type="dxa"/>
            <w:noWrap w:val="0"/>
            <w:vAlign w:val="center"/>
          </w:tcPr>
          <w:p w14:paraId="2D2BF204">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6E2018CD">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22B0D11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0</w:t>
            </w:r>
          </w:p>
        </w:tc>
      </w:tr>
      <w:tr w14:paraId="12D8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6B62DB9D">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4A61389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1.11井下爆破器材库布置、贮存、照明等符合《爆破安全规程》要求；</w:t>
            </w:r>
          </w:p>
        </w:tc>
        <w:tc>
          <w:tcPr>
            <w:tcW w:w="1316" w:type="dxa"/>
            <w:noWrap w:val="0"/>
            <w:vAlign w:val="center"/>
          </w:tcPr>
          <w:p w14:paraId="3CC3E7CE">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《爆破安全规程》6.5.4</w:t>
            </w:r>
          </w:p>
        </w:tc>
        <w:tc>
          <w:tcPr>
            <w:tcW w:w="930" w:type="dxa"/>
            <w:noWrap w:val="0"/>
            <w:vAlign w:val="center"/>
          </w:tcPr>
          <w:p w14:paraId="2633CAFB">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查资料</w:t>
            </w:r>
          </w:p>
        </w:tc>
        <w:tc>
          <w:tcPr>
            <w:tcW w:w="770" w:type="dxa"/>
            <w:noWrap w:val="0"/>
            <w:vAlign w:val="center"/>
          </w:tcPr>
          <w:p w14:paraId="0D34402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lang w:val="en-US" w:eastAsia="zh-CN"/>
              </w:rPr>
              <w:t>无关项</w:t>
            </w:r>
          </w:p>
        </w:tc>
        <w:tc>
          <w:tcPr>
            <w:tcW w:w="690" w:type="dxa"/>
            <w:noWrap w:val="0"/>
            <w:vAlign w:val="center"/>
          </w:tcPr>
          <w:p w14:paraId="30CD0D69">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0ED623F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7B96952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w:t>
            </w:r>
          </w:p>
        </w:tc>
      </w:tr>
      <w:tr w14:paraId="14C0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3B935B72">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1B0BE55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1.12禁止采用火雷管、导火索和氨锑炸药。</w:t>
            </w:r>
          </w:p>
        </w:tc>
        <w:tc>
          <w:tcPr>
            <w:tcW w:w="1316" w:type="dxa"/>
            <w:noWrap w:val="0"/>
            <w:vAlign w:val="center"/>
          </w:tcPr>
          <w:p w14:paraId="4A56CDF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（科工爆[2008]203号）</w:t>
            </w:r>
          </w:p>
        </w:tc>
        <w:tc>
          <w:tcPr>
            <w:tcW w:w="930" w:type="dxa"/>
            <w:noWrap w:val="0"/>
            <w:vAlign w:val="center"/>
          </w:tcPr>
          <w:p w14:paraId="2DE6474F">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查现场</w:t>
            </w:r>
          </w:p>
        </w:tc>
        <w:tc>
          <w:tcPr>
            <w:tcW w:w="770" w:type="dxa"/>
            <w:noWrap w:val="0"/>
            <w:vAlign w:val="center"/>
          </w:tcPr>
          <w:p w14:paraId="2A8511FF">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已做到</w:t>
            </w:r>
          </w:p>
        </w:tc>
        <w:tc>
          <w:tcPr>
            <w:tcW w:w="690" w:type="dxa"/>
            <w:noWrap w:val="0"/>
            <w:vAlign w:val="center"/>
          </w:tcPr>
          <w:p w14:paraId="508C7E35">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2A1E21CA">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787F4426">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r>
      <w:tr w14:paraId="7A10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54" w:type="dxa"/>
            <w:vMerge w:val="restart"/>
            <w:noWrap w:val="0"/>
            <w:vAlign w:val="center"/>
          </w:tcPr>
          <w:p w14:paraId="3CE3FE7F">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r>
              <w:rPr>
                <w:rFonts w:hint="eastAsia" w:ascii="宋体" w:hAnsi="宋体" w:eastAsia="宋体" w:cs="Times New Roman"/>
                <w:color w:val="auto"/>
                <w:spacing w:val="0"/>
                <w:sz w:val="21"/>
                <w:szCs w:val="21"/>
                <w:lang w:val="en-US" w:eastAsia="zh-CN"/>
              </w:rPr>
              <w:t>.</w:t>
            </w:r>
            <w:r>
              <w:rPr>
                <w:rFonts w:hint="eastAsia" w:ascii="宋体" w:hAnsi="宋体" w:eastAsia="宋体" w:cs="Times New Roman"/>
                <w:color w:val="auto"/>
                <w:spacing w:val="0"/>
                <w:sz w:val="21"/>
                <w:szCs w:val="21"/>
              </w:rPr>
              <w:t>地面和井下爆破器材库</w:t>
            </w:r>
          </w:p>
          <w:p w14:paraId="6A16B525">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10分</w:t>
            </w:r>
          </w:p>
        </w:tc>
        <w:tc>
          <w:tcPr>
            <w:tcW w:w="2722" w:type="dxa"/>
            <w:noWrap w:val="0"/>
            <w:vAlign w:val="center"/>
          </w:tcPr>
          <w:p w14:paraId="4E6DB06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2.1 应满足《爆破安全规程》规定的库内、外安全距离的要求；</w:t>
            </w:r>
          </w:p>
        </w:tc>
        <w:tc>
          <w:tcPr>
            <w:tcW w:w="1316" w:type="dxa"/>
            <w:noWrap w:val="0"/>
            <w:vAlign w:val="center"/>
          </w:tcPr>
          <w:p w14:paraId="0B5B2610">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w:t>
            </w:r>
          </w:p>
          <w:p w14:paraId="2D025D0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规程》</w:t>
            </w:r>
          </w:p>
          <w:p w14:paraId="1B74A05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14.2.1.1</w:t>
            </w:r>
          </w:p>
        </w:tc>
        <w:tc>
          <w:tcPr>
            <w:tcW w:w="930" w:type="dxa"/>
            <w:noWrap w:val="0"/>
            <w:vAlign w:val="center"/>
          </w:tcPr>
          <w:p w14:paraId="760AFE6B">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查现场</w:t>
            </w:r>
          </w:p>
        </w:tc>
        <w:tc>
          <w:tcPr>
            <w:tcW w:w="770" w:type="dxa"/>
            <w:noWrap w:val="0"/>
            <w:vAlign w:val="center"/>
          </w:tcPr>
          <w:p w14:paraId="569434C3">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cs="Times New Roman"/>
                <w:color w:val="auto"/>
                <w:spacing w:val="0"/>
                <w:sz w:val="21"/>
                <w:szCs w:val="21"/>
                <w:lang w:val="en-US" w:eastAsia="zh-CN"/>
              </w:rPr>
              <w:t>符合</w:t>
            </w:r>
          </w:p>
        </w:tc>
        <w:tc>
          <w:tcPr>
            <w:tcW w:w="690" w:type="dxa"/>
            <w:noWrap w:val="0"/>
            <w:vAlign w:val="center"/>
          </w:tcPr>
          <w:p w14:paraId="7A49F55E">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13534103">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125ABCF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cs="Times New Roman"/>
                <w:color w:val="auto"/>
                <w:spacing w:val="0"/>
                <w:sz w:val="21"/>
                <w:szCs w:val="21"/>
                <w:lang w:val="en-US" w:eastAsia="zh-CN"/>
              </w:rPr>
              <w:t>2</w:t>
            </w:r>
          </w:p>
        </w:tc>
      </w:tr>
      <w:tr w14:paraId="19CE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54" w:type="dxa"/>
            <w:vMerge w:val="continue"/>
            <w:noWrap w:val="0"/>
            <w:vAlign w:val="center"/>
          </w:tcPr>
          <w:p w14:paraId="54EE13DC">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4A5763BD">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 xml:space="preserve">2.2 应满足《爆破安全规程》规定的防灭火、通风、防爆、防雷和静电的要求； </w:t>
            </w:r>
          </w:p>
        </w:tc>
        <w:tc>
          <w:tcPr>
            <w:tcW w:w="1316" w:type="dxa"/>
            <w:noWrap w:val="0"/>
            <w:vAlign w:val="center"/>
          </w:tcPr>
          <w:p w14:paraId="3C161ABF">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w:t>
            </w:r>
          </w:p>
          <w:p w14:paraId="307B914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规程》</w:t>
            </w:r>
          </w:p>
          <w:p w14:paraId="112F1EFB">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14.2.1.1</w:t>
            </w:r>
          </w:p>
        </w:tc>
        <w:tc>
          <w:tcPr>
            <w:tcW w:w="930" w:type="dxa"/>
            <w:noWrap w:val="0"/>
            <w:vAlign w:val="center"/>
          </w:tcPr>
          <w:p w14:paraId="338879CA">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查现场</w:t>
            </w:r>
          </w:p>
        </w:tc>
        <w:tc>
          <w:tcPr>
            <w:tcW w:w="770" w:type="dxa"/>
            <w:noWrap w:val="0"/>
            <w:vAlign w:val="center"/>
          </w:tcPr>
          <w:p w14:paraId="5FA57AB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cs="Times New Roman"/>
                <w:color w:val="auto"/>
                <w:spacing w:val="0"/>
                <w:sz w:val="21"/>
                <w:szCs w:val="21"/>
                <w:lang w:val="en-US" w:eastAsia="zh-CN"/>
              </w:rPr>
              <w:t>符合</w:t>
            </w:r>
          </w:p>
        </w:tc>
        <w:tc>
          <w:tcPr>
            <w:tcW w:w="690" w:type="dxa"/>
            <w:noWrap w:val="0"/>
            <w:vAlign w:val="center"/>
          </w:tcPr>
          <w:p w14:paraId="039AD822">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5BB61D0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4A420F86">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cs="Times New Roman"/>
                <w:color w:val="auto"/>
                <w:spacing w:val="0"/>
                <w:sz w:val="21"/>
                <w:szCs w:val="21"/>
                <w:lang w:val="en-US" w:eastAsia="zh-CN"/>
              </w:rPr>
              <w:t>2</w:t>
            </w:r>
          </w:p>
        </w:tc>
      </w:tr>
      <w:tr w14:paraId="3971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3079464E">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3B6E41E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2.3 应满足《爆破安全规程》规定的库房结构的要求；</w:t>
            </w:r>
          </w:p>
        </w:tc>
        <w:tc>
          <w:tcPr>
            <w:tcW w:w="1316" w:type="dxa"/>
            <w:noWrap w:val="0"/>
            <w:vAlign w:val="center"/>
          </w:tcPr>
          <w:p w14:paraId="4569B6F8">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w:t>
            </w:r>
          </w:p>
          <w:p w14:paraId="278984E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规程》</w:t>
            </w:r>
          </w:p>
          <w:p w14:paraId="51FDA4F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14.2.1.1</w:t>
            </w:r>
          </w:p>
        </w:tc>
        <w:tc>
          <w:tcPr>
            <w:tcW w:w="930" w:type="dxa"/>
            <w:noWrap w:val="0"/>
            <w:vAlign w:val="center"/>
          </w:tcPr>
          <w:p w14:paraId="0F90CE27">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查现场</w:t>
            </w:r>
          </w:p>
        </w:tc>
        <w:tc>
          <w:tcPr>
            <w:tcW w:w="770" w:type="dxa"/>
            <w:noWrap w:val="0"/>
            <w:vAlign w:val="center"/>
          </w:tcPr>
          <w:p w14:paraId="23FC76C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18"/>
                <w:szCs w:val="18"/>
              </w:rPr>
            </w:pPr>
            <w:r>
              <w:rPr>
                <w:rFonts w:hint="eastAsia" w:cs="Times New Roman"/>
                <w:color w:val="auto"/>
                <w:spacing w:val="0"/>
                <w:sz w:val="21"/>
                <w:szCs w:val="21"/>
                <w:lang w:val="en-US" w:eastAsia="zh-CN"/>
              </w:rPr>
              <w:t>符合</w:t>
            </w:r>
          </w:p>
        </w:tc>
        <w:tc>
          <w:tcPr>
            <w:tcW w:w="690" w:type="dxa"/>
            <w:noWrap w:val="0"/>
            <w:vAlign w:val="center"/>
          </w:tcPr>
          <w:p w14:paraId="763E9EC0">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6EACE44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4EB2DDFA">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cs="Times New Roman"/>
                <w:color w:val="auto"/>
                <w:spacing w:val="0"/>
                <w:sz w:val="21"/>
                <w:szCs w:val="21"/>
                <w:lang w:val="en-US" w:eastAsia="zh-CN"/>
              </w:rPr>
              <w:t>2</w:t>
            </w:r>
          </w:p>
        </w:tc>
      </w:tr>
      <w:tr w14:paraId="7FEA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6E8B4A3E">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63F961DD">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2.4 爆破器材库应按核定的品种和数量储存，储存要符合规程要求；</w:t>
            </w:r>
          </w:p>
        </w:tc>
        <w:tc>
          <w:tcPr>
            <w:tcW w:w="1316" w:type="dxa"/>
            <w:noWrap w:val="0"/>
            <w:vAlign w:val="center"/>
          </w:tcPr>
          <w:p w14:paraId="38B62A0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w:t>
            </w:r>
          </w:p>
          <w:p w14:paraId="2074040C">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规程》</w:t>
            </w:r>
          </w:p>
          <w:p w14:paraId="141DCA96">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14.2.1.1</w:t>
            </w:r>
          </w:p>
        </w:tc>
        <w:tc>
          <w:tcPr>
            <w:tcW w:w="930" w:type="dxa"/>
            <w:noWrap w:val="0"/>
            <w:vAlign w:val="center"/>
          </w:tcPr>
          <w:p w14:paraId="4E2B5FC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查现场</w:t>
            </w:r>
          </w:p>
        </w:tc>
        <w:tc>
          <w:tcPr>
            <w:tcW w:w="770" w:type="dxa"/>
            <w:noWrap w:val="0"/>
            <w:vAlign w:val="top"/>
          </w:tcPr>
          <w:p w14:paraId="6028CB9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cs="Times New Roman"/>
                <w:color w:val="auto"/>
                <w:spacing w:val="0"/>
                <w:sz w:val="21"/>
                <w:szCs w:val="21"/>
                <w:lang w:val="en-US" w:eastAsia="zh-CN"/>
              </w:rPr>
            </w:pPr>
          </w:p>
          <w:p w14:paraId="6D2C6E4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cs="Times New Roman"/>
                <w:color w:val="auto"/>
                <w:spacing w:val="0"/>
                <w:sz w:val="21"/>
                <w:szCs w:val="21"/>
                <w:lang w:val="en-US" w:eastAsia="zh-CN"/>
              </w:rPr>
              <w:t>符合</w:t>
            </w:r>
          </w:p>
        </w:tc>
        <w:tc>
          <w:tcPr>
            <w:tcW w:w="690" w:type="dxa"/>
            <w:noWrap w:val="0"/>
            <w:vAlign w:val="center"/>
          </w:tcPr>
          <w:p w14:paraId="03D0D331">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071C5762">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7B7FF7E7">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cs="Times New Roman"/>
                <w:color w:val="auto"/>
                <w:spacing w:val="0"/>
                <w:sz w:val="21"/>
                <w:szCs w:val="21"/>
                <w:lang w:val="en-US" w:eastAsia="zh-CN"/>
              </w:rPr>
              <w:t>2</w:t>
            </w:r>
          </w:p>
        </w:tc>
      </w:tr>
      <w:tr w14:paraId="7D53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Merge w:val="continue"/>
            <w:noWrap w:val="0"/>
            <w:vAlign w:val="center"/>
          </w:tcPr>
          <w:p w14:paraId="58DAF16B">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2722" w:type="dxa"/>
            <w:noWrap w:val="0"/>
            <w:vAlign w:val="center"/>
          </w:tcPr>
          <w:p w14:paraId="3679B7E3">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2.5地面、井下爆破材料的运输、发放、管理应健全制度。</w:t>
            </w:r>
          </w:p>
        </w:tc>
        <w:tc>
          <w:tcPr>
            <w:tcW w:w="1316" w:type="dxa"/>
            <w:noWrap w:val="0"/>
            <w:vAlign w:val="center"/>
          </w:tcPr>
          <w:p w14:paraId="7A3A4B78">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《爆破安全</w:t>
            </w:r>
          </w:p>
          <w:p w14:paraId="22315BC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规程》</w:t>
            </w:r>
          </w:p>
          <w:p w14:paraId="69263F61">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14.2.1.1</w:t>
            </w:r>
          </w:p>
        </w:tc>
        <w:tc>
          <w:tcPr>
            <w:tcW w:w="930" w:type="dxa"/>
            <w:noWrap w:val="0"/>
            <w:vAlign w:val="center"/>
          </w:tcPr>
          <w:p w14:paraId="426AC61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查现场</w:t>
            </w:r>
          </w:p>
        </w:tc>
        <w:tc>
          <w:tcPr>
            <w:tcW w:w="770" w:type="dxa"/>
            <w:noWrap w:val="0"/>
            <w:vAlign w:val="top"/>
          </w:tcPr>
          <w:p w14:paraId="299BE87B">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cs="Times New Roman"/>
                <w:color w:val="auto"/>
                <w:spacing w:val="0"/>
                <w:sz w:val="21"/>
                <w:szCs w:val="21"/>
                <w:lang w:val="en-US" w:eastAsia="zh-CN"/>
              </w:rPr>
            </w:pPr>
          </w:p>
          <w:p w14:paraId="04A2CAE5">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cs="Times New Roman"/>
                <w:color w:val="auto"/>
                <w:spacing w:val="0"/>
                <w:sz w:val="21"/>
                <w:szCs w:val="21"/>
                <w:lang w:val="en-US" w:eastAsia="zh-CN"/>
              </w:rPr>
              <w:t>符合</w:t>
            </w:r>
          </w:p>
        </w:tc>
        <w:tc>
          <w:tcPr>
            <w:tcW w:w="690" w:type="dxa"/>
            <w:noWrap w:val="0"/>
            <w:vAlign w:val="center"/>
          </w:tcPr>
          <w:p w14:paraId="5B9C81A6">
            <w:pPr>
              <w:keepNext w:val="0"/>
              <w:keepLines w:val="0"/>
              <w:pageBreakBefore w:val="0"/>
              <w:widowControl w:val="0"/>
              <w:kinsoku/>
              <w:wordWrap/>
              <w:overflowPunct/>
              <w:topLinePunct w:val="0"/>
              <w:autoSpaceDE/>
              <w:autoSpaceDN/>
              <w:bidi w:val="0"/>
              <w:adjustRightInd/>
              <w:snapToGrid/>
              <w:spacing w:line="26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680" w:type="dxa"/>
            <w:noWrap w:val="0"/>
            <w:vAlign w:val="center"/>
          </w:tcPr>
          <w:p w14:paraId="7AF4A349">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644" w:type="dxa"/>
            <w:noWrap w:val="0"/>
            <w:vAlign w:val="center"/>
          </w:tcPr>
          <w:p w14:paraId="7B11CBA4">
            <w:pPr>
              <w:keepNext w:val="0"/>
              <w:keepLines w:val="0"/>
              <w:pageBreakBefore w:val="0"/>
              <w:widowControl w:val="0"/>
              <w:kinsoku/>
              <w:wordWrap/>
              <w:overflowPunct/>
              <w:topLinePunct w:val="0"/>
              <w:autoSpaceDE/>
              <w:autoSpaceDN/>
              <w:bidi w:val="0"/>
              <w:adjustRightInd/>
              <w:snapToGrid/>
              <w:spacing w:line="26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cs="Times New Roman"/>
                <w:color w:val="auto"/>
                <w:spacing w:val="0"/>
                <w:sz w:val="21"/>
                <w:szCs w:val="21"/>
                <w:lang w:val="en-US" w:eastAsia="zh-CN"/>
              </w:rPr>
              <w:t>2</w:t>
            </w:r>
          </w:p>
        </w:tc>
      </w:tr>
      <w:tr w14:paraId="7CD1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noWrap w:val="0"/>
            <w:vAlign w:val="center"/>
          </w:tcPr>
          <w:p w14:paraId="27639CF8">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小计</w:t>
            </w:r>
          </w:p>
        </w:tc>
        <w:tc>
          <w:tcPr>
            <w:tcW w:w="2722" w:type="dxa"/>
            <w:noWrap w:val="0"/>
            <w:vAlign w:val="center"/>
          </w:tcPr>
          <w:p w14:paraId="75BBF8E1">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40</w:t>
            </w:r>
          </w:p>
        </w:tc>
        <w:tc>
          <w:tcPr>
            <w:tcW w:w="1316" w:type="dxa"/>
            <w:noWrap w:val="0"/>
            <w:vAlign w:val="center"/>
          </w:tcPr>
          <w:p w14:paraId="5FA544A3">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930" w:type="dxa"/>
            <w:noWrap w:val="0"/>
            <w:vAlign w:val="center"/>
          </w:tcPr>
          <w:p w14:paraId="12E0F3B2">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770" w:type="dxa"/>
            <w:noWrap w:val="0"/>
            <w:vAlign w:val="top"/>
          </w:tcPr>
          <w:p w14:paraId="7DE71BB8">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690" w:type="dxa"/>
            <w:noWrap w:val="0"/>
            <w:vAlign w:val="center"/>
          </w:tcPr>
          <w:p w14:paraId="2E5455E6">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cs="Times New Roman"/>
                <w:color w:val="auto"/>
                <w:spacing w:val="0"/>
                <w:sz w:val="21"/>
                <w:szCs w:val="21"/>
                <w:lang w:val="en-US" w:eastAsia="zh-CN"/>
              </w:rPr>
              <w:t>31</w:t>
            </w:r>
          </w:p>
        </w:tc>
        <w:tc>
          <w:tcPr>
            <w:tcW w:w="680" w:type="dxa"/>
            <w:noWrap w:val="0"/>
            <w:vAlign w:val="center"/>
          </w:tcPr>
          <w:p w14:paraId="2F4558B0">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宋体" w:hAnsi="宋体" w:eastAsia="宋体" w:cs="Times New Roman"/>
                <w:color w:val="auto"/>
                <w:spacing w:val="0"/>
                <w:sz w:val="21"/>
                <w:szCs w:val="21"/>
              </w:rPr>
            </w:pPr>
          </w:p>
        </w:tc>
        <w:tc>
          <w:tcPr>
            <w:tcW w:w="644" w:type="dxa"/>
            <w:noWrap w:val="0"/>
            <w:vAlign w:val="center"/>
          </w:tcPr>
          <w:p w14:paraId="42D55FC3">
            <w:pPr>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cs="Times New Roman"/>
                <w:color w:val="auto"/>
                <w:spacing w:val="0"/>
                <w:sz w:val="21"/>
                <w:szCs w:val="21"/>
                <w:lang w:val="en-US" w:eastAsia="zh-CN"/>
              </w:rPr>
              <w:t>29</w:t>
            </w:r>
          </w:p>
        </w:tc>
      </w:tr>
    </w:tbl>
    <w:p w14:paraId="790C15E6">
      <w:pPr>
        <w:pStyle w:val="5"/>
        <w:bidi w:val="0"/>
        <w:rPr>
          <w:rFonts w:hint="eastAsia"/>
          <w:color w:val="auto"/>
          <w:lang w:val="en-US" w:eastAsia="zh-CN"/>
        </w:rPr>
      </w:pPr>
      <w:bookmarkStart w:id="833" w:name="_Toc6909"/>
      <w:bookmarkStart w:id="834" w:name="_Toc5455"/>
      <w:bookmarkStart w:id="835" w:name="_Toc7814"/>
      <w:bookmarkStart w:id="836" w:name="_Toc9845"/>
      <w:r>
        <w:rPr>
          <w:rFonts w:hint="eastAsia"/>
          <w:color w:val="auto"/>
          <w:lang w:val="en-US" w:eastAsia="zh-CN"/>
        </w:rPr>
        <w:t>5.3.2 单元评价小结</w:t>
      </w:r>
      <w:bookmarkEnd w:id="833"/>
      <w:bookmarkEnd w:id="834"/>
      <w:bookmarkEnd w:id="835"/>
      <w:bookmarkEnd w:id="836"/>
    </w:p>
    <w:p w14:paraId="538179E8">
      <w:pPr>
        <w:spacing w:line="600" w:lineRule="exact"/>
        <w:ind w:firstLine="560" w:firstLineChars="200"/>
        <w:jc w:val="left"/>
        <w:rPr>
          <w:rFonts w:hint="eastAsia" w:ascii="宋体" w:hAnsi="宋体" w:eastAsia="宋体" w:cs="Times New Roman"/>
          <w:color w:val="auto"/>
          <w:sz w:val="28"/>
          <w:szCs w:val="28"/>
        </w:rPr>
      </w:pPr>
      <w:bookmarkStart w:id="837" w:name="_Toc31276"/>
      <w:bookmarkStart w:id="838" w:name="_Toc4579"/>
      <w:bookmarkStart w:id="839" w:name="_Toc28580"/>
      <w:bookmarkStart w:id="840" w:name="_Toc20472"/>
      <w:bookmarkStart w:id="841" w:name="_Toc31203"/>
      <w:bookmarkStart w:id="842" w:name="_Toc25536"/>
      <w:bookmarkStart w:id="843" w:name="_Toc30409"/>
      <w:bookmarkStart w:id="844" w:name="_Toc8241"/>
      <w:r>
        <w:rPr>
          <w:rFonts w:hint="eastAsia"/>
          <w:color w:val="auto"/>
        </w:rPr>
        <w:t>通过安全检查表分析评价，</w:t>
      </w:r>
      <w:r>
        <w:rPr>
          <w:rFonts w:hint="eastAsia" w:ascii="宋体" w:hAnsi="宋体" w:eastAsia="宋体" w:cs="Times New Roman"/>
          <w:color w:val="auto"/>
          <w:sz w:val="28"/>
          <w:szCs w:val="28"/>
        </w:rPr>
        <w:t>检查项目17项，总分为40分，其中无</w:t>
      </w:r>
      <w:r>
        <w:rPr>
          <w:rFonts w:hint="eastAsia" w:ascii="宋体" w:hAnsi="宋体" w:eastAsia="宋体" w:cs="Times New Roman"/>
          <w:color w:val="auto"/>
          <w:sz w:val="28"/>
          <w:szCs w:val="28"/>
          <w:lang w:val="en-US" w:eastAsia="zh-CN"/>
        </w:rPr>
        <w:t>关</w:t>
      </w:r>
      <w:r>
        <w:rPr>
          <w:rFonts w:hint="eastAsia" w:ascii="宋体" w:hAnsi="宋体" w:eastAsia="宋体" w:cs="Times New Roman"/>
          <w:color w:val="auto"/>
          <w:sz w:val="28"/>
          <w:szCs w:val="28"/>
        </w:rPr>
        <w:t>项</w:t>
      </w:r>
      <w:r>
        <w:rPr>
          <w:rFonts w:hint="eastAsia" w:ascii="宋体" w:hAnsi="宋体" w:eastAsia="宋体" w:cs="Times New Roman"/>
          <w:color w:val="auto"/>
          <w:sz w:val="28"/>
          <w:szCs w:val="28"/>
          <w:lang w:val="en-US" w:eastAsia="zh-CN"/>
        </w:rPr>
        <w:t>9分</w:t>
      </w:r>
      <w:r>
        <w:rPr>
          <w:rFonts w:hint="eastAsia" w:ascii="宋体" w:hAnsi="宋体" w:eastAsia="宋体" w:cs="Times New Roman"/>
          <w:color w:val="auto"/>
          <w:sz w:val="28"/>
          <w:szCs w:val="28"/>
        </w:rPr>
        <w:t>，应得分为</w:t>
      </w:r>
      <w:r>
        <w:rPr>
          <w:rFonts w:hint="eastAsia" w:ascii="宋体" w:hAnsi="宋体" w:eastAsia="宋体" w:cs="Times New Roman"/>
          <w:color w:val="auto"/>
          <w:sz w:val="28"/>
          <w:szCs w:val="28"/>
          <w:lang w:val="en-US" w:eastAsia="zh-CN"/>
        </w:rPr>
        <w:t>31</w:t>
      </w:r>
      <w:r>
        <w:rPr>
          <w:rFonts w:hint="eastAsia" w:ascii="宋体" w:hAnsi="宋体" w:eastAsia="宋体" w:cs="Times New Roman"/>
          <w:color w:val="auto"/>
          <w:sz w:val="28"/>
          <w:szCs w:val="28"/>
        </w:rPr>
        <w:t>分，</w:t>
      </w:r>
      <w:r>
        <w:rPr>
          <w:rFonts w:hint="eastAsia" w:ascii="宋体" w:hAnsi="宋体" w:eastAsia="宋体" w:cs="Times New Roman"/>
          <w:color w:val="auto"/>
          <w:sz w:val="28"/>
          <w:szCs w:val="28"/>
          <w:lang w:val="en-US" w:eastAsia="zh-CN"/>
        </w:rPr>
        <w:t>扣分2分，</w:t>
      </w:r>
      <w:r>
        <w:rPr>
          <w:rFonts w:hint="eastAsia" w:ascii="宋体" w:hAnsi="宋体" w:eastAsia="宋体" w:cs="Times New Roman"/>
          <w:color w:val="auto"/>
          <w:sz w:val="28"/>
          <w:szCs w:val="28"/>
        </w:rPr>
        <w:t>实得分为</w:t>
      </w:r>
      <w:r>
        <w:rPr>
          <w:rFonts w:hint="eastAsia" w:ascii="宋体" w:hAnsi="宋体" w:eastAsia="宋体" w:cs="Times New Roman"/>
          <w:color w:val="auto"/>
          <w:sz w:val="28"/>
          <w:szCs w:val="28"/>
          <w:lang w:val="en-US" w:eastAsia="zh-CN"/>
        </w:rPr>
        <w:t>29</w:t>
      </w:r>
      <w:r>
        <w:rPr>
          <w:rFonts w:hint="eastAsia" w:ascii="宋体" w:hAnsi="宋体" w:eastAsia="宋体" w:cs="Times New Roman"/>
          <w:color w:val="auto"/>
          <w:sz w:val="28"/>
          <w:szCs w:val="28"/>
        </w:rPr>
        <w:t>分，得分率</w:t>
      </w:r>
      <w:r>
        <w:rPr>
          <w:rFonts w:hint="eastAsia" w:ascii="宋体" w:hAnsi="宋体" w:eastAsia="宋体" w:cs="Times New Roman"/>
          <w:color w:val="auto"/>
          <w:sz w:val="28"/>
          <w:szCs w:val="28"/>
          <w:lang w:val="en-US" w:eastAsia="zh-CN"/>
        </w:rPr>
        <w:t>93.5</w:t>
      </w:r>
      <w:r>
        <w:rPr>
          <w:rFonts w:hint="eastAsia" w:cs="Times New Roman"/>
          <w:color w:val="auto"/>
          <w:sz w:val="28"/>
          <w:szCs w:val="28"/>
          <w:lang w:val="en-US" w:eastAsia="zh-CN"/>
        </w:rPr>
        <w:t>5</w:t>
      </w:r>
      <w:r>
        <w:rPr>
          <w:rFonts w:hint="eastAsia" w:ascii="宋体" w:hAnsi="宋体" w:eastAsia="宋体" w:cs="Times New Roman"/>
          <w:color w:val="auto"/>
          <w:sz w:val="28"/>
          <w:szCs w:val="28"/>
        </w:rPr>
        <w:t>%</w:t>
      </w:r>
      <w:r>
        <w:rPr>
          <w:rFonts w:hint="eastAsia" w:ascii="宋体" w:hAnsi="宋体" w:eastAsia="宋体" w:cs="Times New Roman"/>
          <w:color w:val="auto"/>
          <w:sz w:val="28"/>
          <w:szCs w:val="28"/>
          <w:lang w:eastAsia="zh-CN"/>
        </w:rPr>
        <w:t>，</w:t>
      </w:r>
      <w:r>
        <w:rPr>
          <w:rFonts w:hint="eastAsia" w:ascii="宋体" w:hAnsi="宋体" w:eastAsia="宋体" w:cs="Times New Roman"/>
          <w:color w:val="auto"/>
          <w:sz w:val="28"/>
          <w:szCs w:val="28"/>
        </w:rPr>
        <w:t>井下爆破作业活动总体规范，控制有效。</w:t>
      </w:r>
    </w:p>
    <w:p w14:paraId="0A0403C5">
      <w:pPr>
        <w:spacing w:line="600" w:lineRule="exact"/>
        <w:ind w:firstLine="560" w:firstLineChars="200"/>
        <w:jc w:val="left"/>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存在问题：</w:t>
      </w:r>
    </w:p>
    <w:p w14:paraId="5DD97F73">
      <w:pPr>
        <w:spacing w:line="600" w:lineRule="exact"/>
        <w:ind w:firstLine="560" w:firstLineChars="200"/>
        <w:jc w:val="left"/>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1</w:t>
      </w:r>
      <w:r>
        <w:rPr>
          <w:rFonts w:hint="eastAsia" w:ascii="宋体" w:hAnsi="宋体" w:eastAsia="宋体" w:cs="Times New Roman"/>
          <w:color w:val="auto"/>
          <w:sz w:val="28"/>
          <w:szCs w:val="28"/>
          <w:lang w:eastAsia="zh-CN"/>
        </w:rPr>
        <w:t>）</w:t>
      </w:r>
      <w:r>
        <w:rPr>
          <w:rFonts w:hint="eastAsia" w:ascii="宋体" w:hAnsi="宋体" w:eastAsia="宋体" w:cs="Times New Roman"/>
          <w:color w:val="auto"/>
          <w:sz w:val="28"/>
          <w:szCs w:val="28"/>
          <w:lang w:val="en-US" w:eastAsia="zh-CN"/>
        </w:rPr>
        <w:t>爆破记录填写</w:t>
      </w:r>
      <w:r>
        <w:rPr>
          <w:rFonts w:hint="eastAsia" w:cs="Times New Roman"/>
          <w:color w:val="auto"/>
          <w:sz w:val="28"/>
          <w:szCs w:val="28"/>
          <w:lang w:val="en-US" w:eastAsia="zh-CN"/>
        </w:rPr>
        <w:t>不</w:t>
      </w:r>
      <w:r>
        <w:rPr>
          <w:rFonts w:hint="eastAsia" w:ascii="宋体" w:hAnsi="宋体" w:eastAsia="宋体" w:cs="Times New Roman"/>
          <w:color w:val="auto"/>
          <w:sz w:val="28"/>
          <w:szCs w:val="28"/>
          <w:lang w:val="en-US" w:eastAsia="zh-CN"/>
        </w:rPr>
        <w:t>规范。</w:t>
      </w:r>
    </w:p>
    <w:p w14:paraId="3872DE5E">
      <w:pPr>
        <w:pStyle w:val="4"/>
        <w:bidi w:val="0"/>
        <w:rPr>
          <w:rFonts w:hint="eastAsia"/>
          <w:color w:val="auto"/>
          <w:lang w:val="en-US" w:eastAsia="zh-CN"/>
        </w:rPr>
      </w:pPr>
      <w:bookmarkStart w:id="845" w:name="_Toc16921"/>
      <w:r>
        <w:rPr>
          <w:rFonts w:hint="eastAsia"/>
          <w:color w:val="auto"/>
          <w:lang w:val="en-US" w:eastAsia="zh-CN"/>
        </w:rPr>
        <w:t>5.4 矿井通风与防尘单元</w:t>
      </w:r>
      <w:bookmarkEnd w:id="837"/>
      <w:bookmarkEnd w:id="838"/>
      <w:bookmarkEnd w:id="839"/>
      <w:bookmarkEnd w:id="840"/>
      <w:bookmarkEnd w:id="841"/>
      <w:bookmarkEnd w:id="842"/>
      <w:bookmarkEnd w:id="843"/>
      <w:bookmarkEnd w:id="844"/>
      <w:bookmarkEnd w:id="845"/>
    </w:p>
    <w:p w14:paraId="783C185B">
      <w:pPr>
        <w:pStyle w:val="5"/>
        <w:bidi w:val="0"/>
        <w:rPr>
          <w:rFonts w:hint="eastAsia"/>
          <w:color w:val="auto"/>
          <w:lang w:val="en-US" w:eastAsia="zh-CN"/>
        </w:rPr>
      </w:pPr>
      <w:bookmarkStart w:id="846" w:name="_Toc29474"/>
      <w:bookmarkStart w:id="847" w:name="_Toc17925"/>
      <w:bookmarkStart w:id="848" w:name="_Toc32427"/>
      <w:bookmarkStart w:id="849" w:name="_Toc16377"/>
      <w:r>
        <w:rPr>
          <w:rFonts w:hint="eastAsia"/>
          <w:color w:val="auto"/>
          <w:lang w:val="en-US" w:eastAsia="zh-CN"/>
        </w:rPr>
        <w:t>5.4.1 安全检查表评价</w:t>
      </w:r>
      <w:bookmarkEnd w:id="846"/>
      <w:bookmarkEnd w:id="847"/>
      <w:bookmarkEnd w:id="848"/>
      <w:bookmarkEnd w:id="849"/>
    </w:p>
    <w:p w14:paraId="2DC68BE5">
      <w:pPr>
        <w:bidi w:val="0"/>
        <w:rPr>
          <w:rFonts w:hint="eastAsia"/>
          <w:color w:val="auto"/>
          <w:lang w:val="en-US" w:eastAsia="zh-CN"/>
        </w:rPr>
      </w:pPr>
      <w:r>
        <w:rPr>
          <w:rFonts w:hint="eastAsia"/>
          <w:color w:val="auto"/>
          <w:lang w:val="en-US" w:eastAsia="zh-CN"/>
        </w:rPr>
        <w:t>采用安全检查表分析法对矿井通风与防尘单元进行分析评价，见表5.4-1。</w:t>
      </w:r>
    </w:p>
    <w:p w14:paraId="6C11A872">
      <w:pPr>
        <w:bidi w:val="0"/>
        <w:jc w:val="center"/>
        <w:rPr>
          <w:rFonts w:hint="default"/>
          <w:color w:val="auto"/>
          <w:lang w:val="en-US" w:eastAsia="zh-CN"/>
        </w:rPr>
      </w:pPr>
      <w:r>
        <w:rPr>
          <w:rFonts w:hint="eastAsia"/>
          <w:color w:val="auto"/>
        </w:rPr>
        <w:t>表 5</w:t>
      </w:r>
      <w:r>
        <w:rPr>
          <w:rFonts w:hint="eastAsia"/>
          <w:color w:val="auto"/>
          <w:lang w:val="en-US" w:eastAsia="zh-CN"/>
        </w:rPr>
        <w:t>.4-1 通风与防尘单元安全检查表</w:t>
      </w:r>
    </w:p>
    <w:tbl>
      <w:tblPr>
        <w:tblStyle w:val="18"/>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51"/>
        <w:gridCol w:w="2710"/>
        <w:gridCol w:w="1777"/>
        <w:gridCol w:w="995"/>
        <w:gridCol w:w="1000"/>
        <w:gridCol w:w="552"/>
        <w:gridCol w:w="922"/>
        <w:gridCol w:w="681"/>
      </w:tblGrid>
      <w:tr w14:paraId="2FBE15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5" w:hRule="atLeast"/>
        </w:trPr>
        <w:tc>
          <w:tcPr>
            <w:tcW w:w="350" w:type="pct"/>
            <w:tcBorders>
              <w:tl2br w:val="nil"/>
              <w:tr2bl w:val="nil"/>
            </w:tcBorders>
            <w:noWrap w:val="0"/>
            <w:vAlign w:val="center"/>
          </w:tcPr>
          <w:p w14:paraId="0F34C6A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bookmarkStart w:id="850" w:name="_Toc13544"/>
            <w:bookmarkStart w:id="851" w:name="_Toc23478"/>
            <w:bookmarkStart w:id="852" w:name="_Toc9866"/>
            <w:bookmarkStart w:id="853" w:name="_Toc1665"/>
            <w:r>
              <w:rPr>
                <w:rFonts w:hint="eastAsia" w:ascii="宋体" w:hAnsi="宋体" w:eastAsia="宋体" w:cs="Times New Roman"/>
                <w:color w:val="auto"/>
                <w:spacing w:val="0"/>
                <w:sz w:val="21"/>
                <w:szCs w:val="21"/>
              </w:rPr>
              <w:t>检查项目</w:t>
            </w:r>
          </w:p>
        </w:tc>
        <w:tc>
          <w:tcPr>
            <w:tcW w:w="1458" w:type="pct"/>
            <w:tcBorders>
              <w:tl2br w:val="nil"/>
              <w:tr2bl w:val="nil"/>
            </w:tcBorders>
            <w:noWrap w:val="0"/>
            <w:vAlign w:val="center"/>
          </w:tcPr>
          <w:p w14:paraId="013646F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检查内容</w:t>
            </w:r>
          </w:p>
        </w:tc>
        <w:tc>
          <w:tcPr>
            <w:tcW w:w="956" w:type="pct"/>
            <w:tcBorders>
              <w:tl2br w:val="nil"/>
              <w:tr2bl w:val="nil"/>
            </w:tcBorders>
            <w:noWrap w:val="0"/>
            <w:vAlign w:val="center"/>
          </w:tcPr>
          <w:p w14:paraId="348CCB6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检查依据</w:t>
            </w:r>
          </w:p>
        </w:tc>
        <w:tc>
          <w:tcPr>
            <w:tcW w:w="535" w:type="pct"/>
            <w:tcBorders>
              <w:tl2br w:val="nil"/>
              <w:tr2bl w:val="nil"/>
            </w:tcBorders>
            <w:noWrap w:val="0"/>
            <w:vAlign w:val="center"/>
          </w:tcPr>
          <w:p w14:paraId="66C87C4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检查法</w:t>
            </w:r>
          </w:p>
          <w:p w14:paraId="326E9AD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及地点</w:t>
            </w:r>
          </w:p>
        </w:tc>
        <w:tc>
          <w:tcPr>
            <w:tcW w:w="538" w:type="pct"/>
            <w:tcBorders>
              <w:tl2br w:val="nil"/>
              <w:tr2bl w:val="nil"/>
            </w:tcBorders>
            <w:noWrap w:val="0"/>
            <w:vAlign w:val="center"/>
          </w:tcPr>
          <w:p w14:paraId="1A53ACD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w:t>
            </w:r>
          </w:p>
          <w:p w14:paraId="2167E2F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记录</w:t>
            </w:r>
          </w:p>
        </w:tc>
        <w:tc>
          <w:tcPr>
            <w:tcW w:w="297" w:type="pct"/>
            <w:tcBorders>
              <w:tl2br w:val="nil"/>
              <w:tr2bl w:val="nil"/>
            </w:tcBorders>
            <w:noWrap w:val="0"/>
            <w:vAlign w:val="center"/>
          </w:tcPr>
          <w:p w14:paraId="55598D2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标准</w:t>
            </w:r>
          </w:p>
          <w:p w14:paraId="5A589A7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得分</w:t>
            </w:r>
          </w:p>
        </w:tc>
        <w:tc>
          <w:tcPr>
            <w:tcW w:w="496" w:type="pct"/>
            <w:tcBorders>
              <w:tl2br w:val="nil"/>
              <w:tr2bl w:val="nil"/>
            </w:tcBorders>
            <w:noWrap w:val="0"/>
            <w:vAlign w:val="center"/>
          </w:tcPr>
          <w:p w14:paraId="2E7A27D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评分标准</w:t>
            </w:r>
          </w:p>
        </w:tc>
        <w:tc>
          <w:tcPr>
            <w:tcW w:w="366" w:type="pct"/>
            <w:tcBorders>
              <w:tl2br w:val="nil"/>
              <w:tr2bl w:val="nil"/>
            </w:tcBorders>
            <w:noWrap w:val="0"/>
            <w:vAlign w:val="center"/>
          </w:tcPr>
          <w:p w14:paraId="29954470">
            <w:pPr>
              <w:keepNext w:val="0"/>
              <w:keepLines w:val="0"/>
              <w:pageBreakBefore w:val="0"/>
              <w:widowControl w:val="0"/>
              <w:tabs>
                <w:tab w:val="left" w:pos="280"/>
              </w:tabs>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检查结果</w:t>
            </w:r>
          </w:p>
        </w:tc>
      </w:tr>
      <w:tr w14:paraId="4387E8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7" w:hRule="atLeast"/>
        </w:trPr>
        <w:tc>
          <w:tcPr>
            <w:tcW w:w="350" w:type="pct"/>
            <w:vMerge w:val="restart"/>
            <w:tcBorders>
              <w:tl2br w:val="nil"/>
              <w:tr2bl w:val="nil"/>
            </w:tcBorders>
            <w:noWrap w:val="0"/>
            <w:vAlign w:val="top"/>
          </w:tcPr>
          <w:p w14:paraId="175E702B">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4CD58F8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4FE477C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3838D47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113CC5A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6FC6E75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773E426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037015A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14E76EA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1BF3EED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r>
              <w:rPr>
                <w:rFonts w:hint="eastAsia" w:ascii="宋体" w:hAnsi="宋体" w:eastAsia="宋体" w:cs="Times New Roman"/>
                <w:color w:val="auto"/>
                <w:spacing w:val="0"/>
                <w:sz w:val="21"/>
                <w:szCs w:val="21"/>
                <w:lang w:val="en-US" w:eastAsia="zh-CN"/>
              </w:rPr>
              <w:t>.</w:t>
            </w:r>
            <w:r>
              <w:rPr>
                <w:rFonts w:hint="eastAsia" w:ascii="宋体" w:hAnsi="宋体" w:eastAsia="宋体" w:cs="Times New Roman"/>
                <w:color w:val="auto"/>
                <w:spacing w:val="0"/>
                <w:sz w:val="21"/>
                <w:szCs w:val="21"/>
              </w:rPr>
              <w:t>主扇风机</w:t>
            </w:r>
          </w:p>
        </w:tc>
        <w:tc>
          <w:tcPr>
            <w:tcW w:w="1458" w:type="pct"/>
            <w:tcBorders>
              <w:tl2br w:val="nil"/>
              <w:tr2bl w:val="nil"/>
            </w:tcBorders>
            <w:noWrap w:val="0"/>
            <w:vAlign w:val="center"/>
          </w:tcPr>
          <w:p w14:paraId="15C9965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 xml:space="preserve">1.1应建立机械通风系统，主通风机风量、风压应符合设计和规程要求。并配备同规格型号的备用电机1台； </w:t>
            </w:r>
          </w:p>
        </w:tc>
        <w:tc>
          <w:tcPr>
            <w:tcW w:w="956" w:type="pct"/>
            <w:tcBorders>
              <w:tl2br w:val="nil"/>
              <w:tr2bl w:val="nil"/>
            </w:tcBorders>
            <w:noWrap w:val="0"/>
            <w:vAlign w:val="center"/>
          </w:tcPr>
          <w:p w14:paraId="3357BDB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6.2</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3516859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查看现场和资料</w:t>
            </w:r>
          </w:p>
        </w:tc>
        <w:tc>
          <w:tcPr>
            <w:tcW w:w="538" w:type="pct"/>
            <w:tcBorders>
              <w:tl2br w:val="nil"/>
              <w:tr2bl w:val="nil"/>
            </w:tcBorders>
            <w:noWrap w:val="0"/>
            <w:vAlign w:val="center"/>
          </w:tcPr>
          <w:p w14:paraId="1A9F11B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0973CF1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5</w:t>
            </w:r>
          </w:p>
        </w:tc>
        <w:tc>
          <w:tcPr>
            <w:tcW w:w="496" w:type="pct"/>
            <w:tcBorders>
              <w:tl2br w:val="nil"/>
              <w:tr2bl w:val="nil"/>
            </w:tcBorders>
            <w:noWrap w:val="0"/>
            <w:vAlign w:val="center"/>
          </w:tcPr>
          <w:p w14:paraId="37789C8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3E56DED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5</w:t>
            </w:r>
          </w:p>
        </w:tc>
      </w:tr>
      <w:tr w14:paraId="053D5C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350" w:type="pct"/>
            <w:vMerge w:val="continue"/>
            <w:tcBorders>
              <w:tl2br w:val="nil"/>
              <w:tr2bl w:val="nil"/>
            </w:tcBorders>
            <w:noWrap w:val="0"/>
            <w:vAlign w:val="center"/>
          </w:tcPr>
          <w:p w14:paraId="27998DB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21B7075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1.2箕斗井不得兼作进风井；主要回风井巷禁止用作人行道。</w:t>
            </w:r>
          </w:p>
        </w:tc>
        <w:tc>
          <w:tcPr>
            <w:tcW w:w="956" w:type="pct"/>
            <w:tcBorders>
              <w:tl2br w:val="nil"/>
              <w:tr2bl w:val="nil"/>
            </w:tcBorders>
            <w:noWrap w:val="0"/>
            <w:vAlign w:val="center"/>
          </w:tcPr>
          <w:p w14:paraId="6795D65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6.2</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065507A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w:t>
            </w:r>
          </w:p>
        </w:tc>
        <w:tc>
          <w:tcPr>
            <w:tcW w:w="538" w:type="pct"/>
            <w:tcBorders>
              <w:tl2br w:val="nil"/>
              <w:tr2bl w:val="nil"/>
            </w:tcBorders>
            <w:noWrap w:val="0"/>
            <w:vAlign w:val="center"/>
          </w:tcPr>
          <w:p w14:paraId="601C335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无关项</w:t>
            </w:r>
          </w:p>
        </w:tc>
        <w:tc>
          <w:tcPr>
            <w:tcW w:w="297" w:type="pct"/>
            <w:tcBorders>
              <w:tl2br w:val="nil"/>
              <w:tr2bl w:val="nil"/>
            </w:tcBorders>
            <w:noWrap w:val="0"/>
            <w:vAlign w:val="center"/>
          </w:tcPr>
          <w:p w14:paraId="4B2EAB4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195E59F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3CE6646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w:t>
            </w:r>
          </w:p>
        </w:tc>
      </w:tr>
      <w:tr w14:paraId="6F0D5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2" w:hRule="atLeast"/>
        </w:trPr>
        <w:tc>
          <w:tcPr>
            <w:tcW w:w="350" w:type="pct"/>
            <w:vMerge w:val="continue"/>
            <w:tcBorders>
              <w:tl2br w:val="nil"/>
              <w:tr2bl w:val="nil"/>
            </w:tcBorders>
            <w:noWrap w:val="0"/>
            <w:vAlign w:val="center"/>
          </w:tcPr>
          <w:p w14:paraId="568D6E3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4932BC8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1.3主进风风流不得通过采空区和陷落区。进风、回风巷应保持畅通，禁止堆放材料、设备。</w:t>
            </w:r>
          </w:p>
        </w:tc>
        <w:tc>
          <w:tcPr>
            <w:tcW w:w="956" w:type="pct"/>
            <w:tcBorders>
              <w:tl2br w:val="nil"/>
              <w:tr2bl w:val="nil"/>
            </w:tcBorders>
            <w:noWrap w:val="0"/>
            <w:vAlign w:val="center"/>
          </w:tcPr>
          <w:p w14:paraId="729576D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6.2</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219FD5A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w:t>
            </w:r>
          </w:p>
        </w:tc>
        <w:tc>
          <w:tcPr>
            <w:tcW w:w="538" w:type="pct"/>
            <w:tcBorders>
              <w:tl2br w:val="nil"/>
              <w:tr2bl w:val="nil"/>
            </w:tcBorders>
            <w:noWrap w:val="0"/>
            <w:vAlign w:val="center"/>
          </w:tcPr>
          <w:p w14:paraId="6E80013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4F94F33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17A0828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6EF47D7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r>
      <w:tr w14:paraId="301222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5" w:hRule="atLeast"/>
        </w:trPr>
        <w:tc>
          <w:tcPr>
            <w:tcW w:w="350" w:type="pct"/>
            <w:vMerge w:val="continue"/>
            <w:tcBorders>
              <w:tl2br w:val="nil"/>
              <w:tr2bl w:val="nil"/>
            </w:tcBorders>
            <w:noWrap w:val="0"/>
            <w:vAlign w:val="center"/>
          </w:tcPr>
          <w:p w14:paraId="3FFE797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4A2A61F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1.4各用风点的风速、风量和风质必须符合要求，开采与煤伴生、共生的金属与非金属矿床的通风条件，应当符合煤矿开采有关安全规程要求。</w:t>
            </w:r>
          </w:p>
        </w:tc>
        <w:tc>
          <w:tcPr>
            <w:tcW w:w="956" w:type="pct"/>
            <w:tcBorders>
              <w:tl2br w:val="nil"/>
              <w:tr2bl w:val="nil"/>
            </w:tcBorders>
            <w:noWrap w:val="0"/>
            <w:vAlign w:val="center"/>
          </w:tcPr>
          <w:p w14:paraId="288D8E9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6.2</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50CC930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079BA1B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6B3BC89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0B3CAC8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1EF9830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r>
      <w:tr w14:paraId="643BE6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7" w:hRule="atLeast"/>
        </w:trPr>
        <w:tc>
          <w:tcPr>
            <w:tcW w:w="350" w:type="pct"/>
            <w:vMerge w:val="continue"/>
            <w:tcBorders>
              <w:tl2br w:val="nil"/>
              <w:tr2bl w:val="nil"/>
            </w:tcBorders>
            <w:noWrap w:val="0"/>
            <w:vAlign w:val="center"/>
          </w:tcPr>
          <w:p w14:paraId="74CAB14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02F2587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 5构筑物（风门、风桥、风窗、挡风墙等）必须由专人负责操作和检查维修，保持完好严密状态。</w:t>
            </w:r>
          </w:p>
        </w:tc>
        <w:tc>
          <w:tcPr>
            <w:tcW w:w="956" w:type="pct"/>
            <w:tcBorders>
              <w:tl2br w:val="nil"/>
              <w:tr2bl w:val="nil"/>
            </w:tcBorders>
            <w:noWrap w:val="0"/>
            <w:vAlign w:val="center"/>
          </w:tcPr>
          <w:p w14:paraId="3BF818EB">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6.2</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4A5FDB8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46B8B44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0F45014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755B7D2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410A88E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1</w:t>
            </w:r>
          </w:p>
        </w:tc>
      </w:tr>
      <w:tr w14:paraId="0324A8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4" w:hRule="atLeast"/>
        </w:trPr>
        <w:tc>
          <w:tcPr>
            <w:tcW w:w="350" w:type="pct"/>
            <w:vMerge w:val="continue"/>
            <w:tcBorders>
              <w:tl2br w:val="nil"/>
              <w:tr2bl w:val="nil"/>
            </w:tcBorders>
            <w:noWrap w:val="0"/>
            <w:vAlign w:val="center"/>
          </w:tcPr>
          <w:p w14:paraId="126A41D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7711663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1.6正常生产情况下，主扇必须连续运转。</w:t>
            </w:r>
          </w:p>
        </w:tc>
        <w:tc>
          <w:tcPr>
            <w:tcW w:w="956" w:type="pct"/>
            <w:tcBorders>
              <w:tl2br w:val="nil"/>
              <w:tr2bl w:val="nil"/>
            </w:tcBorders>
            <w:noWrap w:val="0"/>
            <w:vAlign w:val="center"/>
          </w:tcPr>
          <w:p w14:paraId="76CA39D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0854959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3291DA6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23C1353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4F40897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359D6BF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r>
      <w:tr w14:paraId="03E3B6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9" w:hRule="atLeast"/>
        </w:trPr>
        <w:tc>
          <w:tcPr>
            <w:tcW w:w="350" w:type="pct"/>
            <w:vMerge w:val="continue"/>
            <w:tcBorders>
              <w:tl2br w:val="nil"/>
              <w:tr2bl w:val="nil"/>
            </w:tcBorders>
            <w:noWrap w:val="0"/>
            <w:vAlign w:val="center"/>
          </w:tcPr>
          <w:p w14:paraId="7FC108D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6D5A944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1.7主扇应有使矿井风流在10分钟内反向的措施。每年至少进行一次反风试验，并测定主要风路反风后的风量。反风量不低于60%；</w:t>
            </w:r>
          </w:p>
        </w:tc>
        <w:tc>
          <w:tcPr>
            <w:tcW w:w="956" w:type="pct"/>
            <w:tcBorders>
              <w:tl2br w:val="nil"/>
              <w:tr2bl w:val="nil"/>
            </w:tcBorders>
            <w:noWrap w:val="0"/>
            <w:vAlign w:val="center"/>
          </w:tcPr>
          <w:p w14:paraId="6398541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5480F08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6D22986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6B08A94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496" w:type="pct"/>
            <w:tcBorders>
              <w:tl2br w:val="nil"/>
              <w:tr2bl w:val="nil"/>
            </w:tcBorders>
            <w:noWrap w:val="0"/>
            <w:vAlign w:val="center"/>
          </w:tcPr>
          <w:p w14:paraId="7266E7E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7ABD88E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r>
      <w:tr w14:paraId="6880E1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350" w:type="pct"/>
            <w:vMerge w:val="continue"/>
            <w:tcBorders>
              <w:tl2br w:val="nil"/>
              <w:tr2bl w:val="nil"/>
            </w:tcBorders>
            <w:noWrap w:val="0"/>
            <w:vAlign w:val="center"/>
          </w:tcPr>
          <w:p w14:paraId="76BE7EA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75AE6F6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1.8主扇风机房，应设有测量风压、风量、电流、电压和轴承温度等的仪表。每班进行风机运转检查</w:t>
            </w:r>
            <w:r>
              <w:rPr>
                <w:rFonts w:hint="eastAsia" w:ascii="宋体" w:hAnsi="宋体" w:eastAsia="宋体" w:cs="Times New Roman"/>
                <w:color w:val="auto"/>
                <w:spacing w:val="0"/>
                <w:sz w:val="21"/>
                <w:szCs w:val="21"/>
                <w:lang w:eastAsia="zh-CN"/>
              </w:rPr>
              <w:t>，</w:t>
            </w:r>
            <w:r>
              <w:rPr>
                <w:rFonts w:hint="eastAsia" w:ascii="宋体" w:hAnsi="宋体" w:eastAsia="宋体" w:cs="Times New Roman"/>
                <w:color w:val="auto"/>
                <w:spacing w:val="0"/>
                <w:sz w:val="21"/>
                <w:szCs w:val="21"/>
              </w:rPr>
              <w:t>并填写运转记录。</w:t>
            </w:r>
          </w:p>
        </w:tc>
        <w:tc>
          <w:tcPr>
            <w:tcW w:w="956" w:type="pct"/>
            <w:tcBorders>
              <w:tl2br w:val="nil"/>
              <w:tr2bl w:val="nil"/>
            </w:tcBorders>
            <w:noWrap w:val="0"/>
            <w:vAlign w:val="center"/>
          </w:tcPr>
          <w:p w14:paraId="5064D31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4FF45ED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3FF383C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lang w:eastAsia="zh-CN"/>
              </w:rPr>
              <w:t>记录不完善</w:t>
            </w:r>
          </w:p>
        </w:tc>
        <w:tc>
          <w:tcPr>
            <w:tcW w:w="297" w:type="pct"/>
            <w:tcBorders>
              <w:tl2br w:val="nil"/>
              <w:tr2bl w:val="nil"/>
            </w:tcBorders>
            <w:noWrap w:val="0"/>
            <w:vAlign w:val="center"/>
          </w:tcPr>
          <w:p w14:paraId="4E44AE7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2D1D127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2B72648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cs="Times New Roman"/>
                <w:color w:val="auto"/>
                <w:spacing w:val="0"/>
                <w:sz w:val="21"/>
                <w:szCs w:val="21"/>
                <w:lang w:val="en-US" w:eastAsia="zh-CN"/>
              </w:rPr>
              <w:t>1</w:t>
            </w:r>
          </w:p>
        </w:tc>
      </w:tr>
      <w:tr w14:paraId="5294AF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5" w:hRule="atLeast"/>
        </w:trPr>
        <w:tc>
          <w:tcPr>
            <w:tcW w:w="350" w:type="pct"/>
            <w:vMerge w:val="restart"/>
            <w:tcBorders>
              <w:tl2br w:val="nil"/>
              <w:tr2bl w:val="nil"/>
            </w:tcBorders>
            <w:noWrap w:val="0"/>
            <w:vAlign w:val="top"/>
          </w:tcPr>
          <w:p w14:paraId="57B067D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1ABA978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1F8A37D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5BF13B0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34AEBAA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390A2C7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69B2F54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2F99B03B">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047A0A9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4B6DD10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7D8D0E8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15936BA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5234770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p w14:paraId="3FE6D22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r>
              <w:rPr>
                <w:rFonts w:hint="eastAsia" w:ascii="宋体" w:hAnsi="宋体" w:eastAsia="宋体" w:cs="Times New Roman"/>
                <w:color w:val="auto"/>
                <w:spacing w:val="0"/>
                <w:sz w:val="21"/>
                <w:szCs w:val="21"/>
                <w:lang w:val="en-US" w:eastAsia="zh-CN"/>
              </w:rPr>
              <w:t>.</w:t>
            </w:r>
            <w:r>
              <w:rPr>
                <w:rFonts w:hint="eastAsia" w:ascii="宋体" w:hAnsi="宋体" w:eastAsia="宋体" w:cs="Times New Roman"/>
                <w:color w:val="auto"/>
                <w:spacing w:val="0"/>
                <w:sz w:val="21"/>
                <w:szCs w:val="21"/>
              </w:rPr>
              <w:t>局部通风</w:t>
            </w:r>
          </w:p>
        </w:tc>
        <w:tc>
          <w:tcPr>
            <w:tcW w:w="1458" w:type="pct"/>
            <w:tcBorders>
              <w:tl2br w:val="nil"/>
              <w:tr2bl w:val="nil"/>
            </w:tcBorders>
            <w:noWrap w:val="0"/>
            <w:vAlign w:val="center"/>
          </w:tcPr>
          <w:p w14:paraId="5AC1CE8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2.1掘进工作面和通风不良的采场，应安装局部通风机；</w:t>
            </w:r>
          </w:p>
        </w:tc>
        <w:tc>
          <w:tcPr>
            <w:tcW w:w="956" w:type="pct"/>
            <w:tcBorders>
              <w:tl2br w:val="nil"/>
              <w:tr2bl w:val="nil"/>
            </w:tcBorders>
            <w:noWrap w:val="0"/>
            <w:vAlign w:val="center"/>
          </w:tcPr>
          <w:p w14:paraId="4F5225A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2163F1C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68EE3B0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4E8FEA7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16ED29E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036F3A9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r>
      <w:tr w14:paraId="13B1FE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9" w:hRule="atLeast"/>
        </w:trPr>
        <w:tc>
          <w:tcPr>
            <w:tcW w:w="350" w:type="pct"/>
            <w:vMerge w:val="continue"/>
            <w:tcBorders>
              <w:tl2br w:val="nil"/>
              <w:tr2bl w:val="nil"/>
            </w:tcBorders>
            <w:noWrap w:val="0"/>
            <w:vAlign w:val="center"/>
          </w:tcPr>
          <w:p w14:paraId="0B2B652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5D24F8A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2.2人员进入独头工作面之前，应开动局扇通风确保空气质量满足作业要求，独头工作面有人作业时局扇必须连续运转；</w:t>
            </w:r>
          </w:p>
        </w:tc>
        <w:tc>
          <w:tcPr>
            <w:tcW w:w="956" w:type="pct"/>
            <w:tcBorders>
              <w:tl2br w:val="nil"/>
              <w:tr2bl w:val="nil"/>
            </w:tcBorders>
            <w:noWrap w:val="0"/>
            <w:vAlign w:val="center"/>
          </w:tcPr>
          <w:p w14:paraId="121980C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535AD73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44E5E3F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36663B8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4D39C4F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5494A68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r>
      <w:tr w14:paraId="2CB457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0" w:hRule="atLeast"/>
        </w:trPr>
        <w:tc>
          <w:tcPr>
            <w:tcW w:w="350" w:type="pct"/>
            <w:vMerge w:val="continue"/>
            <w:tcBorders>
              <w:tl2br w:val="nil"/>
              <w:tr2bl w:val="nil"/>
            </w:tcBorders>
            <w:noWrap w:val="0"/>
            <w:vAlign w:val="center"/>
          </w:tcPr>
          <w:p w14:paraId="1B07E63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34B9592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 xml:space="preserve">2.3停止作业并已撤出局扇而又无贯穿风流的采场，独头上山或较长的独头巷道，应设栅栏和标志，防止人员进入，若需进入，应进行通风，经分析空气成分，确认安全方准进入； </w:t>
            </w:r>
          </w:p>
        </w:tc>
        <w:tc>
          <w:tcPr>
            <w:tcW w:w="956" w:type="pct"/>
            <w:tcBorders>
              <w:tl2br w:val="nil"/>
              <w:tr2bl w:val="nil"/>
            </w:tcBorders>
            <w:noWrap w:val="0"/>
            <w:vAlign w:val="center"/>
          </w:tcPr>
          <w:p w14:paraId="1B20DD5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418C828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2A501E2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2F75130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2B16D02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2A1007C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1</w:t>
            </w:r>
          </w:p>
        </w:tc>
      </w:tr>
      <w:tr w14:paraId="45CDE6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1" w:hRule="atLeast"/>
        </w:trPr>
        <w:tc>
          <w:tcPr>
            <w:tcW w:w="350" w:type="pct"/>
            <w:vMerge w:val="continue"/>
            <w:tcBorders>
              <w:tl2br w:val="nil"/>
              <w:tr2bl w:val="nil"/>
            </w:tcBorders>
            <w:noWrap w:val="0"/>
            <w:vAlign w:val="center"/>
          </w:tcPr>
          <w:p w14:paraId="3303625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02BD6AE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2.4采场形成通风系统前不应进行回采作业；</w:t>
            </w:r>
          </w:p>
        </w:tc>
        <w:tc>
          <w:tcPr>
            <w:tcW w:w="956" w:type="pct"/>
            <w:tcBorders>
              <w:tl2br w:val="nil"/>
              <w:tr2bl w:val="nil"/>
            </w:tcBorders>
            <w:noWrap w:val="0"/>
            <w:vAlign w:val="center"/>
          </w:tcPr>
          <w:p w14:paraId="3F0DB2D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2169793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5D42C6F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5D1CE3A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34AF0EB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41CA849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r>
      <w:tr w14:paraId="23073B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4" w:hRule="atLeast"/>
        </w:trPr>
        <w:tc>
          <w:tcPr>
            <w:tcW w:w="350" w:type="pct"/>
            <w:vMerge w:val="continue"/>
            <w:tcBorders>
              <w:tl2br w:val="nil"/>
              <w:tr2bl w:val="nil"/>
            </w:tcBorders>
            <w:noWrap w:val="0"/>
            <w:vAlign w:val="center"/>
          </w:tcPr>
          <w:p w14:paraId="6717C01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6F920FB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2.5局部通风的风筒口与工作面的距离满足安全规程要求。</w:t>
            </w:r>
          </w:p>
        </w:tc>
        <w:tc>
          <w:tcPr>
            <w:tcW w:w="956" w:type="pct"/>
            <w:tcBorders>
              <w:tl2br w:val="nil"/>
              <w:tr2bl w:val="nil"/>
            </w:tcBorders>
            <w:noWrap w:val="0"/>
            <w:vAlign w:val="center"/>
          </w:tcPr>
          <w:p w14:paraId="4DE6F93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6.3</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3DF9663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6031E79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lang w:val="en-US" w:eastAsia="zh-CN"/>
              </w:rPr>
              <w:t>+270m中段掘进作业圧入式通风口距工作面大于10m。</w:t>
            </w:r>
          </w:p>
        </w:tc>
        <w:tc>
          <w:tcPr>
            <w:tcW w:w="297" w:type="pct"/>
            <w:tcBorders>
              <w:tl2br w:val="nil"/>
              <w:tr2bl w:val="nil"/>
            </w:tcBorders>
            <w:noWrap w:val="0"/>
            <w:vAlign w:val="center"/>
          </w:tcPr>
          <w:p w14:paraId="0CEC01C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7170610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15D5541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cs="Times New Roman"/>
                <w:color w:val="auto"/>
                <w:spacing w:val="0"/>
                <w:sz w:val="21"/>
                <w:szCs w:val="21"/>
                <w:lang w:val="en-US" w:eastAsia="zh-CN"/>
              </w:rPr>
              <w:t>0</w:t>
            </w:r>
          </w:p>
        </w:tc>
      </w:tr>
      <w:tr w14:paraId="05AE67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9" w:hRule="atLeast"/>
        </w:trPr>
        <w:tc>
          <w:tcPr>
            <w:tcW w:w="350" w:type="pct"/>
            <w:vMerge w:val="continue"/>
            <w:tcBorders>
              <w:tl2br w:val="nil"/>
              <w:tr2bl w:val="nil"/>
            </w:tcBorders>
            <w:noWrap w:val="0"/>
            <w:vAlign w:val="center"/>
          </w:tcPr>
          <w:p w14:paraId="0DBC142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342FB11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2.6井下炸药库应有独立的回风道。充电硐室空气中氢气的含量，应不超过0.5％(按体积计算)。井下所有机电硐室，都应供给新鲜风流。</w:t>
            </w:r>
          </w:p>
        </w:tc>
        <w:tc>
          <w:tcPr>
            <w:tcW w:w="956" w:type="pct"/>
            <w:tcBorders>
              <w:tl2br w:val="nil"/>
              <w:tr2bl w:val="nil"/>
            </w:tcBorders>
            <w:noWrap w:val="0"/>
            <w:vAlign w:val="center"/>
          </w:tcPr>
          <w:p w14:paraId="05BEA3C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6.2</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4622DB8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18313D6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无关项</w:t>
            </w:r>
          </w:p>
        </w:tc>
        <w:tc>
          <w:tcPr>
            <w:tcW w:w="297" w:type="pct"/>
            <w:tcBorders>
              <w:tl2br w:val="nil"/>
              <w:tr2bl w:val="nil"/>
            </w:tcBorders>
            <w:noWrap w:val="0"/>
            <w:vAlign w:val="center"/>
          </w:tcPr>
          <w:p w14:paraId="3C6942B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64B1B81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557D647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w:t>
            </w:r>
          </w:p>
        </w:tc>
      </w:tr>
      <w:tr w14:paraId="670D80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2" w:hRule="atLeast"/>
        </w:trPr>
        <w:tc>
          <w:tcPr>
            <w:tcW w:w="350" w:type="pct"/>
            <w:vMerge w:val="continue"/>
            <w:tcBorders>
              <w:tl2br w:val="nil"/>
              <w:tr2bl w:val="nil"/>
            </w:tcBorders>
            <w:noWrap w:val="0"/>
            <w:vAlign w:val="center"/>
          </w:tcPr>
          <w:p w14:paraId="4A6B31CB">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29C2A4E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2.7风筒应吊挂平直、牢固，接头严密，避免车碰和炮崩，并应经常维护，以减少漏风、降低阻力。</w:t>
            </w:r>
          </w:p>
        </w:tc>
        <w:tc>
          <w:tcPr>
            <w:tcW w:w="956" w:type="pct"/>
            <w:tcBorders>
              <w:tl2br w:val="nil"/>
              <w:tr2bl w:val="nil"/>
            </w:tcBorders>
            <w:noWrap w:val="0"/>
            <w:vAlign w:val="center"/>
          </w:tcPr>
          <w:p w14:paraId="7867EB4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6.2</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054A2CCB">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w:t>
            </w:r>
          </w:p>
        </w:tc>
        <w:tc>
          <w:tcPr>
            <w:tcW w:w="538" w:type="pct"/>
            <w:tcBorders>
              <w:tl2br w:val="nil"/>
              <w:tr2bl w:val="nil"/>
            </w:tcBorders>
            <w:noWrap w:val="0"/>
            <w:vAlign w:val="center"/>
          </w:tcPr>
          <w:p w14:paraId="33FDDBA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val="en-US" w:eastAsia="zh-CN"/>
              </w:rPr>
            </w:pPr>
            <w:r>
              <w:rPr>
                <w:rFonts w:hint="eastAsia" w:cs="Times New Roman"/>
                <w:color w:val="auto"/>
                <w:spacing w:val="0"/>
                <w:sz w:val="21"/>
                <w:szCs w:val="21"/>
                <w:lang w:val="en-US" w:eastAsia="zh-CN"/>
              </w:rPr>
              <w:t>符合</w:t>
            </w:r>
          </w:p>
        </w:tc>
        <w:tc>
          <w:tcPr>
            <w:tcW w:w="297" w:type="pct"/>
            <w:tcBorders>
              <w:tl2br w:val="nil"/>
              <w:tr2bl w:val="nil"/>
            </w:tcBorders>
            <w:noWrap w:val="0"/>
            <w:vAlign w:val="center"/>
          </w:tcPr>
          <w:p w14:paraId="6AEEFE6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354B366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0695E29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cs="Times New Roman"/>
                <w:color w:val="auto"/>
                <w:spacing w:val="0"/>
                <w:sz w:val="21"/>
                <w:szCs w:val="21"/>
                <w:lang w:val="en-US" w:eastAsia="zh-CN"/>
              </w:rPr>
              <w:t>1</w:t>
            </w:r>
          </w:p>
        </w:tc>
      </w:tr>
      <w:tr w14:paraId="6E5F9B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4" w:hRule="atLeast"/>
        </w:trPr>
        <w:tc>
          <w:tcPr>
            <w:tcW w:w="350" w:type="pct"/>
            <w:vMerge w:val="restart"/>
            <w:tcBorders>
              <w:tl2br w:val="nil"/>
              <w:tr2bl w:val="nil"/>
            </w:tcBorders>
            <w:noWrap w:val="0"/>
            <w:vAlign w:val="top"/>
          </w:tcPr>
          <w:p w14:paraId="129BE8B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w:t>
            </w:r>
            <w:r>
              <w:rPr>
                <w:rFonts w:hint="eastAsia" w:ascii="宋体" w:hAnsi="宋体" w:eastAsia="宋体" w:cs="Times New Roman"/>
                <w:color w:val="auto"/>
                <w:spacing w:val="0"/>
                <w:sz w:val="21"/>
                <w:szCs w:val="21"/>
                <w:lang w:val="en-US" w:eastAsia="zh-CN"/>
              </w:rPr>
              <w:t>.</w:t>
            </w:r>
            <w:r>
              <w:rPr>
                <w:rFonts w:hint="eastAsia" w:ascii="宋体" w:hAnsi="宋体" w:eastAsia="宋体" w:cs="Times New Roman"/>
                <w:color w:val="auto"/>
                <w:spacing w:val="0"/>
                <w:sz w:val="21"/>
                <w:szCs w:val="21"/>
              </w:rPr>
              <w:t>防尘</w:t>
            </w:r>
          </w:p>
        </w:tc>
        <w:tc>
          <w:tcPr>
            <w:tcW w:w="1458" w:type="pct"/>
            <w:tcBorders>
              <w:tl2br w:val="nil"/>
              <w:tr2bl w:val="nil"/>
            </w:tcBorders>
            <w:noWrap w:val="0"/>
            <w:vAlign w:val="center"/>
          </w:tcPr>
          <w:p w14:paraId="362B110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3.1凿岩应采取湿式作业。缺水地区或湿式作业有困难的地点，应取干式捕尘或其他有效防尘措施。</w:t>
            </w:r>
          </w:p>
        </w:tc>
        <w:tc>
          <w:tcPr>
            <w:tcW w:w="956" w:type="pct"/>
            <w:tcBorders>
              <w:tl2br w:val="nil"/>
              <w:tr2bl w:val="nil"/>
            </w:tcBorders>
            <w:noWrap w:val="0"/>
            <w:vAlign w:val="center"/>
          </w:tcPr>
          <w:p w14:paraId="14B3435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3.1</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3514539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56F4B4B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5915CB3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c>
          <w:tcPr>
            <w:tcW w:w="496" w:type="pct"/>
            <w:tcBorders>
              <w:tl2br w:val="nil"/>
              <w:tr2bl w:val="nil"/>
            </w:tcBorders>
            <w:noWrap w:val="0"/>
            <w:vAlign w:val="center"/>
          </w:tcPr>
          <w:p w14:paraId="68ACD24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5C7CF15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2</w:t>
            </w:r>
          </w:p>
        </w:tc>
      </w:tr>
      <w:tr w14:paraId="1A4A04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4" w:hRule="atLeast"/>
        </w:trPr>
        <w:tc>
          <w:tcPr>
            <w:tcW w:w="350" w:type="pct"/>
            <w:vMerge w:val="continue"/>
            <w:tcBorders>
              <w:tl2br w:val="nil"/>
              <w:tr2bl w:val="nil"/>
            </w:tcBorders>
            <w:noWrap w:val="0"/>
            <w:vAlign w:val="center"/>
          </w:tcPr>
          <w:p w14:paraId="760CDAB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6119ABA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3.2爆破后和装卸矿岩时应进行喷雾洒水。</w:t>
            </w:r>
          </w:p>
        </w:tc>
        <w:tc>
          <w:tcPr>
            <w:tcW w:w="956" w:type="pct"/>
            <w:tcBorders>
              <w:tl2br w:val="nil"/>
              <w:tr2bl w:val="nil"/>
            </w:tcBorders>
            <w:noWrap w:val="0"/>
            <w:vAlign w:val="center"/>
          </w:tcPr>
          <w:p w14:paraId="3EAD51C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.3.1</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34EEC77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5AFCE8C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3C87A66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44872DD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4668394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lang w:eastAsia="zh-CN"/>
              </w:rPr>
            </w:pPr>
            <w:r>
              <w:rPr>
                <w:rFonts w:hint="eastAsia" w:ascii="宋体" w:hAnsi="宋体" w:eastAsia="宋体" w:cs="Times New Roman"/>
                <w:color w:val="auto"/>
                <w:spacing w:val="0"/>
                <w:sz w:val="21"/>
                <w:szCs w:val="21"/>
                <w:lang w:val="en-US" w:eastAsia="zh-CN"/>
              </w:rPr>
              <w:t>1</w:t>
            </w:r>
          </w:p>
        </w:tc>
      </w:tr>
      <w:tr w14:paraId="5EEEA4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0" w:hRule="atLeast"/>
        </w:trPr>
        <w:tc>
          <w:tcPr>
            <w:tcW w:w="350" w:type="pct"/>
            <w:vMerge w:val="continue"/>
            <w:tcBorders>
              <w:tl2br w:val="nil"/>
              <w:tr2bl w:val="nil"/>
            </w:tcBorders>
            <w:noWrap w:val="0"/>
            <w:vAlign w:val="center"/>
          </w:tcPr>
          <w:p w14:paraId="69FFBB1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1367E32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3.3防尘用水，应采用集中供水方式。水质应符合卫生标准要求。</w:t>
            </w:r>
          </w:p>
        </w:tc>
        <w:tc>
          <w:tcPr>
            <w:tcW w:w="956" w:type="pct"/>
            <w:tcBorders>
              <w:tl2br w:val="nil"/>
              <w:tr2bl w:val="nil"/>
            </w:tcBorders>
            <w:noWrap w:val="0"/>
            <w:vAlign w:val="center"/>
          </w:tcPr>
          <w:p w14:paraId="473C82F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3.1</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560129F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3912BBC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lang w:val="en-US" w:eastAsia="zh-CN"/>
              </w:rPr>
              <w:t>不</w:t>
            </w: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594AF60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54BF2CE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10804F5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1</w:t>
            </w:r>
          </w:p>
        </w:tc>
      </w:tr>
      <w:tr w14:paraId="14884A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0" w:hRule="atLeast"/>
        </w:trPr>
        <w:tc>
          <w:tcPr>
            <w:tcW w:w="350" w:type="pct"/>
            <w:vMerge w:val="continue"/>
            <w:tcBorders>
              <w:tl2br w:val="nil"/>
              <w:tr2bl w:val="nil"/>
            </w:tcBorders>
            <w:noWrap w:val="0"/>
            <w:vAlign w:val="center"/>
          </w:tcPr>
          <w:p w14:paraId="3037B5A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1458" w:type="pct"/>
            <w:tcBorders>
              <w:tl2br w:val="nil"/>
              <w:tr2bl w:val="nil"/>
            </w:tcBorders>
            <w:noWrap w:val="0"/>
            <w:vAlign w:val="center"/>
          </w:tcPr>
          <w:p w14:paraId="3FA3C63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3.4接尘作业人员必须戴有效的防尘口罩。</w:t>
            </w:r>
          </w:p>
        </w:tc>
        <w:tc>
          <w:tcPr>
            <w:tcW w:w="956" w:type="pct"/>
            <w:tcBorders>
              <w:tl2br w:val="nil"/>
              <w:tr2bl w:val="nil"/>
            </w:tcBorders>
            <w:noWrap w:val="0"/>
            <w:vAlign w:val="center"/>
          </w:tcPr>
          <w:p w14:paraId="366DF1E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《金属非金属矿山安全规程》第6.</w:t>
            </w:r>
            <w:r>
              <w:rPr>
                <w:rFonts w:hint="eastAsia" w:ascii="宋体" w:hAnsi="宋体" w:eastAsia="宋体" w:cs="Times New Roman"/>
                <w:color w:val="auto"/>
                <w:spacing w:val="0"/>
                <w:sz w:val="21"/>
                <w:szCs w:val="21"/>
                <w:lang w:val="en-US" w:eastAsia="zh-CN"/>
              </w:rPr>
              <w:t>3.1</w:t>
            </w:r>
            <w:r>
              <w:rPr>
                <w:rFonts w:hint="eastAsia" w:ascii="宋体" w:hAnsi="宋体" w:eastAsia="宋体" w:cs="Times New Roman"/>
                <w:color w:val="auto"/>
                <w:spacing w:val="0"/>
                <w:sz w:val="21"/>
                <w:szCs w:val="21"/>
              </w:rPr>
              <w:t>条</w:t>
            </w:r>
          </w:p>
        </w:tc>
        <w:tc>
          <w:tcPr>
            <w:tcW w:w="535" w:type="pct"/>
            <w:tcBorders>
              <w:tl2br w:val="nil"/>
              <w:tr2bl w:val="nil"/>
            </w:tcBorders>
            <w:noWrap w:val="0"/>
            <w:vAlign w:val="center"/>
          </w:tcPr>
          <w:p w14:paraId="4028784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4B25D58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0B5AC29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c>
          <w:tcPr>
            <w:tcW w:w="496" w:type="pct"/>
            <w:tcBorders>
              <w:tl2br w:val="nil"/>
              <w:tr2bl w:val="nil"/>
            </w:tcBorders>
            <w:noWrap w:val="0"/>
            <w:vAlign w:val="center"/>
          </w:tcPr>
          <w:p w14:paraId="2DD35A6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05A6BF1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1</w:t>
            </w:r>
          </w:p>
        </w:tc>
      </w:tr>
      <w:tr w14:paraId="4AFBB7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0" w:hRule="atLeast"/>
        </w:trPr>
        <w:tc>
          <w:tcPr>
            <w:tcW w:w="350" w:type="pct"/>
            <w:tcBorders>
              <w:tl2br w:val="nil"/>
              <w:tr2bl w:val="nil"/>
            </w:tcBorders>
            <w:noWrap w:val="0"/>
            <w:vAlign w:val="center"/>
          </w:tcPr>
          <w:p w14:paraId="3D324DC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4</w:t>
            </w:r>
            <w:r>
              <w:rPr>
                <w:rFonts w:hint="eastAsia" w:ascii="宋体" w:hAnsi="宋体" w:eastAsia="宋体" w:cs="Times New Roman"/>
                <w:color w:val="auto"/>
                <w:spacing w:val="0"/>
                <w:sz w:val="21"/>
                <w:szCs w:val="21"/>
                <w:lang w:val="en-US" w:eastAsia="zh-CN"/>
              </w:rPr>
              <w:t>.</w:t>
            </w:r>
            <w:r>
              <w:rPr>
                <w:rFonts w:hint="eastAsia" w:ascii="宋体" w:hAnsi="宋体" w:eastAsia="宋体" w:cs="Times New Roman"/>
                <w:color w:val="auto"/>
                <w:spacing w:val="0"/>
                <w:sz w:val="21"/>
                <w:szCs w:val="21"/>
              </w:rPr>
              <w:t>检测检验</w:t>
            </w:r>
          </w:p>
        </w:tc>
        <w:tc>
          <w:tcPr>
            <w:tcW w:w="1458" w:type="pct"/>
            <w:tcBorders>
              <w:tl2br w:val="nil"/>
              <w:tr2bl w:val="nil"/>
            </w:tcBorders>
            <w:noWrap w:val="0"/>
            <w:vAlign w:val="center"/>
          </w:tcPr>
          <w:p w14:paraId="2E7126D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4.1通风系统的风速、风量、风质和风压经检测合格；</w:t>
            </w:r>
          </w:p>
          <w:p w14:paraId="62EF27C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4.2主通风机经检测合格；</w:t>
            </w:r>
          </w:p>
          <w:p w14:paraId="2B2E4EB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4.3对井下有毒、有害气体和氧气含量，以及粉尘进行定期检测，保证符合要求。</w:t>
            </w:r>
          </w:p>
        </w:tc>
        <w:tc>
          <w:tcPr>
            <w:tcW w:w="956" w:type="pct"/>
            <w:tcBorders>
              <w:tl2br w:val="nil"/>
              <w:tr2bl w:val="nil"/>
            </w:tcBorders>
            <w:noWrap w:val="0"/>
            <w:vAlign w:val="center"/>
          </w:tcPr>
          <w:p w14:paraId="0CC75A3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535" w:type="pct"/>
            <w:tcBorders>
              <w:tl2br w:val="nil"/>
              <w:tr2bl w:val="nil"/>
            </w:tcBorders>
            <w:noWrap w:val="0"/>
            <w:vAlign w:val="center"/>
          </w:tcPr>
          <w:p w14:paraId="7CE6973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查看现场、资料</w:t>
            </w:r>
          </w:p>
        </w:tc>
        <w:tc>
          <w:tcPr>
            <w:tcW w:w="538" w:type="pct"/>
            <w:tcBorders>
              <w:tl2br w:val="nil"/>
              <w:tr2bl w:val="nil"/>
            </w:tcBorders>
            <w:noWrap w:val="0"/>
            <w:vAlign w:val="center"/>
          </w:tcPr>
          <w:p w14:paraId="7DA6FCD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符合</w:t>
            </w:r>
          </w:p>
        </w:tc>
        <w:tc>
          <w:tcPr>
            <w:tcW w:w="297" w:type="pct"/>
            <w:tcBorders>
              <w:tl2br w:val="nil"/>
              <w:tr2bl w:val="nil"/>
            </w:tcBorders>
            <w:noWrap w:val="0"/>
            <w:vAlign w:val="center"/>
          </w:tcPr>
          <w:p w14:paraId="279BCA6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5</w:t>
            </w:r>
          </w:p>
        </w:tc>
        <w:tc>
          <w:tcPr>
            <w:tcW w:w="496" w:type="pct"/>
            <w:tcBorders>
              <w:tl2br w:val="nil"/>
              <w:tr2bl w:val="nil"/>
            </w:tcBorders>
            <w:noWrap w:val="0"/>
            <w:vAlign w:val="center"/>
          </w:tcPr>
          <w:p w14:paraId="312570E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不符合不得分</w:t>
            </w:r>
          </w:p>
        </w:tc>
        <w:tc>
          <w:tcPr>
            <w:tcW w:w="366" w:type="pct"/>
            <w:tcBorders>
              <w:tl2br w:val="nil"/>
              <w:tr2bl w:val="nil"/>
            </w:tcBorders>
            <w:noWrap w:val="0"/>
            <w:vAlign w:val="center"/>
          </w:tcPr>
          <w:p w14:paraId="1516146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5</w:t>
            </w:r>
          </w:p>
        </w:tc>
      </w:tr>
      <w:tr w14:paraId="173138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0" w:hRule="atLeast"/>
        </w:trPr>
        <w:tc>
          <w:tcPr>
            <w:tcW w:w="350" w:type="pct"/>
            <w:tcBorders>
              <w:tl2br w:val="nil"/>
              <w:tr2bl w:val="nil"/>
            </w:tcBorders>
            <w:noWrap w:val="0"/>
            <w:vAlign w:val="center"/>
          </w:tcPr>
          <w:p w14:paraId="0039E63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r>
              <w:rPr>
                <w:rFonts w:hint="eastAsia" w:ascii="宋体" w:hAnsi="宋体" w:eastAsia="宋体" w:cs="Times New Roman"/>
                <w:color w:val="auto"/>
                <w:spacing w:val="0"/>
                <w:sz w:val="21"/>
                <w:szCs w:val="21"/>
              </w:rPr>
              <w:t>小计</w:t>
            </w:r>
          </w:p>
        </w:tc>
        <w:tc>
          <w:tcPr>
            <w:tcW w:w="1458" w:type="pct"/>
            <w:tcBorders>
              <w:tl2br w:val="nil"/>
              <w:tr2bl w:val="nil"/>
            </w:tcBorders>
            <w:noWrap w:val="0"/>
            <w:vAlign w:val="center"/>
          </w:tcPr>
          <w:p w14:paraId="6FC5EC24">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30</w:t>
            </w:r>
          </w:p>
        </w:tc>
        <w:tc>
          <w:tcPr>
            <w:tcW w:w="956" w:type="pct"/>
            <w:tcBorders>
              <w:tl2br w:val="nil"/>
              <w:tr2bl w:val="nil"/>
            </w:tcBorders>
            <w:noWrap w:val="0"/>
            <w:vAlign w:val="center"/>
          </w:tcPr>
          <w:p w14:paraId="26225111">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535" w:type="pct"/>
            <w:tcBorders>
              <w:tl2br w:val="nil"/>
              <w:tr2bl w:val="nil"/>
            </w:tcBorders>
            <w:noWrap w:val="0"/>
            <w:vAlign w:val="center"/>
          </w:tcPr>
          <w:p w14:paraId="30C1B61A">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538" w:type="pct"/>
            <w:tcBorders>
              <w:tl2br w:val="nil"/>
              <w:tr2bl w:val="nil"/>
            </w:tcBorders>
            <w:noWrap w:val="0"/>
            <w:vAlign w:val="center"/>
          </w:tcPr>
          <w:p w14:paraId="56F3659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宋体" w:hAnsi="宋体" w:eastAsia="宋体" w:cs="Times New Roman"/>
                <w:color w:val="auto"/>
                <w:spacing w:val="0"/>
                <w:sz w:val="21"/>
                <w:szCs w:val="21"/>
              </w:rPr>
            </w:pPr>
          </w:p>
        </w:tc>
        <w:tc>
          <w:tcPr>
            <w:tcW w:w="297" w:type="pct"/>
            <w:tcBorders>
              <w:tl2br w:val="nil"/>
              <w:tr2bl w:val="nil"/>
            </w:tcBorders>
            <w:noWrap w:val="0"/>
            <w:vAlign w:val="center"/>
          </w:tcPr>
          <w:p w14:paraId="13EA5BC8">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28</w:t>
            </w:r>
          </w:p>
        </w:tc>
        <w:tc>
          <w:tcPr>
            <w:tcW w:w="496" w:type="pct"/>
            <w:tcBorders>
              <w:tl2br w:val="nil"/>
              <w:tr2bl w:val="nil"/>
            </w:tcBorders>
            <w:noWrap w:val="0"/>
            <w:vAlign w:val="center"/>
          </w:tcPr>
          <w:p w14:paraId="491A882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宋体" w:hAnsi="宋体" w:eastAsia="宋体" w:cs="Times New Roman"/>
                <w:color w:val="auto"/>
                <w:spacing w:val="0"/>
                <w:sz w:val="21"/>
                <w:szCs w:val="21"/>
                <w:lang w:val="en-US" w:eastAsia="zh-CN"/>
              </w:rPr>
            </w:pPr>
          </w:p>
        </w:tc>
        <w:tc>
          <w:tcPr>
            <w:tcW w:w="366" w:type="pct"/>
            <w:tcBorders>
              <w:tl2br w:val="nil"/>
              <w:tr2bl w:val="nil"/>
            </w:tcBorders>
            <w:noWrap w:val="0"/>
            <w:vAlign w:val="center"/>
          </w:tcPr>
          <w:p w14:paraId="3DF6A46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default" w:ascii="宋体" w:hAnsi="宋体" w:eastAsia="宋体" w:cs="Times New Roman"/>
                <w:color w:val="auto"/>
                <w:spacing w:val="0"/>
                <w:sz w:val="21"/>
                <w:szCs w:val="21"/>
                <w:lang w:val="en-US" w:eastAsia="zh-CN"/>
              </w:rPr>
            </w:pPr>
            <w:r>
              <w:rPr>
                <w:rFonts w:hint="eastAsia" w:ascii="宋体" w:hAnsi="宋体" w:eastAsia="宋体" w:cs="Times New Roman"/>
                <w:color w:val="auto"/>
                <w:spacing w:val="0"/>
                <w:sz w:val="21"/>
                <w:szCs w:val="21"/>
                <w:lang w:val="en-US" w:eastAsia="zh-CN"/>
              </w:rPr>
              <w:t>26</w:t>
            </w:r>
          </w:p>
        </w:tc>
      </w:tr>
    </w:tbl>
    <w:p w14:paraId="1CA6FE2D">
      <w:pPr>
        <w:pStyle w:val="5"/>
        <w:bidi w:val="0"/>
        <w:rPr>
          <w:rFonts w:hint="eastAsia"/>
          <w:color w:val="auto"/>
          <w:lang w:val="en-US" w:eastAsia="zh-CN"/>
        </w:rPr>
      </w:pPr>
      <w:r>
        <w:rPr>
          <w:rFonts w:hint="eastAsia"/>
          <w:color w:val="auto"/>
          <w:lang w:val="en-US" w:eastAsia="zh-CN"/>
        </w:rPr>
        <w:t>5.4.2 单元评价小结</w:t>
      </w:r>
      <w:bookmarkEnd w:id="850"/>
      <w:bookmarkEnd w:id="851"/>
      <w:bookmarkEnd w:id="852"/>
      <w:bookmarkEnd w:id="853"/>
    </w:p>
    <w:p w14:paraId="4A596BCC">
      <w:pPr>
        <w:bidi w:val="0"/>
        <w:rPr>
          <w:rFonts w:hint="eastAsia" w:ascii="宋体" w:hAnsi="宋体" w:eastAsia="宋体"/>
          <w:color w:val="auto"/>
          <w:lang w:val="en-US" w:eastAsia="zh-CN"/>
        </w:rPr>
      </w:pPr>
      <w:bookmarkStart w:id="854" w:name="_Toc16899"/>
      <w:bookmarkStart w:id="855" w:name="_Toc10726"/>
      <w:bookmarkStart w:id="856" w:name="_Toc6667"/>
      <w:bookmarkStart w:id="857" w:name="_Toc1630"/>
      <w:bookmarkStart w:id="858" w:name="_Toc17902"/>
      <w:bookmarkStart w:id="859" w:name="_Toc9650"/>
      <w:bookmarkStart w:id="860" w:name="_Toc21763"/>
      <w:bookmarkStart w:id="861" w:name="_Toc19049"/>
      <w:r>
        <w:rPr>
          <w:rFonts w:hint="eastAsia" w:ascii="宋体" w:hAnsi="宋体" w:eastAsia="宋体"/>
          <w:color w:val="auto"/>
          <w:lang w:val="en-US" w:eastAsia="zh-CN"/>
        </w:rPr>
        <w:t>1）经过现场安全检查表检查分析评价，该矿地下开采形成了完整的机械通风系统。2026年3月，江西省矿检安全科技有限公司出具的安全检测检验报告，主通风设施能使矿井风流在10min内反向，反风量能达到正常运转时风量的70.73%，通风系统检测合格。</w:t>
      </w:r>
    </w:p>
    <w:p w14:paraId="79250BB1">
      <w:pPr>
        <w:bidi w:val="0"/>
        <w:rPr>
          <w:rFonts w:hint="eastAsia" w:ascii="宋体" w:hAnsi="宋体" w:eastAsia="宋体"/>
          <w:color w:val="auto"/>
          <w:lang w:val="en-US" w:eastAsia="zh-CN"/>
        </w:rPr>
      </w:pPr>
      <w:r>
        <w:rPr>
          <w:rFonts w:hint="eastAsia" w:ascii="宋体" w:hAnsi="宋体" w:eastAsia="宋体"/>
          <w:color w:val="auto"/>
          <w:lang w:val="en-US" w:eastAsia="zh-CN"/>
        </w:rPr>
        <w:t>2）运用安全检查表对矿井通风与防尘系统进行评价，矿井通风与防尘单元总分30分，无关项2分，应得分28分，扣分</w:t>
      </w:r>
      <w:r>
        <w:rPr>
          <w:rFonts w:hint="eastAsia"/>
          <w:color w:val="auto"/>
          <w:lang w:val="en-US" w:eastAsia="zh-CN"/>
        </w:rPr>
        <w:t>1</w:t>
      </w:r>
      <w:r>
        <w:rPr>
          <w:rFonts w:hint="eastAsia" w:ascii="宋体" w:hAnsi="宋体" w:eastAsia="宋体"/>
          <w:color w:val="auto"/>
          <w:lang w:val="en-US" w:eastAsia="zh-CN"/>
        </w:rPr>
        <w:t>分，实得分2</w:t>
      </w:r>
      <w:r>
        <w:rPr>
          <w:rFonts w:hint="eastAsia"/>
          <w:color w:val="auto"/>
          <w:lang w:val="en-US" w:eastAsia="zh-CN"/>
        </w:rPr>
        <w:t>7</w:t>
      </w:r>
      <w:r>
        <w:rPr>
          <w:rFonts w:hint="eastAsia" w:ascii="宋体" w:hAnsi="宋体" w:eastAsia="宋体"/>
          <w:color w:val="auto"/>
          <w:lang w:val="en-US" w:eastAsia="zh-CN"/>
        </w:rPr>
        <w:t>分，得分率9</w:t>
      </w:r>
      <w:r>
        <w:rPr>
          <w:rFonts w:hint="eastAsia"/>
          <w:color w:val="auto"/>
          <w:lang w:val="en-US" w:eastAsia="zh-CN"/>
        </w:rPr>
        <w:t>6.43</w:t>
      </w:r>
      <w:r>
        <w:rPr>
          <w:rFonts w:hint="eastAsia" w:ascii="宋体" w:hAnsi="宋体" w:eastAsia="宋体"/>
          <w:color w:val="auto"/>
          <w:lang w:val="en-US" w:eastAsia="zh-CN"/>
        </w:rPr>
        <w:t>%。矿井通风与防尘单元能满足安全生产活动。</w:t>
      </w:r>
    </w:p>
    <w:p w14:paraId="06874407">
      <w:pPr>
        <w:bidi w:val="0"/>
        <w:rPr>
          <w:rFonts w:hint="eastAsia"/>
          <w:color w:val="auto"/>
        </w:rPr>
      </w:pPr>
      <w:r>
        <w:rPr>
          <w:rFonts w:hint="eastAsia"/>
          <w:color w:val="auto"/>
          <w:lang w:val="en-US" w:eastAsia="zh-CN"/>
        </w:rPr>
        <w:t>3</w:t>
      </w:r>
      <w:r>
        <w:rPr>
          <w:rFonts w:hint="eastAsia"/>
          <w:color w:val="auto"/>
        </w:rPr>
        <w:t>）存在的问题：</w:t>
      </w:r>
    </w:p>
    <w:p w14:paraId="2E403843">
      <w:pPr>
        <w:bidi w:val="0"/>
        <w:rPr>
          <w:rFonts w:hint="eastAsia"/>
          <w:color w:val="auto"/>
          <w:lang w:val="en-US" w:eastAsia="zh-CN"/>
        </w:rPr>
      </w:pPr>
      <w:r>
        <w:rPr>
          <w:rFonts w:hint="eastAsia"/>
          <w:color w:val="auto"/>
          <w:lang w:val="en-US" w:eastAsia="zh-CN"/>
        </w:rPr>
        <w:t>（1</w:t>
      </w:r>
      <w:r>
        <w:rPr>
          <w:rFonts w:hint="eastAsia"/>
          <w:color w:val="auto"/>
          <w:lang w:eastAsia="zh-CN"/>
        </w:rPr>
        <w:t>）</w:t>
      </w:r>
      <w:r>
        <w:rPr>
          <w:rFonts w:hint="eastAsia"/>
          <w:color w:val="auto"/>
          <w:lang w:val="en-US" w:eastAsia="zh-CN"/>
        </w:rPr>
        <w:t>+270m中段掘进作业圧入式通风口距工作面大于10m。</w:t>
      </w:r>
    </w:p>
    <w:p w14:paraId="6F5F59D4">
      <w:pPr>
        <w:pStyle w:val="4"/>
        <w:bidi w:val="0"/>
        <w:rPr>
          <w:rFonts w:hint="eastAsia"/>
          <w:color w:val="auto"/>
          <w:lang w:val="en-US" w:eastAsia="zh-CN"/>
        </w:rPr>
      </w:pPr>
      <w:bookmarkStart w:id="862" w:name="_Toc32679"/>
      <w:r>
        <w:rPr>
          <w:rFonts w:hint="eastAsia"/>
          <w:color w:val="auto"/>
          <w:lang w:val="en-US" w:eastAsia="zh-CN"/>
        </w:rPr>
        <w:t>5.5 电气安全单元评价</w:t>
      </w:r>
      <w:bookmarkEnd w:id="854"/>
      <w:bookmarkEnd w:id="855"/>
      <w:bookmarkEnd w:id="856"/>
      <w:bookmarkEnd w:id="857"/>
      <w:bookmarkEnd w:id="858"/>
      <w:bookmarkEnd w:id="859"/>
      <w:bookmarkEnd w:id="860"/>
      <w:bookmarkEnd w:id="861"/>
      <w:bookmarkEnd w:id="862"/>
    </w:p>
    <w:p w14:paraId="0AB204A6">
      <w:pPr>
        <w:pStyle w:val="5"/>
        <w:bidi w:val="0"/>
        <w:rPr>
          <w:rFonts w:hint="eastAsia" w:ascii="宋体" w:hAnsi="宋体" w:eastAsia="宋体" w:cs="宋体"/>
          <w:b/>
          <w:snapToGrid/>
          <w:color w:val="auto"/>
          <w:kern w:val="2"/>
          <w:szCs w:val="24"/>
          <w:lang w:val="en-US" w:eastAsia="zh-CN" w:bidi="ar-SA"/>
        </w:rPr>
      </w:pPr>
      <w:bookmarkStart w:id="863" w:name="_Toc877"/>
      <w:bookmarkStart w:id="864" w:name="_Toc16193"/>
      <w:bookmarkStart w:id="865" w:name="_Toc15835"/>
      <w:bookmarkStart w:id="866" w:name="_Toc31973"/>
      <w:r>
        <w:rPr>
          <w:rFonts w:hint="eastAsia"/>
          <w:color w:val="auto"/>
          <w:lang w:val="en-US" w:eastAsia="zh-CN"/>
        </w:rPr>
        <w:t>5.5.1 安全检查表评价</w:t>
      </w:r>
      <w:bookmarkEnd w:id="863"/>
      <w:bookmarkEnd w:id="864"/>
      <w:bookmarkEnd w:id="865"/>
      <w:bookmarkEnd w:id="866"/>
    </w:p>
    <w:p w14:paraId="79D50E70">
      <w:pPr>
        <w:bidi w:val="0"/>
        <w:rPr>
          <w:color w:val="auto"/>
        </w:rPr>
      </w:pPr>
      <w:r>
        <w:rPr>
          <w:rFonts w:hint="eastAsia"/>
          <w:color w:val="auto"/>
          <w:lang w:val="en-US" w:eastAsia="zh-CN"/>
        </w:rPr>
        <w:t>采用安全检查表分析法对电气安全单元进行分析评价，见表5.5－1。</w:t>
      </w:r>
    </w:p>
    <w:p w14:paraId="17247621">
      <w:pPr>
        <w:bidi w:val="0"/>
        <w:jc w:val="center"/>
        <w:rPr>
          <w:rFonts w:hint="eastAsia"/>
          <w:color w:val="auto"/>
        </w:rPr>
      </w:pPr>
      <w:r>
        <w:rPr>
          <w:rFonts w:hint="eastAsia"/>
          <w:color w:val="auto"/>
        </w:rPr>
        <w:t>表 5</w:t>
      </w:r>
      <w:r>
        <w:rPr>
          <w:rFonts w:hint="eastAsia"/>
          <w:color w:val="auto"/>
          <w:lang w:eastAsia="zh-CN"/>
        </w:rPr>
        <w:t>－</w:t>
      </w:r>
      <w:r>
        <w:rPr>
          <w:rFonts w:hint="eastAsia"/>
          <w:color w:val="auto"/>
        </w:rPr>
        <w:t>5  电气安全单元安全检查表</w:t>
      </w:r>
    </w:p>
    <w:tbl>
      <w:tblPr>
        <w:tblStyle w:val="18"/>
        <w:tblW w:w="9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3240"/>
        <w:gridCol w:w="1727"/>
        <w:gridCol w:w="819"/>
        <w:gridCol w:w="860"/>
        <w:gridCol w:w="621"/>
        <w:gridCol w:w="851"/>
        <w:gridCol w:w="718"/>
      </w:tblGrid>
      <w:tr w14:paraId="4F55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99" w:type="dxa"/>
            <w:noWrap w:val="0"/>
            <w:vAlign w:val="center"/>
          </w:tcPr>
          <w:p w14:paraId="6E31273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w:t>
            </w:r>
          </w:p>
          <w:p w14:paraId="7EF07E0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项目</w:t>
            </w:r>
          </w:p>
        </w:tc>
        <w:tc>
          <w:tcPr>
            <w:tcW w:w="3240" w:type="dxa"/>
            <w:noWrap w:val="0"/>
            <w:vAlign w:val="center"/>
          </w:tcPr>
          <w:p w14:paraId="4B2CA7A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检查内容</w:t>
            </w:r>
          </w:p>
        </w:tc>
        <w:tc>
          <w:tcPr>
            <w:tcW w:w="1727" w:type="dxa"/>
            <w:noWrap w:val="0"/>
            <w:vAlign w:val="center"/>
          </w:tcPr>
          <w:p w14:paraId="13F5AE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检查依据</w:t>
            </w:r>
          </w:p>
        </w:tc>
        <w:tc>
          <w:tcPr>
            <w:tcW w:w="819" w:type="dxa"/>
            <w:noWrap w:val="0"/>
            <w:vAlign w:val="center"/>
          </w:tcPr>
          <w:p w14:paraId="7FAD745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检查方法及地点</w:t>
            </w:r>
          </w:p>
        </w:tc>
        <w:tc>
          <w:tcPr>
            <w:tcW w:w="860" w:type="dxa"/>
            <w:noWrap w:val="0"/>
            <w:vAlign w:val="center"/>
          </w:tcPr>
          <w:p w14:paraId="4F49C1F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检查记录</w:t>
            </w:r>
          </w:p>
        </w:tc>
        <w:tc>
          <w:tcPr>
            <w:tcW w:w="621" w:type="dxa"/>
            <w:noWrap w:val="0"/>
            <w:vAlign w:val="center"/>
          </w:tcPr>
          <w:p w14:paraId="72CC6AF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标准</w:t>
            </w:r>
          </w:p>
          <w:p w14:paraId="43C3400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分值</w:t>
            </w:r>
          </w:p>
        </w:tc>
        <w:tc>
          <w:tcPr>
            <w:tcW w:w="851" w:type="dxa"/>
            <w:noWrap w:val="0"/>
            <w:vAlign w:val="center"/>
          </w:tcPr>
          <w:p w14:paraId="66AF651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评分</w:t>
            </w:r>
          </w:p>
          <w:p w14:paraId="58FD43B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标准</w:t>
            </w:r>
          </w:p>
        </w:tc>
        <w:tc>
          <w:tcPr>
            <w:tcW w:w="718" w:type="dxa"/>
            <w:noWrap w:val="0"/>
            <w:vAlign w:val="center"/>
          </w:tcPr>
          <w:p w14:paraId="4DE8AAB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w:t>
            </w:r>
          </w:p>
          <w:p w14:paraId="17FF74A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结果</w:t>
            </w:r>
          </w:p>
        </w:tc>
      </w:tr>
      <w:tr w14:paraId="777C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799" w:type="dxa"/>
            <w:vMerge w:val="restart"/>
            <w:noWrap w:val="0"/>
            <w:vAlign w:val="center"/>
          </w:tcPr>
          <w:p w14:paraId="60243D8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电源</w:t>
            </w:r>
          </w:p>
        </w:tc>
        <w:tc>
          <w:tcPr>
            <w:tcW w:w="3240" w:type="dxa"/>
            <w:noWrap w:val="0"/>
            <w:vAlign w:val="center"/>
          </w:tcPr>
          <w:p w14:paraId="785E0D8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1.1井下一级负荷必须有两个独立电源供电</w:t>
            </w:r>
          </w:p>
        </w:tc>
        <w:tc>
          <w:tcPr>
            <w:tcW w:w="1727" w:type="dxa"/>
            <w:noWrap w:val="0"/>
            <w:vAlign w:val="center"/>
          </w:tcPr>
          <w:p w14:paraId="67932E3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《矿山电力设计标准》</w:t>
            </w:r>
          </w:p>
        </w:tc>
        <w:tc>
          <w:tcPr>
            <w:tcW w:w="819" w:type="dxa"/>
            <w:noWrap w:val="0"/>
            <w:vAlign w:val="center"/>
          </w:tcPr>
          <w:p w14:paraId="7EB18EB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65D563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cs="Times New Roman"/>
                <w:b w:val="0"/>
                <w:bCs w:val="0"/>
                <w:color w:val="auto"/>
                <w:spacing w:val="0"/>
                <w:sz w:val="21"/>
                <w:szCs w:val="21"/>
                <w:lang w:val="en-US" w:eastAsia="zh-CN"/>
              </w:rPr>
              <w:t>无关项</w:t>
            </w:r>
          </w:p>
        </w:tc>
        <w:tc>
          <w:tcPr>
            <w:tcW w:w="621" w:type="dxa"/>
            <w:noWrap w:val="0"/>
            <w:vAlign w:val="center"/>
          </w:tcPr>
          <w:p w14:paraId="14AD7A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w:t>
            </w:r>
          </w:p>
        </w:tc>
        <w:tc>
          <w:tcPr>
            <w:tcW w:w="851" w:type="dxa"/>
            <w:noWrap w:val="0"/>
            <w:vAlign w:val="center"/>
          </w:tcPr>
          <w:p w14:paraId="58CCCA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7D34793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sz w:val="21"/>
                <w:szCs w:val="21"/>
                <w:lang w:eastAsia="zh-CN"/>
              </w:rPr>
            </w:pPr>
            <w:r>
              <w:rPr>
                <w:rFonts w:hint="eastAsia" w:ascii="Times New Roman" w:hAnsi="Times New Roman" w:cs="Times New Roman"/>
                <w:b w:val="0"/>
                <w:bCs w:val="0"/>
                <w:color w:val="auto"/>
                <w:spacing w:val="0"/>
                <w:sz w:val="21"/>
                <w:szCs w:val="21"/>
                <w:lang w:val="en-US" w:eastAsia="zh-CN"/>
              </w:rPr>
              <w:t>-</w:t>
            </w:r>
          </w:p>
        </w:tc>
      </w:tr>
      <w:tr w14:paraId="6C0F5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99" w:type="dxa"/>
            <w:vMerge w:val="continue"/>
            <w:noWrap w:val="0"/>
            <w:vAlign w:val="center"/>
          </w:tcPr>
          <w:p w14:paraId="560AD0A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240" w:type="dxa"/>
            <w:noWrap w:val="0"/>
            <w:vAlign w:val="center"/>
          </w:tcPr>
          <w:p w14:paraId="094374B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1.2地面中性点直接接地的变压器或发电机不应用于井下井下供电；井下电气设备不应接零。</w:t>
            </w:r>
          </w:p>
        </w:tc>
        <w:tc>
          <w:tcPr>
            <w:tcW w:w="1727" w:type="dxa"/>
            <w:noWrap w:val="0"/>
            <w:vAlign w:val="center"/>
          </w:tcPr>
          <w:p w14:paraId="19E289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《金属非金属矿山安全规程》第6.7.1.6条</w:t>
            </w:r>
          </w:p>
        </w:tc>
        <w:tc>
          <w:tcPr>
            <w:tcW w:w="819" w:type="dxa"/>
            <w:noWrap w:val="0"/>
            <w:vAlign w:val="center"/>
          </w:tcPr>
          <w:p w14:paraId="67924B0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3E54220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053D1E3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851" w:type="dxa"/>
            <w:noWrap w:val="0"/>
            <w:vAlign w:val="center"/>
          </w:tcPr>
          <w:p w14:paraId="0579261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209E558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r>
      <w:tr w14:paraId="6FAF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799" w:type="dxa"/>
            <w:vMerge w:val="restart"/>
            <w:noWrap w:val="0"/>
            <w:vAlign w:val="center"/>
          </w:tcPr>
          <w:p w14:paraId="152C591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井下配电电压</w:t>
            </w:r>
          </w:p>
        </w:tc>
        <w:tc>
          <w:tcPr>
            <w:tcW w:w="3240" w:type="dxa"/>
            <w:noWrap w:val="0"/>
            <w:vAlign w:val="center"/>
          </w:tcPr>
          <w:p w14:paraId="6883500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2.1高压网路的配电电压应不超过35kV。</w:t>
            </w:r>
          </w:p>
        </w:tc>
        <w:tc>
          <w:tcPr>
            <w:tcW w:w="1727" w:type="dxa"/>
            <w:noWrap w:val="0"/>
            <w:vAlign w:val="center"/>
          </w:tcPr>
          <w:p w14:paraId="4E3A120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《金属非金属矿山安全规程》第6.7.1.4条</w:t>
            </w:r>
          </w:p>
        </w:tc>
        <w:tc>
          <w:tcPr>
            <w:tcW w:w="819" w:type="dxa"/>
            <w:noWrap w:val="0"/>
            <w:vAlign w:val="center"/>
          </w:tcPr>
          <w:p w14:paraId="05B2BC2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79CB439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0FFD5CF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c>
          <w:tcPr>
            <w:tcW w:w="851" w:type="dxa"/>
            <w:noWrap w:val="0"/>
            <w:vAlign w:val="center"/>
          </w:tcPr>
          <w:p w14:paraId="0F93640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082EDA5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r>
      <w:tr w14:paraId="3B85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99" w:type="dxa"/>
            <w:vMerge w:val="continue"/>
            <w:noWrap w:val="0"/>
            <w:vAlign w:val="center"/>
          </w:tcPr>
          <w:p w14:paraId="43F7F1A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240" w:type="dxa"/>
            <w:noWrap w:val="0"/>
            <w:vAlign w:val="center"/>
          </w:tcPr>
          <w:p w14:paraId="3726B24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2.2低压网路的配电电压应不超过1140V；</w:t>
            </w:r>
          </w:p>
        </w:tc>
        <w:tc>
          <w:tcPr>
            <w:tcW w:w="1727" w:type="dxa"/>
            <w:noWrap w:val="0"/>
            <w:vAlign w:val="center"/>
          </w:tcPr>
          <w:p w14:paraId="653D536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同上</w:t>
            </w:r>
          </w:p>
        </w:tc>
        <w:tc>
          <w:tcPr>
            <w:tcW w:w="819" w:type="dxa"/>
            <w:noWrap w:val="0"/>
            <w:vAlign w:val="center"/>
          </w:tcPr>
          <w:p w14:paraId="4CF6C9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2B2AEE0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5F3EBA5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c>
          <w:tcPr>
            <w:tcW w:w="851" w:type="dxa"/>
            <w:noWrap w:val="0"/>
            <w:vAlign w:val="center"/>
          </w:tcPr>
          <w:p w14:paraId="42C01AB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634D1AE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r>
      <w:tr w14:paraId="1763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99" w:type="dxa"/>
            <w:vMerge w:val="continue"/>
            <w:noWrap w:val="0"/>
            <w:vAlign w:val="center"/>
          </w:tcPr>
          <w:p w14:paraId="5DE0025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240" w:type="dxa"/>
            <w:noWrap w:val="0"/>
            <w:vAlign w:val="center"/>
          </w:tcPr>
          <w:p w14:paraId="67FE721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2.3照明：运输巷道、井底车场应不超过220V。采掘工作面、出矿巷道、天井和天井至回采工作面之间，应不超过36V，行灯电压应不超过36V；</w:t>
            </w:r>
          </w:p>
        </w:tc>
        <w:tc>
          <w:tcPr>
            <w:tcW w:w="1727" w:type="dxa"/>
            <w:noWrap w:val="0"/>
            <w:vAlign w:val="center"/>
          </w:tcPr>
          <w:p w14:paraId="735A735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同上</w:t>
            </w:r>
          </w:p>
        </w:tc>
        <w:tc>
          <w:tcPr>
            <w:tcW w:w="819" w:type="dxa"/>
            <w:noWrap w:val="0"/>
            <w:vAlign w:val="center"/>
          </w:tcPr>
          <w:p w14:paraId="7B3AD33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43DBF9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+270</w:t>
            </w:r>
          </w:p>
          <w:p w14:paraId="57BF7D7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 xml:space="preserve">m中段 </w:t>
            </w:r>
          </w:p>
          <w:p w14:paraId="20D9476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eastAsia" w:ascii="Times New Roman" w:hAnsi="Times New Roman" w:eastAsia="宋体" w:cs="Times New Roman"/>
                <w:b w:val="0"/>
                <w:bCs w:val="0"/>
                <w:color w:val="auto"/>
                <w:spacing w:val="0"/>
                <w:sz w:val="21"/>
                <w:szCs w:val="21"/>
                <w:lang w:val="en-US" w:eastAsia="zh-CN"/>
              </w:rPr>
              <w:t>部分地段照明灯泡已损坏</w:t>
            </w:r>
          </w:p>
        </w:tc>
        <w:tc>
          <w:tcPr>
            <w:tcW w:w="621" w:type="dxa"/>
            <w:noWrap w:val="0"/>
            <w:vAlign w:val="center"/>
          </w:tcPr>
          <w:p w14:paraId="44712FD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c>
          <w:tcPr>
            <w:tcW w:w="851" w:type="dxa"/>
            <w:noWrap w:val="0"/>
            <w:vAlign w:val="center"/>
          </w:tcPr>
          <w:p w14:paraId="29096FE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150E08E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sz w:val="21"/>
                <w:szCs w:val="21"/>
                <w:lang w:eastAsia="zh-CN"/>
              </w:rPr>
            </w:pPr>
            <w:r>
              <w:rPr>
                <w:rFonts w:hint="eastAsia" w:ascii="Times New Roman" w:hAnsi="Times New Roman" w:cs="Times New Roman"/>
                <w:b w:val="0"/>
                <w:bCs w:val="0"/>
                <w:color w:val="auto"/>
                <w:spacing w:val="0"/>
                <w:sz w:val="21"/>
                <w:szCs w:val="21"/>
                <w:lang w:val="en-US" w:eastAsia="zh-CN"/>
              </w:rPr>
              <w:t>0</w:t>
            </w:r>
          </w:p>
        </w:tc>
      </w:tr>
      <w:tr w14:paraId="7FF8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9" w:type="dxa"/>
            <w:vMerge w:val="continue"/>
            <w:noWrap w:val="0"/>
            <w:vAlign w:val="center"/>
          </w:tcPr>
          <w:p w14:paraId="0DA0ECB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240" w:type="dxa"/>
            <w:noWrap w:val="0"/>
            <w:vAlign w:val="center"/>
          </w:tcPr>
          <w:p w14:paraId="64B2F00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2.4携带式电动工具的电压应不超过127V；</w:t>
            </w:r>
          </w:p>
        </w:tc>
        <w:tc>
          <w:tcPr>
            <w:tcW w:w="1727" w:type="dxa"/>
            <w:noWrap w:val="0"/>
            <w:vAlign w:val="center"/>
          </w:tcPr>
          <w:p w14:paraId="25B9FD4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同上</w:t>
            </w:r>
          </w:p>
        </w:tc>
        <w:tc>
          <w:tcPr>
            <w:tcW w:w="819" w:type="dxa"/>
            <w:noWrap w:val="0"/>
            <w:vAlign w:val="center"/>
          </w:tcPr>
          <w:p w14:paraId="6F325B0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06AA7F1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20F8D85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c>
          <w:tcPr>
            <w:tcW w:w="851" w:type="dxa"/>
            <w:noWrap w:val="0"/>
            <w:vAlign w:val="center"/>
          </w:tcPr>
          <w:p w14:paraId="1F9709A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27588E4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lang w:val="en-US" w:eastAsia="zh-CN"/>
              </w:rPr>
              <w:t>1</w:t>
            </w:r>
          </w:p>
        </w:tc>
      </w:tr>
      <w:tr w14:paraId="410F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99" w:type="dxa"/>
            <w:vMerge w:val="continue"/>
            <w:noWrap w:val="0"/>
            <w:vAlign w:val="center"/>
          </w:tcPr>
          <w:p w14:paraId="0F01C33B">
            <w:pPr>
              <w:spacing w:line="300" w:lineRule="exact"/>
              <w:ind w:firstLine="420"/>
              <w:jc w:val="center"/>
              <w:rPr>
                <w:rFonts w:hint="default" w:ascii="Times New Roman" w:hAnsi="Times New Roman" w:eastAsia="宋体" w:cs="Times New Roman"/>
                <w:b w:val="0"/>
                <w:bCs w:val="0"/>
                <w:color w:val="auto"/>
                <w:spacing w:val="0"/>
                <w:sz w:val="21"/>
                <w:szCs w:val="21"/>
              </w:rPr>
            </w:pPr>
          </w:p>
        </w:tc>
        <w:tc>
          <w:tcPr>
            <w:tcW w:w="3240" w:type="dxa"/>
            <w:noWrap w:val="0"/>
            <w:vAlign w:val="center"/>
          </w:tcPr>
          <w:p w14:paraId="51A2EA4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2.5电机车供电电压，采用交流电源时应不超过400V，采用直流电源时，应不超过550V；</w:t>
            </w:r>
          </w:p>
        </w:tc>
        <w:tc>
          <w:tcPr>
            <w:tcW w:w="1727" w:type="dxa"/>
            <w:noWrap w:val="0"/>
            <w:vAlign w:val="center"/>
          </w:tcPr>
          <w:p w14:paraId="2F69B2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同上</w:t>
            </w:r>
          </w:p>
        </w:tc>
        <w:tc>
          <w:tcPr>
            <w:tcW w:w="819" w:type="dxa"/>
            <w:noWrap w:val="0"/>
            <w:vAlign w:val="center"/>
          </w:tcPr>
          <w:p w14:paraId="5571DC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35BA359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cs="Times New Roman"/>
                <w:b w:val="0"/>
                <w:bCs w:val="0"/>
                <w:color w:val="auto"/>
                <w:spacing w:val="0"/>
                <w:sz w:val="21"/>
                <w:szCs w:val="21"/>
                <w:lang w:val="en-US" w:eastAsia="zh-CN"/>
              </w:rPr>
              <w:t>无关项</w:t>
            </w:r>
          </w:p>
        </w:tc>
        <w:tc>
          <w:tcPr>
            <w:tcW w:w="621" w:type="dxa"/>
            <w:noWrap w:val="0"/>
            <w:vAlign w:val="center"/>
          </w:tcPr>
          <w:p w14:paraId="5707747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c>
          <w:tcPr>
            <w:tcW w:w="851" w:type="dxa"/>
            <w:noWrap w:val="0"/>
            <w:vAlign w:val="center"/>
          </w:tcPr>
          <w:p w14:paraId="462EF66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3FEC9CA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sz w:val="21"/>
                <w:szCs w:val="21"/>
                <w:lang w:eastAsia="zh-CN"/>
              </w:rPr>
            </w:pPr>
            <w:r>
              <w:rPr>
                <w:rFonts w:hint="eastAsia" w:ascii="Times New Roman" w:hAnsi="Times New Roman" w:cs="Times New Roman"/>
                <w:b w:val="0"/>
                <w:bCs w:val="0"/>
                <w:color w:val="auto"/>
                <w:spacing w:val="0"/>
                <w:sz w:val="21"/>
                <w:szCs w:val="21"/>
                <w:lang w:val="en-US" w:eastAsia="zh-CN"/>
              </w:rPr>
              <w:t>-</w:t>
            </w:r>
          </w:p>
        </w:tc>
      </w:tr>
      <w:tr w14:paraId="25C1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799" w:type="dxa"/>
            <w:noWrap w:val="0"/>
            <w:vAlign w:val="center"/>
          </w:tcPr>
          <w:p w14:paraId="6B9CD7B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漏电保护</w:t>
            </w:r>
          </w:p>
        </w:tc>
        <w:tc>
          <w:tcPr>
            <w:tcW w:w="3240" w:type="dxa"/>
            <w:noWrap w:val="0"/>
            <w:vAlign w:val="center"/>
          </w:tcPr>
          <w:p w14:paraId="189B7A6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低压馈出线必须安装检漏装置，保护装置必须灵敏可靠，每天应由值班人员对其运行情况进行一次检查。</w:t>
            </w:r>
          </w:p>
        </w:tc>
        <w:tc>
          <w:tcPr>
            <w:tcW w:w="1727" w:type="dxa"/>
            <w:noWrap w:val="0"/>
            <w:vAlign w:val="center"/>
          </w:tcPr>
          <w:p w14:paraId="160DD8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《矿山电力设计标准》</w:t>
            </w:r>
          </w:p>
        </w:tc>
        <w:tc>
          <w:tcPr>
            <w:tcW w:w="819" w:type="dxa"/>
            <w:noWrap w:val="0"/>
            <w:vAlign w:val="center"/>
          </w:tcPr>
          <w:p w14:paraId="5D726E9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159979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无检</w:t>
            </w:r>
            <w:r>
              <w:rPr>
                <w:rFonts w:hint="eastAsia" w:ascii="Times New Roman" w:hAnsi="Times New Roman" w:cs="Times New Roman"/>
                <w:b w:val="0"/>
                <w:bCs w:val="0"/>
                <w:color w:val="auto"/>
                <w:spacing w:val="0"/>
                <w:sz w:val="21"/>
                <w:szCs w:val="21"/>
                <w:lang w:val="en-US" w:eastAsia="zh-CN"/>
              </w:rPr>
              <w:t>查</w:t>
            </w:r>
            <w:r>
              <w:rPr>
                <w:rFonts w:hint="default" w:ascii="Times New Roman" w:hAnsi="Times New Roman" w:eastAsia="宋体" w:cs="Times New Roman"/>
                <w:b w:val="0"/>
                <w:bCs w:val="0"/>
                <w:color w:val="auto"/>
                <w:spacing w:val="0"/>
                <w:sz w:val="21"/>
                <w:szCs w:val="21"/>
              </w:rPr>
              <w:t>记录</w:t>
            </w:r>
          </w:p>
        </w:tc>
        <w:tc>
          <w:tcPr>
            <w:tcW w:w="621" w:type="dxa"/>
            <w:noWrap w:val="0"/>
            <w:vAlign w:val="center"/>
          </w:tcPr>
          <w:p w14:paraId="12F0909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851" w:type="dxa"/>
            <w:noWrap w:val="0"/>
            <w:vAlign w:val="center"/>
          </w:tcPr>
          <w:p w14:paraId="235163C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7500EDE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0</w:t>
            </w:r>
          </w:p>
        </w:tc>
      </w:tr>
      <w:tr w14:paraId="6171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799" w:type="dxa"/>
            <w:noWrap w:val="0"/>
            <w:vAlign w:val="center"/>
          </w:tcPr>
          <w:p w14:paraId="3FFFF17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4</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接线</w:t>
            </w:r>
          </w:p>
        </w:tc>
        <w:tc>
          <w:tcPr>
            <w:tcW w:w="3240" w:type="dxa"/>
            <w:noWrap w:val="0"/>
            <w:vAlign w:val="center"/>
          </w:tcPr>
          <w:p w14:paraId="6DC6363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向井下供电的断路器和井下中央变配电所各回路断路器，禁止安设自动重合闸装置。</w:t>
            </w:r>
          </w:p>
        </w:tc>
        <w:tc>
          <w:tcPr>
            <w:tcW w:w="1727" w:type="dxa"/>
            <w:noWrap w:val="0"/>
            <w:vAlign w:val="center"/>
          </w:tcPr>
          <w:p w14:paraId="621170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《金属非金属矿山安全规程》第6.7.3.2条</w:t>
            </w:r>
          </w:p>
        </w:tc>
        <w:tc>
          <w:tcPr>
            <w:tcW w:w="819" w:type="dxa"/>
            <w:noWrap w:val="0"/>
            <w:vAlign w:val="center"/>
          </w:tcPr>
          <w:p w14:paraId="02559B2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684CD7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796AE56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4</w:t>
            </w:r>
          </w:p>
        </w:tc>
        <w:tc>
          <w:tcPr>
            <w:tcW w:w="851" w:type="dxa"/>
            <w:noWrap w:val="0"/>
            <w:vAlign w:val="center"/>
          </w:tcPr>
          <w:p w14:paraId="4FF72E0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0A1AE75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4</w:t>
            </w:r>
          </w:p>
        </w:tc>
      </w:tr>
      <w:tr w14:paraId="7F7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99" w:type="dxa"/>
            <w:noWrap w:val="0"/>
            <w:vAlign w:val="center"/>
          </w:tcPr>
          <w:p w14:paraId="7B5C5AB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照明</w:t>
            </w:r>
          </w:p>
        </w:tc>
        <w:tc>
          <w:tcPr>
            <w:tcW w:w="3240" w:type="dxa"/>
            <w:noWrap w:val="0"/>
            <w:vAlign w:val="center"/>
          </w:tcPr>
          <w:p w14:paraId="32AF325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井下所有作业点，安全通道和通往作业地点的人行道，都应有照明。</w:t>
            </w:r>
          </w:p>
        </w:tc>
        <w:tc>
          <w:tcPr>
            <w:tcW w:w="1727" w:type="dxa"/>
            <w:noWrap w:val="0"/>
            <w:vAlign w:val="center"/>
          </w:tcPr>
          <w:p w14:paraId="48658B8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《金属非金属矿山安全规程》第6.7.5.1条</w:t>
            </w:r>
          </w:p>
        </w:tc>
        <w:tc>
          <w:tcPr>
            <w:tcW w:w="819" w:type="dxa"/>
            <w:noWrap w:val="0"/>
            <w:vAlign w:val="center"/>
          </w:tcPr>
          <w:p w14:paraId="0DCFD60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201A62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527B6C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c>
          <w:tcPr>
            <w:tcW w:w="851" w:type="dxa"/>
            <w:noWrap w:val="0"/>
            <w:vAlign w:val="center"/>
          </w:tcPr>
          <w:p w14:paraId="58FD51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437632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r>
      <w:tr w14:paraId="7BA4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99" w:type="dxa"/>
            <w:noWrap w:val="0"/>
            <w:vAlign w:val="center"/>
          </w:tcPr>
          <w:p w14:paraId="1CF2D03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6</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通讯</w:t>
            </w:r>
          </w:p>
        </w:tc>
        <w:tc>
          <w:tcPr>
            <w:tcW w:w="3240" w:type="dxa"/>
            <w:noWrap w:val="0"/>
            <w:vAlign w:val="center"/>
          </w:tcPr>
          <w:p w14:paraId="3AE23B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矿山井上、井下、矿山内外通讯设施完善可靠。</w:t>
            </w:r>
          </w:p>
        </w:tc>
        <w:tc>
          <w:tcPr>
            <w:tcW w:w="1727" w:type="dxa"/>
            <w:noWrap w:val="0"/>
            <w:vAlign w:val="center"/>
          </w:tcPr>
          <w:p w14:paraId="2644CE2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《金属非金属矿山安全规程》第6.7.7.2条</w:t>
            </w:r>
          </w:p>
        </w:tc>
        <w:tc>
          <w:tcPr>
            <w:tcW w:w="819" w:type="dxa"/>
            <w:noWrap w:val="0"/>
            <w:vAlign w:val="center"/>
          </w:tcPr>
          <w:p w14:paraId="305BB51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1503A6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060ACA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c>
          <w:tcPr>
            <w:tcW w:w="851" w:type="dxa"/>
            <w:noWrap w:val="0"/>
            <w:vAlign w:val="center"/>
          </w:tcPr>
          <w:p w14:paraId="390DAFD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5948AFB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tc>
      </w:tr>
      <w:tr w14:paraId="024E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799" w:type="dxa"/>
            <w:noWrap w:val="0"/>
            <w:vAlign w:val="center"/>
          </w:tcPr>
          <w:p w14:paraId="0811511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7</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接地保护</w:t>
            </w:r>
          </w:p>
        </w:tc>
        <w:tc>
          <w:tcPr>
            <w:tcW w:w="3240" w:type="dxa"/>
            <w:noWrap w:val="0"/>
            <w:vAlign w:val="center"/>
          </w:tcPr>
          <w:p w14:paraId="372170F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井下所有电气设备的金属外壳及电缆的配件、金属外皮等都应接地，形成接地网；接地电阻符合规范要求。</w:t>
            </w:r>
          </w:p>
        </w:tc>
        <w:tc>
          <w:tcPr>
            <w:tcW w:w="1727" w:type="dxa"/>
            <w:noWrap w:val="0"/>
            <w:vAlign w:val="center"/>
          </w:tcPr>
          <w:p w14:paraId="38DC547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《金属非金属矿山安全规程》第6.7.6.1条</w:t>
            </w:r>
          </w:p>
        </w:tc>
        <w:tc>
          <w:tcPr>
            <w:tcW w:w="819" w:type="dxa"/>
            <w:noWrap w:val="0"/>
            <w:vAlign w:val="center"/>
          </w:tcPr>
          <w:p w14:paraId="5FF8CCB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860" w:type="dxa"/>
            <w:noWrap w:val="0"/>
            <w:vAlign w:val="center"/>
          </w:tcPr>
          <w:p w14:paraId="32935BF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21" w:type="dxa"/>
            <w:noWrap w:val="0"/>
            <w:vAlign w:val="center"/>
          </w:tcPr>
          <w:p w14:paraId="611AB13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851" w:type="dxa"/>
            <w:noWrap w:val="0"/>
            <w:vAlign w:val="center"/>
          </w:tcPr>
          <w:p w14:paraId="11CE5C2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不符合不得分</w:t>
            </w:r>
          </w:p>
        </w:tc>
        <w:tc>
          <w:tcPr>
            <w:tcW w:w="718" w:type="dxa"/>
            <w:noWrap w:val="0"/>
            <w:vAlign w:val="center"/>
          </w:tcPr>
          <w:p w14:paraId="0C3EF43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lang w:val="en-US" w:eastAsia="zh-CN"/>
              </w:rPr>
              <w:t>3</w:t>
            </w:r>
          </w:p>
        </w:tc>
      </w:tr>
      <w:tr w14:paraId="340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99" w:type="dxa"/>
            <w:noWrap w:val="0"/>
            <w:vAlign w:val="center"/>
          </w:tcPr>
          <w:p w14:paraId="3FF9E17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8</w:t>
            </w:r>
            <w:r>
              <w:rPr>
                <w:rFonts w:hint="eastAsia" w:ascii="Times New Roman" w:hAnsi="Times New Roman" w:eastAsia="宋体" w:cs="Times New Roman"/>
                <w:b w:val="0"/>
                <w:bCs w:val="0"/>
                <w:color w:val="auto"/>
                <w:spacing w:val="0"/>
                <w:sz w:val="21"/>
                <w:szCs w:val="21"/>
                <w:lang w:eastAsia="zh-CN"/>
              </w:rPr>
              <w:t>、</w:t>
            </w:r>
            <w:r>
              <w:rPr>
                <w:rFonts w:hint="default" w:ascii="Times New Roman" w:hAnsi="Times New Roman" w:eastAsia="宋体" w:cs="Times New Roman"/>
                <w:b w:val="0"/>
                <w:bCs w:val="0"/>
                <w:color w:val="auto"/>
                <w:spacing w:val="0"/>
                <w:sz w:val="21"/>
                <w:szCs w:val="21"/>
              </w:rPr>
              <w:t>检测</w:t>
            </w:r>
          </w:p>
        </w:tc>
        <w:tc>
          <w:tcPr>
            <w:tcW w:w="3240" w:type="dxa"/>
            <w:noWrap w:val="0"/>
            <w:vAlign w:val="center"/>
          </w:tcPr>
          <w:p w14:paraId="76C38E7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供电系统有检测合格的报告。</w:t>
            </w:r>
          </w:p>
        </w:tc>
        <w:tc>
          <w:tcPr>
            <w:tcW w:w="1727" w:type="dxa"/>
            <w:noWrap w:val="0"/>
            <w:vAlign w:val="center"/>
          </w:tcPr>
          <w:p w14:paraId="6721C96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819" w:type="dxa"/>
            <w:noWrap w:val="0"/>
            <w:vAlign w:val="center"/>
          </w:tcPr>
          <w:p w14:paraId="35AE95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查文本</w:t>
            </w:r>
          </w:p>
        </w:tc>
        <w:tc>
          <w:tcPr>
            <w:tcW w:w="860" w:type="dxa"/>
            <w:noWrap w:val="0"/>
            <w:vAlign w:val="center"/>
          </w:tcPr>
          <w:p w14:paraId="06712E4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有</w:t>
            </w:r>
          </w:p>
        </w:tc>
        <w:tc>
          <w:tcPr>
            <w:tcW w:w="621" w:type="dxa"/>
            <w:noWrap w:val="0"/>
            <w:vAlign w:val="center"/>
          </w:tcPr>
          <w:p w14:paraId="1731199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w:t>
            </w:r>
          </w:p>
        </w:tc>
        <w:tc>
          <w:tcPr>
            <w:tcW w:w="851" w:type="dxa"/>
            <w:noWrap w:val="0"/>
            <w:vAlign w:val="center"/>
          </w:tcPr>
          <w:p w14:paraId="793D30B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718" w:type="dxa"/>
            <w:noWrap w:val="0"/>
            <w:vAlign w:val="center"/>
          </w:tcPr>
          <w:p w14:paraId="3AD910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w:t>
            </w:r>
          </w:p>
        </w:tc>
      </w:tr>
      <w:tr w14:paraId="3C7F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99" w:type="dxa"/>
            <w:noWrap w:val="0"/>
            <w:vAlign w:val="center"/>
          </w:tcPr>
          <w:p w14:paraId="61D300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小计</w:t>
            </w:r>
          </w:p>
        </w:tc>
        <w:tc>
          <w:tcPr>
            <w:tcW w:w="6646" w:type="dxa"/>
            <w:gridSpan w:val="4"/>
            <w:noWrap w:val="0"/>
            <w:vAlign w:val="center"/>
          </w:tcPr>
          <w:p w14:paraId="2659742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30</w:t>
            </w:r>
          </w:p>
        </w:tc>
        <w:tc>
          <w:tcPr>
            <w:tcW w:w="621" w:type="dxa"/>
            <w:noWrap w:val="0"/>
            <w:vAlign w:val="center"/>
          </w:tcPr>
          <w:p w14:paraId="54E38D9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cs="Times New Roman"/>
                <w:b w:val="0"/>
                <w:bCs w:val="0"/>
                <w:color w:val="auto"/>
                <w:spacing w:val="0"/>
                <w:sz w:val="21"/>
                <w:szCs w:val="21"/>
                <w:lang w:val="en-US" w:eastAsia="zh-CN"/>
              </w:rPr>
              <w:t>24</w:t>
            </w:r>
          </w:p>
        </w:tc>
        <w:tc>
          <w:tcPr>
            <w:tcW w:w="851" w:type="dxa"/>
            <w:noWrap w:val="0"/>
            <w:vAlign w:val="center"/>
          </w:tcPr>
          <w:p w14:paraId="0092196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p>
        </w:tc>
        <w:tc>
          <w:tcPr>
            <w:tcW w:w="718" w:type="dxa"/>
            <w:noWrap w:val="0"/>
            <w:vAlign w:val="center"/>
          </w:tcPr>
          <w:p w14:paraId="5CAE3C2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2</w:t>
            </w:r>
            <w:r>
              <w:rPr>
                <w:rFonts w:hint="eastAsia" w:ascii="Times New Roman" w:hAnsi="Times New Roman" w:cs="Times New Roman"/>
                <w:b w:val="0"/>
                <w:bCs w:val="0"/>
                <w:color w:val="auto"/>
                <w:spacing w:val="0"/>
                <w:sz w:val="21"/>
                <w:szCs w:val="21"/>
                <w:lang w:val="en-US" w:eastAsia="zh-CN"/>
              </w:rPr>
              <w:t>0</w:t>
            </w:r>
          </w:p>
        </w:tc>
      </w:tr>
    </w:tbl>
    <w:p w14:paraId="1764C270">
      <w:pPr>
        <w:pStyle w:val="5"/>
        <w:bidi w:val="0"/>
        <w:rPr>
          <w:rFonts w:hint="eastAsia"/>
          <w:color w:val="auto"/>
          <w:lang w:val="en-US" w:eastAsia="zh-CN"/>
        </w:rPr>
      </w:pPr>
      <w:bookmarkStart w:id="867" w:name="_Toc18674"/>
      <w:bookmarkStart w:id="868" w:name="_Toc24256"/>
      <w:r>
        <w:rPr>
          <w:rFonts w:hint="eastAsia"/>
          <w:color w:val="auto"/>
          <w:lang w:val="en-US" w:eastAsia="zh-CN"/>
        </w:rPr>
        <w:t>5.5.2 单元评价小结</w:t>
      </w:r>
      <w:bookmarkEnd w:id="867"/>
      <w:bookmarkEnd w:id="868"/>
    </w:p>
    <w:p w14:paraId="1ADD06F5">
      <w:pPr>
        <w:bidi w:val="0"/>
        <w:rPr>
          <w:rFonts w:hint="eastAsia"/>
          <w:color w:val="auto"/>
          <w:lang w:val="en-US" w:eastAsia="zh-CN"/>
        </w:rPr>
      </w:pPr>
      <w:r>
        <w:rPr>
          <w:rFonts w:hint="eastAsia"/>
          <w:color w:val="auto"/>
          <w:lang w:val="en-US" w:eastAsia="zh-CN"/>
        </w:rPr>
        <w:t>运用安全检查表对供电系统进行评价，电气安全单元总分30分，</w:t>
      </w:r>
      <w:r>
        <w:rPr>
          <w:rFonts w:hint="eastAsia" w:ascii="宋体" w:hAnsi="宋体" w:eastAsia="宋体"/>
          <w:color w:val="auto"/>
          <w:lang w:val="en-US" w:eastAsia="zh-CN"/>
        </w:rPr>
        <w:t>无关项6分，</w:t>
      </w:r>
      <w:r>
        <w:rPr>
          <w:rFonts w:hint="eastAsia"/>
          <w:color w:val="auto"/>
          <w:lang w:val="en-US" w:eastAsia="zh-CN"/>
        </w:rPr>
        <w:t>应得分24分，扣分4分，实得分20分，得分率为83.33%；电气安全单元符合安全要求。</w:t>
      </w:r>
    </w:p>
    <w:p w14:paraId="398228F0">
      <w:pPr>
        <w:bidi w:val="0"/>
        <w:rPr>
          <w:rFonts w:hint="eastAsia"/>
          <w:color w:val="auto"/>
          <w:lang w:val="en-US" w:eastAsia="zh-CN"/>
        </w:rPr>
      </w:pPr>
      <w:r>
        <w:rPr>
          <w:rFonts w:hint="eastAsia"/>
          <w:color w:val="auto"/>
          <w:lang w:val="en-US" w:eastAsia="zh-CN"/>
        </w:rPr>
        <w:t>存在问题：</w:t>
      </w:r>
    </w:p>
    <w:p w14:paraId="5113B0A7">
      <w:pPr>
        <w:bidi w:val="0"/>
        <w:rPr>
          <w:color w:val="auto"/>
        </w:rPr>
      </w:pPr>
      <w:r>
        <w:rPr>
          <w:rFonts w:hint="eastAsia"/>
          <w:color w:val="auto"/>
          <w:lang w:val="en-US" w:eastAsia="zh-CN"/>
        </w:rPr>
        <w:t>1)</w:t>
      </w:r>
      <w:r>
        <w:rPr>
          <w:color w:val="auto"/>
          <w:lang w:val="en-US" w:eastAsia="zh-CN"/>
        </w:rPr>
        <w:t>未见低压馈出线检漏装置检查记录。</w:t>
      </w:r>
    </w:p>
    <w:p w14:paraId="5BCE5611">
      <w:pPr>
        <w:bidi w:val="0"/>
        <w:rPr>
          <w:rFonts w:hint="eastAsia"/>
          <w:color w:val="auto"/>
          <w:lang w:val="en-US" w:eastAsia="zh-CN"/>
        </w:rPr>
      </w:pPr>
      <w:r>
        <w:rPr>
          <w:rFonts w:hint="eastAsia"/>
          <w:color w:val="auto"/>
          <w:lang w:val="en-US" w:eastAsia="zh-CN"/>
        </w:rPr>
        <w:t>2)+</w:t>
      </w:r>
      <w:r>
        <w:rPr>
          <w:rFonts w:hint="eastAsia" w:ascii="宋体" w:hAnsi="宋体" w:eastAsia="宋体" w:cs="宋体"/>
          <w:color w:val="auto"/>
          <w:sz w:val="28"/>
          <w:szCs w:val="28"/>
          <w:lang w:val="en-US" w:eastAsia="zh-CN"/>
        </w:rPr>
        <w:t>270m中段运输巷道部分地段照明灯损坏。</w:t>
      </w:r>
    </w:p>
    <w:p w14:paraId="3126B751">
      <w:pPr>
        <w:pStyle w:val="4"/>
        <w:bidi w:val="0"/>
        <w:rPr>
          <w:rFonts w:hint="eastAsia"/>
          <w:color w:val="auto"/>
          <w:lang w:val="en-US" w:eastAsia="zh-CN"/>
        </w:rPr>
      </w:pPr>
      <w:bookmarkStart w:id="869" w:name="_Toc12167"/>
      <w:bookmarkStart w:id="870" w:name="_Toc1568"/>
      <w:bookmarkStart w:id="871" w:name="_Toc24762"/>
      <w:bookmarkStart w:id="872" w:name="_Toc9454"/>
      <w:bookmarkStart w:id="873" w:name="_Toc3526"/>
      <w:bookmarkStart w:id="874" w:name="_Toc32263"/>
      <w:bookmarkStart w:id="875" w:name="_Toc31111"/>
      <w:bookmarkStart w:id="876" w:name="_Toc25342"/>
      <w:bookmarkStart w:id="877" w:name="_Toc27624"/>
      <w:r>
        <w:rPr>
          <w:rFonts w:hint="eastAsia"/>
          <w:color w:val="auto"/>
          <w:lang w:val="en-US" w:eastAsia="zh-CN"/>
        </w:rPr>
        <w:t>5.6 运输单元</w:t>
      </w:r>
      <w:bookmarkEnd w:id="869"/>
      <w:bookmarkEnd w:id="870"/>
      <w:bookmarkEnd w:id="871"/>
      <w:bookmarkEnd w:id="872"/>
      <w:bookmarkEnd w:id="873"/>
      <w:bookmarkEnd w:id="874"/>
      <w:bookmarkEnd w:id="875"/>
      <w:bookmarkEnd w:id="876"/>
      <w:bookmarkEnd w:id="877"/>
    </w:p>
    <w:p w14:paraId="2B88FB07">
      <w:pPr>
        <w:pStyle w:val="5"/>
        <w:bidi w:val="0"/>
        <w:rPr>
          <w:rFonts w:hint="eastAsia"/>
          <w:color w:val="auto"/>
          <w:lang w:val="en-US" w:eastAsia="zh-CN"/>
        </w:rPr>
      </w:pPr>
      <w:bookmarkStart w:id="878" w:name="_Toc12529"/>
      <w:bookmarkStart w:id="879" w:name="_Toc1827"/>
      <w:bookmarkStart w:id="880" w:name="_Toc752"/>
      <w:bookmarkStart w:id="881" w:name="_Toc23378"/>
      <w:r>
        <w:rPr>
          <w:rFonts w:hint="eastAsia"/>
          <w:color w:val="auto"/>
          <w:lang w:val="en-US" w:eastAsia="zh-CN"/>
        </w:rPr>
        <w:t>5.6.1 安全检查表 评价</w:t>
      </w:r>
      <w:bookmarkEnd w:id="878"/>
      <w:bookmarkEnd w:id="879"/>
      <w:bookmarkEnd w:id="880"/>
      <w:bookmarkEnd w:id="881"/>
    </w:p>
    <w:p w14:paraId="73E48287">
      <w:pPr>
        <w:bidi w:val="0"/>
        <w:rPr>
          <w:rFonts w:hint="eastAsia"/>
          <w:color w:val="auto"/>
        </w:rPr>
      </w:pPr>
      <w:r>
        <w:rPr>
          <w:rFonts w:hint="eastAsia" w:ascii="宋体" w:hAnsi="宋体" w:eastAsia="宋体" w:cs="宋体"/>
          <w:snapToGrid/>
          <w:color w:val="auto"/>
          <w:kern w:val="2"/>
          <w:szCs w:val="28"/>
          <w:lang w:val="en-US" w:eastAsia="zh-CN" w:bidi="ar-SA"/>
        </w:rPr>
        <w:t>采用安全检查表分</w:t>
      </w:r>
      <w:r>
        <w:rPr>
          <w:rFonts w:hint="eastAsia"/>
          <w:color w:val="auto"/>
          <w:lang w:val="en-US" w:eastAsia="zh-CN"/>
        </w:rPr>
        <w:t>析法对运输单元进行分析评价。见表5.6-1。</w:t>
      </w:r>
    </w:p>
    <w:p w14:paraId="53E17070">
      <w:pPr>
        <w:bidi w:val="0"/>
        <w:jc w:val="center"/>
        <w:rPr>
          <w:rFonts w:hint="eastAsia"/>
          <w:color w:val="auto"/>
        </w:rPr>
      </w:pPr>
      <w:r>
        <w:rPr>
          <w:rFonts w:hint="eastAsia"/>
          <w:color w:val="auto"/>
        </w:rPr>
        <w:t>表5</w:t>
      </w:r>
      <w:r>
        <w:rPr>
          <w:rFonts w:hint="eastAsia"/>
          <w:color w:val="auto"/>
          <w:lang w:val="en-US" w:eastAsia="zh-CN"/>
        </w:rPr>
        <w:t>.6-1</w:t>
      </w:r>
      <w:r>
        <w:rPr>
          <w:rFonts w:hint="eastAsia"/>
          <w:color w:val="auto"/>
        </w:rPr>
        <w:t xml:space="preserve"> 运输单元安全检查表</w:t>
      </w:r>
    </w:p>
    <w:tbl>
      <w:tblPr>
        <w:tblStyle w:val="18"/>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2590"/>
        <w:gridCol w:w="1764"/>
        <w:gridCol w:w="768"/>
        <w:gridCol w:w="882"/>
        <w:gridCol w:w="688"/>
        <w:gridCol w:w="997"/>
        <w:gridCol w:w="797"/>
      </w:tblGrid>
      <w:tr w14:paraId="107D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blHeader/>
          <w:jc w:val="center"/>
        </w:trPr>
        <w:tc>
          <w:tcPr>
            <w:tcW w:w="434" w:type="pct"/>
            <w:noWrap w:val="0"/>
            <w:vAlign w:val="center"/>
          </w:tcPr>
          <w:p w14:paraId="3920BC6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检查</w:t>
            </w:r>
          </w:p>
          <w:p w14:paraId="79C1D62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项目</w:t>
            </w:r>
          </w:p>
        </w:tc>
        <w:tc>
          <w:tcPr>
            <w:tcW w:w="1392" w:type="pct"/>
            <w:noWrap w:val="0"/>
            <w:vAlign w:val="center"/>
          </w:tcPr>
          <w:p w14:paraId="4B8908F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检查内容</w:t>
            </w:r>
          </w:p>
        </w:tc>
        <w:tc>
          <w:tcPr>
            <w:tcW w:w="948" w:type="pct"/>
            <w:noWrap w:val="0"/>
            <w:vAlign w:val="center"/>
          </w:tcPr>
          <w:p w14:paraId="3EBF50D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检查依据</w:t>
            </w:r>
          </w:p>
        </w:tc>
        <w:tc>
          <w:tcPr>
            <w:tcW w:w="413" w:type="pct"/>
            <w:noWrap w:val="0"/>
            <w:vAlign w:val="center"/>
          </w:tcPr>
          <w:p w14:paraId="7FFF7B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检查方法及地点</w:t>
            </w:r>
          </w:p>
        </w:tc>
        <w:tc>
          <w:tcPr>
            <w:tcW w:w="474" w:type="pct"/>
            <w:noWrap w:val="0"/>
            <w:vAlign w:val="center"/>
          </w:tcPr>
          <w:p w14:paraId="050E6EB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检查记录</w:t>
            </w:r>
          </w:p>
        </w:tc>
        <w:tc>
          <w:tcPr>
            <w:tcW w:w="370" w:type="pct"/>
            <w:noWrap w:val="0"/>
            <w:vAlign w:val="center"/>
          </w:tcPr>
          <w:p w14:paraId="78FEE7D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标准分值</w:t>
            </w:r>
          </w:p>
        </w:tc>
        <w:tc>
          <w:tcPr>
            <w:tcW w:w="536" w:type="pct"/>
            <w:noWrap w:val="0"/>
            <w:vAlign w:val="center"/>
          </w:tcPr>
          <w:p w14:paraId="5076FF4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评分</w:t>
            </w:r>
          </w:p>
          <w:p w14:paraId="3D9D7CF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标准</w:t>
            </w:r>
          </w:p>
        </w:tc>
        <w:tc>
          <w:tcPr>
            <w:tcW w:w="428" w:type="pct"/>
            <w:noWrap w:val="0"/>
            <w:vAlign w:val="center"/>
          </w:tcPr>
          <w:p w14:paraId="7BB4E81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检查结果</w:t>
            </w:r>
          </w:p>
        </w:tc>
      </w:tr>
      <w:tr w14:paraId="1230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434" w:type="pct"/>
            <w:vMerge w:val="restart"/>
            <w:noWrap w:val="0"/>
            <w:vAlign w:val="center"/>
          </w:tcPr>
          <w:p w14:paraId="75F67CB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r>
              <w:rPr>
                <w:rFonts w:hint="eastAsia"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rPr>
              <w:t>有轨水平巷道</w:t>
            </w:r>
          </w:p>
          <w:p w14:paraId="063C646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运输20分</w:t>
            </w:r>
          </w:p>
        </w:tc>
        <w:tc>
          <w:tcPr>
            <w:tcW w:w="1392" w:type="pct"/>
            <w:noWrap w:val="0"/>
            <w:vAlign w:val="center"/>
          </w:tcPr>
          <w:p w14:paraId="04AA86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rPr>
              <w:t>1.1采用电机车运输的矿井，由井底车场或平硐口到作业地点所经平巷长度超过1500m时，应设专用人车运输人员，专用人车应有金属顶棚，从顶棚到车箱和车架应作好电气连接，确保通过钢轨接地</w:t>
            </w:r>
            <w:r>
              <w:rPr>
                <w:rFonts w:hint="eastAsia" w:ascii="Times New Roman" w:hAnsi="Times New Roman" w:eastAsia="宋体" w:cs="Times New Roman"/>
                <w:color w:val="auto"/>
                <w:spacing w:val="0"/>
                <w:sz w:val="21"/>
                <w:szCs w:val="21"/>
                <w:lang w:eastAsia="zh-CN"/>
              </w:rPr>
              <w:t>。</w:t>
            </w:r>
          </w:p>
        </w:tc>
        <w:tc>
          <w:tcPr>
            <w:tcW w:w="948" w:type="pct"/>
            <w:noWrap w:val="0"/>
            <w:vAlign w:val="center"/>
          </w:tcPr>
          <w:p w14:paraId="4F8E78D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《金属非金属矿山安全规程》第6.4.1.1条</w:t>
            </w:r>
          </w:p>
        </w:tc>
        <w:tc>
          <w:tcPr>
            <w:tcW w:w="413" w:type="pct"/>
            <w:noWrap w:val="0"/>
            <w:vAlign w:val="center"/>
          </w:tcPr>
          <w:p w14:paraId="4B143BC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34FF7CB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13141A4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1014A5B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5E49295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77A7CE3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7A2B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vMerge w:val="continue"/>
            <w:noWrap w:val="0"/>
            <w:vAlign w:val="center"/>
          </w:tcPr>
          <w:p w14:paraId="6AAACDE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6ECE73C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1.2专用人车运送人员，必须符合《规程》要求。</w:t>
            </w:r>
          </w:p>
        </w:tc>
        <w:tc>
          <w:tcPr>
            <w:tcW w:w="948" w:type="pct"/>
            <w:noWrap w:val="0"/>
            <w:vAlign w:val="center"/>
          </w:tcPr>
          <w:p w14:paraId="0C0787E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《金属非金属矿山安全规程》第6.4.1.2条</w:t>
            </w:r>
          </w:p>
        </w:tc>
        <w:tc>
          <w:tcPr>
            <w:tcW w:w="413" w:type="pct"/>
            <w:noWrap w:val="0"/>
            <w:vAlign w:val="center"/>
          </w:tcPr>
          <w:p w14:paraId="2DD5E36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5FEBFD5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1898B54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1AFDBC1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6EA8B26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5C457DC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05FE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434" w:type="pct"/>
            <w:vMerge w:val="continue"/>
            <w:noWrap w:val="0"/>
            <w:vAlign w:val="center"/>
          </w:tcPr>
          <w:p w14:paraId="24146B8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07AF9E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1.3专用人车运送人员，乘车人员必须遵守《规程》要求。</w:t>
            </w:r>
          </w:p>
        </w:tc>
        <w:tc>
          <w:tcPr>
            <w:tcW w:w="948" w:type="pct"/>
            <w:noWrap w:val="0"/>
            <w:vAlign w:val="center"/>
          </w:tcPr>
          <w:p w14:paraId="15F5362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《金属非金属矿山安全规程》第6.4.1.3条</w:t>
            </w:r>
          </w:p>
        </w:tc>
        <w:tc>
          <w:tcPr>
            <w:tcW w:w="413" w:type="pct"/>
            <w:noWrap w:val="0"/>
            <w:vAlign w:val="center"/>
          </w:tcPr>
          <w:p w14:paraId="4B16401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16ABB55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707A901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421179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4968E49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194034F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1A46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34" w:type="pct"/>
            <w:vMerge w:val="continue"/>
            <w:noWrap w:val="0"/>
            <w:vAlign w:val="center"/>
          </w:tcPr>
          <w:p w14:paraId="39A2F75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49D045A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1.4车辆的连接装置不得自行脱钩，车辆两端的碰头或缓冲器的伸出长度不小于100mm。</w:t>
            </w:r>
          </w:p>
        </w:tc>
        <w:tc>
          <w:tcPr>
            <w:tcW w:w="948" w:type="pct"/>
            <w:noWrap w:val="0"/>
            <w:vAlign w:val="center"/>
          </w:tcPr>
          <w:p w14:paraId="29F0421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《金属非金属矿山安全规程》第6.4.1.4条</w:t>
            </w:r>
          </w:p>
        </w:tc>
        <w:tc>
          <w:tcPr>
            <w:tcW w:w="413" w:type="pct"/>
            <w:noWrap w:val="0"/>
            <w:vAlign w:val="center"/>
          </w:tcPr>
          <w:p w14:paraId="2B08D2B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66B4032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5EEAF25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noWrap w:val="0"/>
            <w:vAlign w:val="center"/>
          </w:tcPr>
          <w:p w14:paraId="04847E7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291E2C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7F7A458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4817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0A4C144D">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46BC1BF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1.5停放在轨道上的车辆有可能自滑时，应采取有效措施制动。</w:t>
            </w:r>
          </w:p>
        </w:tc>
        <w:tc>
          <w:tcPr>
            <w:tcW w:w="948" w:type="pct"/>
            <w:noWrap w:val="0"/>
            <w:vAlign w:val="center"/>
          </w:tcPr>
          <w:p w14:paraId="6209B71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《金属非金属矿山安全规程》第6.4.1.5条</w:t>
            </w:r>
          </w:p>
        </w:tc>
        <w:tc>
          <w:tcPr>
            <w:tcW w:w="413" w:type="pct"/>
            <w:noWrap w:val="0"/>
            <w:vAlign w:val="center"/>
          </w:tcPr>
          <w:p w14:paraId="55D71AF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2257302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52D8E0C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noWrap w:val="0"/>
            <w:vAlign w:val="center"/>
          </w:tcPr>
          <w:p w14:paraId="5F23D71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697088D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4629258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5E59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noWrap w:val="0"/>
            <w:vAlign w:val="center"/>
          </w:tcPr>
          <w:p w14:paraId="436C06A6">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16F1069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1.6在运输巷道内，人员应沿人行道行走;不应在轨道上或者两条轨道之间停留:不应横跨列车。</w:t>
            </w:r>
          </w:p>
        </w:tc>
        <w:tc>
          <w:tcPr>
            <w:tcW w:w="948" w:type="pct"/>
            <w:noWrap w:val="0"/>
            <w:vAlign w:val="center"/>
          </w:tcPr>
          <w:p w14:paraId="689748E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《金属非金属矿山安全规程》第6.4.1.6条</w:t>
            </w:r>
          </w:p>
        </w:tc>
        <w:tc>
          <w:tcPr>
            <w:tcW w:w="413" w:type="pct"/>
            <w:noWrap w:val="0"/>
            <w:vAlign w:val="center"/>
          </w:tcPr>
          <w:p w14:paraId="3B1BDE2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72BBAC9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106D4A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0192E8A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6C9B866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785670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667C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661670B3">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70E6EA8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1.7轨道曲线半径应符合《规程》规定。</w:t>
            </w:r>
          </w:p>
        </w:tc>
        <w:tc>
          <w:tcPr>
            <w:tcW w:w="948" w:type="pct"/>
            <w:noWrap w:val="0"/>
            <w:vAlign w:val="center"/>
          </w:tcPr>
          <w:p w14:paraId="61C8F02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《金属非金属矿山安全规程》第6.4.1.7条</w:t>
            </w:r>
          </w:p>
        </w:tc>
        <w:tc>
          <w:tcPr>
            <w:tcW w:w="413" w:type="pct"/>
            <w:noWrap w:val="0"/>
            <w:vAlign w:val="center"/>
          </w:tcPr>
          <w:p w14:paraId="237167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1A5D799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0A00EF7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57B920F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7ED7FDE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623692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106E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34" w:type="pct"/>
            <w:vMerge w:val="continue"/>
            <w:noWrap w:val="0"/>
            <w:vAlign w:val="center"/>
          </w:tcPr>
          <w:p w14:paraId="1D9CAB2B">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7B4EDFF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1.8电机车司机，应遵守规定要求。</w:t>
            </w:r>
          </w:p>
        </w:tc>
        <w:tc>
          <w:tcPr>
            <w:tcW w:w="948" w:type="pct"/>
            <w:noWrap w:val="0"/>
            <w:vAlign w:val="center"/>
          </w:tcPr>
          <w:p w14:paraId="3EC5CE9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《金属非金属矿山安全规程》第6.4.1.11条</w:t>
            </w:r>
          </w:p>
        </w:tc>
        <w:tc>
          <w:tcPr>
            <w:tcW w:w="413" w:type="pct"/>
            <w:noWrap w:val="0"/>
            <w:vAlign w:val="center"/>
          </w:tcPr>
          <w:p w14:paraId="16B3615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5E2BF41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7910688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6897CCA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224C5DA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43A84BF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22F4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18B75F16">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59F183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1.9电机车运行，应遵守《规程》规定。</w:t>
            </w:r>
          </w:p>
        </w:tc>
        <w:tc>
          <w:tcPr>
            <w:tcW w:w="948" w:type="pct"/>
            <w:noWrap w:val="0"/>
            <w:vAlign w:val="center"/>
          </w:tcPr>
          <w:p w14:paraId="787B70E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w:t>
            </w:r>
            <w:r>
              <w:rPr>
                <w:rFonts w:hint="eastAsia" w:ascii="Times New Roman" w:hAnsi="Times New Roman" w:cs="Times New Roman"/>
                <w:color w:val="auto"/>
                <w:spacing w:val="0"/>
                <w:sz w:val="21"/>
                <w:szCs w:val="21"/>
                <w:lang w:val="en-US" w:eastAsia="zh-CN"/>
              </w:rPr>
              <w:t>2</w:t>
            </w:r>
            <w:r>
              <w:rPr>
                <w:rFonts w:hint="eastAsia" w:ascii="Times New Roman" w:hAnsi="Times New Roman" w:eastAsia="宋体" w:cs="Times New Roman"/>
                <w:color w:val="auto"/>
                <w:spacing w:val="0"/>
                <w:sz w:val="21"/>
                <w:szCs w:val="21"/>
              </w:rPr>
              <w:t>条</w:t>
            </w:r>
          </w:p>
        </w:tc>
        <w:tc>
          <w:tcPr>
            <w:tcW w:w="413" w:type="pct"/>
            <w:noWrap w:val="0"/>
            <w:vAlign w:val="center"/>
          </w:tcPr>
          <w:p w14:paraId="109A5C0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46229E2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2D1C367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39727C9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0AEB3AE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1CF511D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0AD0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2EDD8293">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420D1DA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1.10架线式电机车的滑触线架设高度应符合《规程》规定</w:t>
            </w:r>
          </w:p>
        </w:tc>
        <w:tc>
          <w:tcPr>
            <w:tcW w:w="948" w:type="pct"/>
            <w:noWrap w:val="0"/>
            <w:vAlign w:val="center"/>
          </w:tcPr>
          <w:p w14:paraId="64E5C5F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《金属非金属矿山安全规程》第6.4.1.14条</w:t>
            </w:r>
          </w:p>
        </w:tc>
        <w:tc>
          <w:tcPr>
            <w:tcW w:w="413" w:type="pct"/>
            <w:noWrap w:val="0"/>
            <w:vAlign w:val="center"/>
          </w:tcPr>
          <w:p w14:paraId="01DD7B2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7565DED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67BE97D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w:t>
            </w:r>
          </w:p>
        </w:tc>
        <w:tc>
          <w:tcPr>
            <w:tcW w:w="536" w:type="pct"/>
            <w:noWrap w:val="0"/>
            <w:vAlign w:val="center"/>
          </w:tcPr>
          <w:p w14:paraId="76F186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31C6DCE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2DF0264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6660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34" w:type="pct"/>
            <w:vMerge w:val="restart"/>
            <w:noWrap w:val="0"/>
            <w:vAlign w:val="center"/>
          </w:tcPr>
          <w:p w14:paraId="21EFAC7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r>
              <w:rPr>
                <w:rFonts w:hint="eastAsia"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rPr>
              <w:t>无轨运输15分</w:t>
            </w:r>
          </w:p>
        </w:tc>
        <w:tc>
          <w:tcPr>
            <w:tcW w:w="1392" w:type="pct"/>
            <w:noWrap w:val="0"/>
            <w:vAlign w:val="center"/>
          </w:tcPr>
          <w:p w14:paraId="6CB3A44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2.1井下使用无轨运输设备，应符合下列规定</w:t>
            </w:r>
          </w:p>
        </w:tc>
        <w:tc>
          <w:tcPr>
            <w:tcW w:w="948" w:type="pct"/>
            <w:noWrap w:val="0"/>
            <w:vAlign w:val="center"/>
          </w:tcPr>
          <w:p w14:paraId="040767E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074539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16C56FA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370" w:type="pct"/>
            <w:noWrap w:val="0"/>
            <w:vAlign w:val="center"/>
          </w:tcPr>
          <w:p w14:paraId="51F4A8B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536" w:type="pct"/>
            <w:vMerge w:val="restart"/>
            <w:noWrap w:val="0"/>
            <w:vAlign w:val="center"/>
          </w:tcPr>
          <w:p w14:paraId="6DE57CD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D03251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1FF310E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r>
      <w:tr w14:paraId="7BA6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34" w:type="pct"/>
            <w:vMerge w:val="continue"/>
            <w:noWrap w:val="0"/>
            <w:vAlign w:val="center"/>
          </w:tcPr>
          <w:p w14:paraId="638AC83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13F6CD0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2.1.1采用电动机或者柴油发动机驱动；</w:t>
            </w:r>
          </w:p>
        </w:tc>
        <w:tc>
          <w:tcPr>
            <w:tcW w:w="948" w:type="pct"/>
            <w:vMerge w:val="restart"/>
            <w:noWrap w:val="0"/>
            <w:vAlign w:val="center"/>
          </w:tcPr>
          <w:p w14:paraId="4654BD1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《金属非金属矿山安全规程》第6.3.4.2条</w:t>
            </w:r>
          </w:p>
        </w:tc>
        <w:tc>
          <w:tcPr>
            <w:tcW w:w="413" w:type="pct"/>
            <w:noWrap w:val="0"/>
            <w:vAlign w:val="center"/>
          </w:tcPr>
          <w:p w14:paraId="6BBBF3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00D3197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7C22AB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5D3B46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1C4BC48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1219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0889D03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17F8A60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2.1.2柴油发动机尾气中：CO≤1500ppm；NO≤900ppm；</w:t>
            </w:r>
          </w:p>
        </w:tc>
        <w:tc>
          <w:tcPr>
            <w:tcW w:w="948" w:type="pct"/>
            <w:vMerge w:val="continue"/>
            <w:noWrap w:val="0"/>
            <w:vAlign w:val="center"/>
          </w:tcPr>
          <w:p w14:paraId="0B9779D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3C9CD9F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587DA5F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符合</w:t>
            </w:r>
          </w:p>
        </w:tc>
        <w:tc>
          <w:tcPr>
            <w:tcW w:w="370" w:type="pct"/>
            <w:noWrap w:val="0"/>
            <w:vAlign w:val="center"/>
          </w:tcPr>
          <w:p w14:paraId="7FCEF67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78FC601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675EDD1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7329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34" w:type="pct"/>
            <w:vMerge w:val="continue"/>
            <w:noWrap w:val="0"/>
            <w:vAlign w:val="center"/>
          </w:tcPr>
          <w:p w14:paraId="6701446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008031C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2.1.3每台设备均应配备灭火装置；</w:t>
            </w:r>
          </w:p>
        </w:tc>
        <w:tc>
          <w:tcPr>
            <w:tcW w:w="948" w:type="pct"/>
            <w:vMerge w:val="continue"/>
            <w:noWrap w:val="0"/>
            <w:vAlign w:val="center"/>
          </w:tcPr>
          <w:p w14:paraId="2ABB71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63A58E9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143ED0F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5682A16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31FB9D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2316E9F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5787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3B57F2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4D218DC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2.1.4刹车系统、灯光系统、警报系统应齐全有效；</w:t>
            </w:r>
          </w:p>
        </w:tc>
        <w:tc>
          <w:tcPr>
            <w:tcW w:w="948" w:type="pct"/>
            <w:vMerge w:val="continue"/>
            <w:noWrap w:val="0"/>
            <w:vAlign w:val="center"/>
          </w:tcPr>
          <w:p w14:paraId="0D8ED5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610D594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0FE46EF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04AED6B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1123F93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56589C1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78AF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34" w:type="pct"/>
            <w:vMerge w:val="continue"/>
            <w:noWrap w:val="0"/>
            <w:vAlign w:val="center"/>
          </w:tcPr>
          <w:p w14:paraId="41DBFA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4C37269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2.1.5操作人员上方应有防护板或者防护网；</w:t>
            </w:r>
          </w:p>
        </w:tc>
        <w:tc>
          <w:tcPr>
            <w:tcW w:w="948" w:type="pct"/>
            <w:vMerge w:val="continue"/>
            <w:noWrap w:val="0"/>
            <w:vAlign w:val="center"/>
          </w:tcPr>
          <w:p w14:paraId="74ABC0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044E474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638934D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0AAF34E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1A16F66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4BBE0F8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051C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59C87F6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15D4C9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2.1.6用于运输人员、油料的无轨设备应采用湿式制动器；</w:t>
            </w:r>
          </w:p>
        </w:tc>
        <w:tc>
          <w:tcPr>
            <w:tcW w:w="948" w:type="pct"/>
            <w:vMerge w:val="continue"/>
            <w:noWrap w:val="0"/>
            <w:vAlign w:val="center"/>
          </w:tcPr>
          <w:p w14:paraId="3CB4E6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vMerge w:val="restart"/>
            <w:noWrap w:val="0"/>
            <w:vAlign w:val="center"/>
          </w:tcPr>
          <w:p w14:paraId="02143A5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vMerge w:val="restart"/>
            <w:noWrap w:val="0"/>
            <w:vAlign w:val="center"/>
          </w:tcPr>
          <w:p w14:paraId="53D32A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vMerge w:val="restart"/>
            <w:noWrap w:val="0"/>
            <w:vAlign w:val="center"/>
          </w:tcPr>
          <w:p w14:paraId="1E26055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22A1DBC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vMerge w:val="restart"/>
            <w:noWrap w:val="0"/>
            <w:vAlign w:val="center"/>
          </w:tcPr>
          <w:p w14:paraId="7B9E8E7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6E52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434" w:type="pct"/>
            <w:vMerge w:val="continue"/>
            <w:noWrap w:val="0"/>
            <w:vAlign w:val="center"/>
          </w:tcPr>
          <w:p w14:paraId="5DA9932D">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vMerge w:val="restart"/>
            <w:noWrap w:val="0"/>
            <w:vAlign w:val="center"/>
          </w:tcPr>
          <w:p w14:paraId="6D709E5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2.1.7井下专用运人车应有行车制动系统、驻车制动系统和应急制动系统；</w:t>
            </w:r>
          </w:p>
        </w:tc>
        <w:tc>
          <w:tcPr>
            <w:tcW w:w="948" w:type="pct"/>
            <w:vMerge w:val="continue"/>
            <w:noWrap w:val="0"/>
            <w:vAlign w:val="center"/>
          </w:tcPr>
          <w:p w14:paraId="4986491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vMerge w:val="continue"/>
            <w:noWrap w:val="0"/>
            <w:vAlign w:val="center"/>
          </w:tcPr>
          <w:p w14:paraId="0D516E3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vMerge w:val="continue"/>
            <w:noWrap w:val="0"/>
            <w:vAlign w:val="center"/>
          </w:tcPr>
          <w:p w14:paraId="12075A8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370" w:type="pct"/>
            <w:vMerge w:val="continue"/>
            <w:noWrap w:val="0"/>
            <w:vAlign w:val="center"/>
          </w:tcPr>
          <w:p w14:paraId="0257B7D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536" w:type="pct"/>
            <w:vMerge w:val="continue"/>
            <w:noWrap w:val="0"/>
            <w:vAlign w:val="center"/>
          </w:tcPr>
          <w:p w14:paraId="58A9FC0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vMerge w:val="continue"/>
            <w:noWrap w:val="0"/>
            <w:vAlign w:val="center"/>
          </w:tcPr>
          <w:p w14:paraId="277E1F8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r>
      <w:tr w14:paraId="17A4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434" w:type="pct"/>
            <w:vMerge w:val="continue"/>
            <w:noWrap w:val="0"/>
            <w:vAlign w:val="center"/>
          </w:tcPr>
          <w:p w14:paraId="69589EBB">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vMerge w:val="continue"/>
            <w:noWrap w:val="0"/>
            <w:vAlign w:val="center"/>
          </w:tcPr>
          <w:p w14:paraId="4C7D79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948" w:type="pct"/>
            <w:vMerge w:val="continue"/>
            <w:noWrap w:val="0"/>
            <w:vAlign w:val="center"/>
          </w:tcPr>
          <w:p w14:paraId="2984350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3D9B51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62851B8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226C81D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51EB856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45F59D1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15FB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391D8AE9">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0E6D483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2.1.8行车制动系统和应急制动系统至少有一个为失效安全型。</w:t>
            </w:r>
          </w:p>
        </w:tc>
        <w:tc>
          <w:tcPr>
            <w:tcW w:w="948" w:type="pct"/>
            <w:vMerge w:val="continue"/>
            <w:noWrap w:val="0"/>
            <w:vAlign w:val="center"/>
          </w:tcPr>
          <w:p w14:paraId="389DA5D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779FA43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49F7F00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1322B6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vMerge w:val="continue"/>
            <w:noWrap w:val="0"/>
            <w:vAlign w:val="center"/>
          </w:tcPr>
          <w:p w14:paraId="71728D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1BC01BB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33D0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34" w:type="pct"/>
            <w:vMerge w:val="continue"/>
            <w:noWrap w:val="0"/>
            <w:vAlign w:val="center"/>
          </w:tcPr>
          <w:p w14:paraId="17B9CDC3">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091B9E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2.2无轨设备运输应遵守下列规定：</w:t>
            </w:r>
          </w:p>
        </w:tc>
        <w:tc>
          <w:tcPr>
            <w:tcW w:w="948" w:type="pct"/>
            <w:noWrap w:val="0"/>
            <w:vAlign w:val="center"/>
          </w:tcPr>
          <w:p w14:paraId="1BC28B9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7F29A87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0CB1E98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c>
          <w:tcPr>
            <w:tcW w:w="370" w:type="pct"/>
            <w:noWrap w:val="0"/>
            <w:vAlign w:val="center"/>
          </w:tcPr>
          <w:p w14:paraId="0363EAA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536" w:type="pct"/>
            <w:noWrap w:val="0"/>
            <w:vAlign w:val="center"/>
          </w:tcPr>
          <w:p w14:paraId="53D489D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7C770CA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p>
        </w:tc>
      </w:tr>
      <w:tr w14:paraId="416E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34" w:type="pct"/>
            <w:vMerge w:val="continue"/>
            <w:noWrap w:val="0"/>
            <w:vAlign w:val="center"/>
          </w:tcPr>
          <w:p w14:paraId="6B0BC5BC">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2823C8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2.2.1</w:t>
            </w:r>
            <w:r>
              <w:rPr>
                <w:rFonts w:hint="eastAsia" w:ascii="Times New Roman" w:hAnsi="Times New Roman" w:eastAsia="宋体" w:cs="Times New Roman"/>
                <w:color w:val="auto"/>
                <w:spacing w:val="0"/>
                <w:sz w:val="21"/>
                <w:szCs w:val="21"/>
              </w:rPr>
              <w:t>应采用地下矿山专用无轨设备；</w:t>
            </w:r>
          </w:p>
        </w:tc>
        <w:tc>
          <w:tcPr>
            <w:tcW w:w="948" w:type="pct"/>
            <w:vMerge w:val="restart"/>
            <w:noWrap w:val="0"/>
            <w:vAlign w:val="center"/>
          </w:tcPr>
          <w:p w14:paraId="62ECC74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《金属非金属矿山安全规程》第6.3.4.3条</w:t>
            </w:r>
          </w:p>
        </w:tc>
        <w:tc>
          <w:tcPr>
            <w:tcW w:w="413" w:type="pct"/>
            <w:vMerge w:val="restart"/>
            <w:noWrap w:val="0"/>
            <w:vAlign w:val="center"/>
          </w:tcPr>
          <w:p w14:paraId="6DF008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4FF48A5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4233C5B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0.5</w:t>
            </w:r>
          </w:p>
        </w:tc>
        <w:tc>
          <w:tcPr>
            <w:tcW w:w="536" w:type="pct"/>
            <w:vMerge w:val="restart"/>
            <w:noWrap w:val="0"/>
            <w:vAlign w:val="center"/>
          </w:tcPr>
          <w:p w14:paraId="6C9CB5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601651F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11E992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0.5</w:t>
            </w:r>
          </w:p>
        </w:tc>
      </w:tr>
      <w:tr w14:paraId="5CFD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34" w:type="pct"/>
            <w:vMerge w:val="continue"/>
            <w:noWrap w:val="0"/>
            <w:vAlign w:val="center"/>
          </w:tcPr>
          <w:p w14:paraId="14A025BF">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56FBF41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2.2.2</w:t>
            </w:r>
            <w:r>
              <w:rPr>
                <w:rFonts w:hint="eastAsia" w:ascii="Times New Roman" w:hAnsi="Times New Roman" w:eastAsia="宋体" w:cs="Times New Roman"/>
                <w:color w:val="auto"/>
                <w:spacing w:val="0"/>
                <w:sz w:val="21"/>
                <w:szCs w:val="21"/>
              </w:rPr>
              <w:t>行驶速度不超过 25km/h；</w:t>
            </w:r>
          </w:p>
        </w:tc>
        <w:tc>
          <w:tcPr>
            <w:tcW w:w="948" w:type="pct"/>
            <w:vMerge w:val="continue"/>
            <w:noWrap w:val="0"/>
            <w:vAlign w:val="center"/>
          </w:tcPr>
          <w:p w14:paraId="1C0722B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vMerge w:val="continue"/>
            <w:noWrap w:val="0"/>
            <w:vAlign w:val="center"/>
          </w:tcPr>
          <w:p w14:paraId="094C55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3AB8392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48E933A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0.5</w:t>
            </w:r>
          </w:p>
        </w:tc>
        <w:tc>
          <w:tcPr>
            <w:tcW w:w="536" w:type="pct"/>
            <w:vMerge w:val="continue"/>
            <w:noWrap w:val="0"/>
            <w:vAlign w:val="center"/>
          </w:tcPr>
          <w:p w14:paraId="756431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3C448AE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0.5</w:t>
            </w:r>
          </w:p>
        </w:tc>
      </w:tr>
      <w:tr w14:paraId="0229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434" w:type="pct"/>
            <w:vMerge w:val="continue"/>
            <w:noWrap w:val="0"/>
            <w:vAlign w:val="center"/>
          </w:tcPr>
          <w:p w14:paraId="4C9C5753">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0E579B0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2.2.3</w:t>
            </w:r>
            <w:r>
              <w:rPr>
                <w:rFonts w:hint="eastAsia" w:ascii="Times New Roman" w:hAnsi="Times New Roman" w:eastAsia="宋体" w:cs="Times New Roman"/>
                <w:color w:val="auto"/>
                <w:spacing w:val="0"/>
                <w:sz w:val="21"/>
                <w:szCs w:val="21"/>
              </w:rPr>
              <w:t>通过斜坡道运输人员时，应采用井下专用运人车，每辆车乘员数量不超过 25 人；</w:t>
            </w:r>
          </w:p>
        </w:tc>
        <w:tc>
          <w:tcPr>
            <w:tcW w:w="948" w:type="pct"/>
            <w:vMerge w:val="continue"/>
            <w:noWrap w:val="0"/>
            <w:vAlign w:val="center"/>
          </w:tcPr>
          <w:p w14:paraId="670C258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vMerge w:val="continue"/>
            <w:noWrap w:val="0"/>
            <w:vAlign w:val="center"/>
          </w:tcPr>
          <w:p w14:paraId="5324E1B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2CCC36D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4DA2522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0.5</w:t>
            </w:r>
          </w:p>
        </w:tc>
        <w:tc>
          <w:tcPr>
            <w:tcW w:w="536" w:type="pct"/>
            <w:vMerge w:val="continue"/>
            <w:noWrap w:val="0"/>
            <w:vAlign w:val="center"/>
          </w:tcPr>
          <w:p w14:paraId="4C79C83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4DD661B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1ECE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434" w:type="pct"/>
            <w:vMerge w:val="continue"/>
            <w:noWrap w:val="0"/>
            <w:vAlign w:val="center"/>
          </w:tcPr>
          <w:p w14:paraId="7A5EFBAB">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0962714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2.2.4</w:t>
            </w:r>
            <w:r>
              <w:rPr>
                <w:rFonts w:hint="eastAsia" w:ascii="Times New Roman" w:hAnsi="Times New Roman" w:eastAsia="宋体" w:cs="Times New Roman"/>
                <w:color w:val="auto"/>
                <w:spacing w:val="0"/>
                <w:sz w:val="21"/>
                <w:szCs w:val="21"/>
              </w:rPr>
              <w:t>油料运输车辆在井下的行驶速度不超过 15km/h，与其他同向运行车辆距离不小于 100m；</w:t>
            </w:r>
          </w:p>
        </w:tc>
        <w:tc>
          <w:tcPr>
            <w:tcW w:w="948" w:type="pct"/>
            <w:vMerge w:val="continue"/>
            <w:noWrap w:val="0"/>
            <w:vAlign w:val="center"/>
          </w:tcPr>
          <w:p w14:paraId="63D286E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vMerge w:val="continue"/>
            <w:noWrap w:val="0"/>
            <w:vAlign w:val="center"/>
          </w:tcPr>
          <w:p w14:paraId="2FED18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505AA18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06D16ED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0.5</w:t>
            </w:r>
          </w:p>
        </w:tc>
        <w:tc>
          <w:tcPr>
            <w:tcW w:w="536" w:type="pct"/>
            <w:vMerge w:val="continue"/>
            <w:noWrap w:val="0"/>
            <w:vAlign w:val="center"/>
          </w:tcPr>
          <w:p w14:paraId="08DFC92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02C531E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 xml:space="preserve">- </w:t>
            </w:r>
          </w:p>
        </w:tc>
      </w:tr>
      <w:tr w14:paraId="30BF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434" w:type="pct"/>
            <w:vMerge w:val="continue"/>
            <w:noWrap w:val="0"/>
            <w:vAlign w:val="center"/>
          </w:tcPr>
          <w:p w14:paraId="0AC8346D">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4080F06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2.2.5</w:t>
            </w:r>
            <w:r>
              <w:rPr>
                <w:rFonts w:hint="eastAsia" w:ascii="Times New Roman" w:hAnsi="Times New Roman" w:eastAsia="宋体" w:cs="Times New Roman"/>
                <w:color w:val="auto"/>
                <w:spacing w:val="0"/>
                <w:sz w:val="21"/>
                <w:szCs w:val="21"/>
              </w:rPr>
              <w:t>自动化作业采区应设置门禁系统；</w:t>
            </w:r>
          </w:p>
        </w:tc>
        <w:tc>
          <w:tcPr>
            <w:tcW w:w="948" w:type="pct"/>
            <w:vMerge w:val="continue"/>
            <w:noWrap w:val="0"/>
            <w:vAlign w:val="center"/>
          </w:tcPr>
          <w:p w14:paraId="485A63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vMerge w:val="continue"/>
            <w:noWrap w:val="0"/>
            <w:vAlign w:val="center"/>
          </w:tcPr>
          <w:p w14:paraId="7A57D7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5B2ED31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300C0C6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0.5</w:t>
            </w:r>
          </w:p>
        </w:tc>
        <w:tc>
          <w:tcPr>
            <w:tcW w:w="536" w:type="pct"/>
            <w:vMerge w:val="continue"/>
            <w:noWrap w:val="0"/>
            <w:vAlign w:val="center"/>
          </w:tcPr>
          <w:p w14:paraId="567E389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393E99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 xml:space="preserve">- </w:t>
            </w:r>
          </w:p>
        </w:tc>
      </w:tr>
      <w:tr w14:paraId="36EE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434" w:type="pct"/>
            <w:vMerge w:val="continue"/>
            <w:noWrap w:val="0"/>
            <w:vAlign w:val="center"/>
          </w:tcPr>
          <w:p w14:paraId="21EBB20C">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20588EA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2.2.6</w:t>
            </w:r>
            <w:r>
              <w:rPr>
                <w:rFonts w:hint="eastAsia" w:ascii="Times New Roman" w:hAnsi="Times New Roman" w:eastAsia="宋体" w:cs="Times New Roman"/>
                <w:color w:val="auto"/>
                <w:spacing w:val="0"/>
                <w:sz w:val="21"/>
                <w:szCs w:val="21"/>
              </w:rPr>
              <w:t>按照设备要求定期进行检查和维护保养。</w:t>
            </w:r>
          </w:p>
        </w:tc>
        <w:tc>
          <w:tcPr>
            <w:tcW w:w="948" w:type="pct"/>
            <w:vMerge w:val="continue"/>
            <w:noWrap w:val="0"/>
            <w:vAlign w:val="center"/>
          </w:tcPr>
          <w:p w14:paraId="36F267E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vMerge w:val="continue"/>
            <w:noWrap w:val="0"/>
            <w:vAlign w:val="center"/>
          </w:tcPr>
          <w:p w14:paraId="2BCBFC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2BEB5C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未</w:t>
            </w:r>
            <w:r>
              <w:rPr>
                <w:rFonts w:hint="eastAsia" w:ascii="Times New Roman" w:hAnsi="Times New Roman" w:eastAsia="宋体" w:cs="Times New Roman"/>
                <w:color w:val="auto"/>
                <w:spacing w:val="0"/>
                <w:sz w:val="21"/>
                <w:szCs w:val="21"/>
              </w:rPr>
              <w:t>按照设备要求定期进行检查和维护保养</w:t>
            </w:r>
          </w:p>
        </w:tc>
        <w:tc>
          <w:tcPr>
            <w:tcW w:w="370" w:type="pct"/>
            <w:noWrap w:val="0"/>
            <w:vAlign w:val="center"/>
          </w:tcPr>
          <w:p w14:paraId="778ECF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 xml:space="preserve"> 0.5</w:t>
            </w:r>
          </w:p>
        </w:tc>
        <w:tc>
          <w:tcPr>
            <w:tcW w:w="536" w:type="pct"/>
            <w:vMerge w:val="continue"/>
            <w:noWrap w:val="0"/>
            <w:vAlign w:val="center"/>
          </w:tcPr>
          <w:p w14:paraId="20FBA7B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1E6B141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0</w:t>
            </w:r>
          </w:p>
        </w:tc>
      </w:tr>
      <w:tr w14:paraId="425F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434" w:type="pct"/>
            <w:vMerge w:val="continue"/>
            <w:noWrap w:val="0"/>
            <w:vAlign w:val="center"/>
          </w:tcPr>
          <w:p w14:paraId="73FFAE25">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036B06E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2.3无轨运输系统</w:t>
            </w:r>
          </w:p>
        </w:tc>
        <w:tc>
          <w:tcPr>
            <w:tcW w:w="948" w:type="pct"/>
            <w:noWrap w:val="0"/>
            <w:vAlign w:val="center"/>
          </w:tcPr>
          <w:p w14:paraId="422488A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《金属非金属矿山安全规程》第6.3.4.4条</w:t>
            </w:r>
          </w:p>
        </w:tc>
        <w:tc>
          <w:tcPr>
            <w:tcW w:w="413" w:type="pct"/>
            <w:noWrap w:val="0"/>
            <w:vAlign w:val="center"/>
          </w:tcPr>
          <w:p w14:paraId="1135C22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3243CCF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370" w:type="pct"/>
            <w:noWrap w:val="0"/>
            <w:vAlign w:val="center"/>
          </w:tcPr>
          <w:p w14:paraId="65F6177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w:t>
            </w:r>
          </w:p>
        </w:tc>
        <w:tc>
          <w:tcPr>
            <w:tcW w:w="536" w:type="pct"/>
            <w:noWrap w:val="0"/>
            <w:vAlign w:val="center"/>
          </w:tcPr>
          <w:p w14:paraId="714E2C9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5DA8405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r>
      <w:tr w14:paraId="0378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434" w:type="pct"/>
            <w:vMerge w:val="continue"/>
            <w:noWrap w:val="0"/>
            <w:vAlign w:val="center"/>
          </w:tcPr>
          <w:p w14:paraId="57896FA2">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45CAFA7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2.3.1设备顶部至巷道顶板的距离不小于 0.6m；</w:t>
            </w:r>
          </w:p>
        </w:tc>
        <w:tc>
          <w:tcPr>
            <w:tcW w:w="948" w:type="pct"/>
            <w:noWrap w:val="0"/>
            <w:vAlign w:val="center"/>
          </w:tcPr>
          <w:p w14:paraId="2F5174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3FEB5C0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37909DC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0A92C09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en-US"/>
              </w:rPr>
            </w:pPr>
            <w:r>
              <w:rPr>
                <w:rFonts w:hint="eastAsia" w:ascii="Times New Roman" w:hAnsi="Times New Roman" w:eastAsia="宋体" w:cs="Times New Roman"/>
                <w:color w:val="auto"/>
                <w:spacing w:val="0"/>
                <w:sz w:val="21"/>
                <w:szCs w:val="21"/>
              </w:rPr>
              <w:t>0.5</w:t>
            </w:r>
          </w:p>
        </w:tc>
        <w:tc>
          <w:tcPr>
            <w:tcW w:w="536" w:type="pct"/>
            <w:noWrap w:val="0"/>
            <w:vAlign w:val="center"/>
          </w:tcPr>
          <w:p w14:paraId="67A0C3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46F57B7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1985CB3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49B1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noWrap w:val="0"/>
            <w:vAlign w:val="center"/>
          </w:tcPr>
          <w:p w14:paraId="310DE14B">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38DA72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2.3.2斜坡道每 400m 应设置一段坡度不大于 3%、长度不小于 20m 的缓坡段；</w:t>
            </w:r>
          </w:p>
        </w:tc>
        <w:tc>
          <w:tcPr>
            <w:tcW w:w="948" w:type="pct"/>
            <w:noWrap w:val="0"/>
            <w:vAlign w:val="center"/>
          </w:tcPr>
          <w:p w14:paraId="0B006E3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79740FF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774472A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70834CC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noWrap w:val="0"/>
            <w:vAlign w:val="center"/>
          </w:tcPr>
          <w:p w14:paraId="4CF2431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4A11C5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6CFB523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0ADE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7DF5FA97">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15E9CE9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2.3.3错车道应设置在缓坡段，缓坡段的坡度和长度要求同上款中的要求；</w:t>
            </w:r>
          </w:p>
        </w:tc>
        <w:tc>
          <w:tcPr>
            <w:tcW w:w="948" w:type="pct"/>
            <w:noWrap w:val="0"/>
            <w:vAlign w:val="center"/>
          </w:tcPr>
          <w:p w14:paraId="4B30B2D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53DD271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365C5FB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2E74EFB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noWrap w:val="0"/>
            <w:vAlign w:val="center"/>
          </w:tcPr>
          <w:p w14:paraId="5810634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873B6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049B7D7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0.5</w:t>
            </w:r>
          </w:p>
        </w:tc>
      </w:tr>
      <w:tr w14:paraId="499A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434" w:type="pct"/>
            <w:vMerge w:val="continue"/>
            <w:noWrap w:val="0"/>
            <w:vAlign w:val="center"/>
          </w:tcPr>
          <w:p w14:paraId="686A066A">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1A4812A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2.3.4斜坡道坡度：承载 5 人以上的运人车辆通行的，不大于 16%；承载 5 人以下的运人车辆通行的，不大于 20%；</w:t>
            </w:r>
          </w:p>
        </w:tc>
        <w:tc>
          <w:tcPr>
            <w:tcW w:w="948" w:type="pct"/>
            <w:noWrap w:val="0"/>
            <w:vAlign w:val="center"/>
          </w:tcPr>
          <w:p w14:paraId="5D416B0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04294B7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720AE2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4D31F0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noWrap w:val="0"/>
            <w:vAlign w:val="center"/>
          </w:tcPr>
          <w:p w14:paraId="064E324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5C4397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4397166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23AB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noWrap w:val="0"/>
            <w:vAlign w:val="center"/>
          </w:tcPr>
          <w:p w14:paraId="10A4D80A">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4C1107E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2.3.5斜坡道路面应平整；主要斜坡道应有良好的混凝土、沥青或级配均匀的碎石路面</w:t>
            </w:r>
          </w:p>
        </w:tc>
        <w:tc>
          <w:tcPr>
            <w:tcW w:w="948" w:type="pct"/>
            <w:noWrap w:val="0"/>
            <w:vAlign w:val="center"/>
          </w:tcPr>
          <w:p w14:paraId="13A8A82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2D85184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74A87D3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42AC6AA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noWrap w:val="0"/>
            <w:vAlign w:val="center"/>
          </w:tcPr>
          <w:p w14:paraId="303963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5E579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13CA2F5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363D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434" w:type="pct"/>
            <w:vMerge w:val="continue"/>
            <w:noWrap w:val="0"/>
            <w:vAlign w:val="center"/>
          </w:tcPr>
          <w:p w14:paraId="3D695164">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71DCEF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2.3.6溜井卸矿口应设置格筛、防坠梁、车挡等防坠设施。车挡的高度不小于运输设备车轮轮胎直径的 1/3。</w:t>
            </w:r>
          </w:p>
        </w:tc>
        <w:tc>
          <w:tcPr>
            <w:tcW w:w="948" w:type="pct"/>
            <w:noWrap w:val="0"/>
            <w:vAlign w:val="center"/>
          </w:tcPr>
          <w:p w14:paraId="499E482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72CC5AB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2987E18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lang w:val="en-US" w:eastAsia="zh-CN"/>
              </w:rPr>
              <w:t>地表矿仓卸矿口未设置车挡，未设明显的警示标志</w:t>
            </w:r>
          </w:p>
        </w:tc>
        <w:tc>
          <w:tcPr>
            <w:tcW w:w="370" w:type="pct"/>
            <w:noWrap w:val="0"/>
            <w:vAlign w:val="center"/>
          </w:tcPr>
          <w:p w14:paraId="58865B9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0.5</w:t>
            </w:r>
          </w:p>
        </w:tc>
        <w:tc>
          <w:tcPr>
            <w:tcW w:w="536" w:type="pct"/>
            <w:noWrap w:val="0"/>
            <w:vAlign w:val="center"/>
          </w:tcPr>
          <w:p w14:paraId="5BD5DC5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2CAABF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4C5DA40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cs="Times New Roman"/>
                <w:color w:val="auto"/>
                <w:spacing w:val="0"/>
                <w:sz w:val="21"/>
                <w:szCs w:val="21"/>
                <w:lang w:val="en-US" w:eastAsia="zh-CN"/>
              </w:rPr>
              <w:t>0</w:t>
            </w:r>
          </w:p>
        </w:tc>
      </w:tr>
      <w:tr w14:paraId="421A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9" w:hRule="atLeast"/>
          <w:jc w:val="center"/>
        </w:trPr>
        <w:tc>
          <w:tcPr>
            <w:tcW w:w="434" w:type="pct"/>
            <w:vMerge w:val="continue"/>
            <w:noWrap w:val="0"/>
            <w:vAlign w:val="center"/>
          </w:tcPr>
          <w:p w14:paraId="7BDB8809">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0C195F3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2.4无轨设备运行应遵守下列规定：</w:t>
            </w:r>
          </w:p>
          <w:p w14:paraId="4C6EDB0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—不超载；</w:t>
            </w:r>
            <w:r>
              <w:rPr>
                <w:rFonts w:hint="eastAsia" w:ascii="Times New Roman" w:hAnsi="Times New Roman" w:eastAsia="宋体" w:cs="Times New Roman"/>
                <w:color w:val="auto"/>
                <w:spacing w:val="0"/>
                <w:sz w:val="21"/>
                <w:szCs w:val="21"/>
              </w:rPr>
              <w:tab/>
            </w:r>
          </w:p>
          <w:p w14:paraId="230BCAB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—不熄火下滑；</w:t>
            </w:r>
          </w:p>
          <w:p w14:paraId="5397216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—避让行人；</w:t>
            </w:r>
          </w:p>
          <w:p w14:paraId="1E12C7B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—不站在铲斗内作业；</w:t>
            </w:r>
          </w:p>
          <w:p w14:paraId="113A6B1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—不在设备的工作臂、升举的铲斗下方停留；</w:t>
            </w:r>
          </w:p>
          <w:p w14:paraId="5CAF7CA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—不从设备的工作臂、升举的铲斗下方通过；</w:t>
            </w:r>
          </w:p>
          <w:p w14:paraId="367BE4B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—车辆间距不小于 50m；</w:t>
            </w:r>
          </w:p>
          <w:p w14:paraId="6759382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—在斜坡道上停车时采取可靠的挡车措施；</w:t>
            </w:r>
          </w:p>
          <w:p w14:paraId="6638E1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—司机离开前停车制动并熄灭柴油发动机、切断电动设备电源；</w:t>
            </w:r>
          </w:p>
          <w:p w14:paraId="315E6C1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—维修前柴油设备熄火，切断电动设备电源。</w:t>
            </w:r>
          </w:p>
        </w:tc>
        <w:tc>
          <w:tcPr>
            <w:tcW w:w="948" w:type="pct"/>
            <w:noWrap w:val="0"/>
            <w:vAlign w:val="center"/>
          </w:tcPr>
          <w:p w14:paraId="465AE1E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《金属非金属矿山安全规程》第6.3.4.5条</w:t>
            </w:r>
          </w:p>
        </w:tc>
        <w:tc>
          <w:tcPr>
            <w:tcW w:w="413" w:type="pct"/>
            <w:noWrap w:val="0"/>
            <w:vAlign w:val="center"/>
          </w:tcPr>
          <w:p w14:paraId="48AE0F3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5DB4899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符合</w:t>
            </w:r>
          </w:p>
        </w:tc>
        <w:tc>
          <w:tcPr>
            <w:tcW w:w="370" w:type="pct"/>
            <w:noWrap w:val="0"/>
            <w:vAlign w:val="center"/>
          </w:tcPr>
          <w:p w14:paraId="026D34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w:t>
            </w:r>
          </w:p>
        </w:tc>
        <w:tc>
          <w:tcPr>
            <w:tcW w:w="536" w:type="pct"/>
            <w:noWrap w:val="0"/>
            <w:vAlign w:val="center"/>
          </w:tcPr>
          <w:p w14:paraId="73E26F6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5387E95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235DAB2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5</w:t>
            </w:r>
          </w:p>
        </w:tc>
      </w:tr>
      <w:tr w14:paraId="2547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restart"/>
            <w:noWrap w:val="0"/>
            <w:vAlign w:val="center"/>
          </w:tcPr>
          <w:p w14:paraId="566DDDB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w:t>
            </w:r>
            <w:r>
              <w:rPr>
                <w:rFonts w:hint="eastAsia"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rPr>
              <w:t>斜井</w:t>
            </w:r>
          </w:p>
          <w:p w14:paraId="336C232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提升</w:t>
            </w:r>
          </w:p>
          <w:p w14:paraId="4B842CF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运输</w:t>
            </w:r>
          </w:p>
          <w:p w14:paraId="324618D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15分</w:t>
            </w:r>
          </w:p>
        </w:tc>
        <w:tc>
          <w:tcPr>
            <w:tcW w:w="1392" w:type="pct"/>
            <w:noWrap w:val="0"/>
            <w:vAlign w:val="center"/>
          </w:tcPr>
          <w:p w14:paraId="084A8D9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3.1斜井提升应遵守下列规定</w:t>
            </w:r>
          </w:p>
        </w:tc>
        <w:tc>
          <w:tcPr>
            <w:tcW w:w="948" w:type="pct"/>
            <w:noWrap w:val="0"/>
            <w:vAlign w:val="center"/>
          </w:tcPr>
          <w:p w14:paraId="6BF265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《金属非金属矿山安全规程》第6.4.2.1条</w:t>
            </w:r>
          </w:p>
        </w:tc>
        <w:tc>
          <w:tcPr>
            <w:tcW w:w="413" w:type="pct"/>
            <w:noWrap w:val="0"/>
            <w:vAlign w:val="center"/>
          </w:tcPr>
          <w:p w14:paraId="0CA7219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noWrap w:val="0"/>
            <w:vAlign w:val="center"/>
          </w:tcPr>
          <w:p w14:paraId="4390327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370" w:type="pct"/>
            <w:noWrap w:val="0"/>
            <w:vAlign w:val="center"/>
          </w:tcPr>
          <w:p w14:paraId="2263DFE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6</w:t>
            </w:r>
          </w:p>
        </w:tc>
        <w:tc>
          <w:tcPr>
            <w:tcW w:w="536" w:type="pct"/>
            <w:noWrap w:val="0"/>
            <w:vAlign w:val="center"/>
          </w:tcPr>
          <w:p w14:paraId="6EC403B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en-US"/>
              </w:rPr>
            </w:pPr>
          </w:p>
        </w:tc>
        <w:tc>
          <w:tcPr>
            <w:tcW w:w="428" w:type="pct"/>
            <w:noWrap w:val="0"/>
            <w:vAlign w:val="center"/>
          </w:tcPr>
          <w:p w14:paraId="0849F54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w:t>
            </w:r>
          </w:p>
        </w:tc>
      </w:tr>
      <w:tr w14:paraId="550E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434" w:type="pct"/>
            <w:vMerge w:val="continue"/>
            <w:noWrap w:val="0"/>
            <w:vAlign w:val="center"/>
          </w:tcPr>
          <w:p w14:paraId="3248F9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6A6E7D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3.1.1严禁人员在提升轨道上行走</w:t>
            </w:r>
          </w:p>
        </w:tc>
        <w:tc>
          <w:tcPr>
            <w:tcW w:w="948" w:type="pct"/>
            <w:noWrap w:val="0"/>
            <w:vAlign w:val="center"/>
          </w:tcPr>
          <w:p w14:paraId="6CE627E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1D6AC33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499ECB4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w:t>
            </w:r>
          </w:p>
          <w:p w14:paraId="59367E2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此项</w:t>
            </w:r>
          </w:p>
        </w:tc>
        <w:tc>
          <w:tcPr>
            <w:tcW w:w="370" w:type="pct"/>
            <w:noWrap w:val="0"/>
            <w:vAlign w:val="center"/>
          </w:tcPr>
          <w:p w14:paraId="53FCFC0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795129B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2D7FF4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6C69A5B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2CEA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434" w:type="pct"/>
            <w:vMerge w:val="continue"/>
            <w:noWrap w:val="0"/>
            <w:vAlign w:val="center"/>
          </w:tcPr>
          <w:p w14:paraId="5BB0FB7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73B7543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3.1.2多水平提升时，各水平发出的信号应有区别；</w:t>
            </w:r>
          </w:p>
        </w:tc>
        <w:tc>
          <w:tcPr>
            <w:tcW w:w="948" w:type="pct"/>
            <w:noWrap w:val="0"/>
            <w:vAlign w:val="center"/>
          </w:tcPr>
          <w:p w14:paraId="60F725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2BA6439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0ABB20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w:t>
            </w:r>
          </w:p>
          <w:p w14:paraId="011421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此项</w:t>
            </w:r>
          </w:p>
        </w:tc>
        <w:tc>
          <w:tcPr>
            <w:tcW w:w="370" w:type="pct"/>
            <w:noWrap w:val="0"/>
            <w:vAlign w:val="center"/>
          </w:tcPr>
          <w:p w14:paraId="0DD50B9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7BDE94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A86DC7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229E6F7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7D93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434" w:type="pct"/>
            <w:vMerge w:val="continue"/>
            <w:noWrap w:val="0"/>
            <w:vAlign w:val="center"/>
          </w:tcPr>
          <w:p w14:paraId="57F3187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4A36EDC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3.1.3收发信号的地点应悬挂明显的信号编码牌。</w:t>
            </w:r>
          </w:p>
        </w:tc>
        <w:tc>
          <w:tcPr>
            <w:tcW w:w="948" w:type="pct"/>
            <w:noWrap w:val="0"/>
            <w:vAlign w:val="center"/>
          </w:tcPr>
          <w:p w14:paraId="5147A83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同上</w:t>
            </w:r>
          </w:p>
        </w:tc>
        <w:tc>
          <w:tcPr>
            <w:tcW w:w="413" w:type="pct"/>
            <w:noWrap w:val="0"/>
            <w:vAlign w:val="center"/>
          </w:tcPr>
          <w:p w14:paraId="4C89CD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1B83C2D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w:t>
            </w:r>
          </w:p>
          <w:p w14:paraId="39DF8D8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此项</w:t>
            </w:r>
          </w:p>
        </w:tc>
        <w:tc>
          <w:tcPr>
            <w:tcW w:w="370" w:type="pct"/>
            <w:noWrap w:val="0"/>
            <w:vAlign w:val="center"/>
          </w:tcPr>
          <w:p w14:paraId="31586C4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397D7D8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0234C4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041B7C1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373E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73D0EEA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2C3142E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3.2 倾角大于 10°的斜井，应有轨道防滑措施。</w:t>
            </w:r>
          </w:p>
        </w:tc>
        <w:tc>
          <w:tcPr>
            <w:tcW w:w="948" w:type="pct"/>
            <w:noWrap w:val="0"/>
            <w:vAlign w:val="center"/>
          </w:tcPr>
          <w:p w14:paraId="1695971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《金属非金属矿山安全规程》第6.4.2.6条</w:t>
            </w:r>
          </w:p>
        </w:tc>
        <w:tc>
          <w:tcPr>
            <w:tcW w:w="413" w:type="pct"/>
            <w:noWrap w:val="0"/>
            <w:vAlign w:val="center"/>
          </w:tcPr>
          <w:p w14:paraId="54AD9FA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109E686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w:t>
            </w:r>
          </w:p>
          <w:p w14:paraId="7DCC08E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此项</w:t>
            </w:r>
          </w:p>
        </w:tc>
        <w:tc>
          <w:tcPr>
            <w:tcW w:w="370" w:type="pct"/>
            <w:noWrap w:val="0"/>
            <w:vAlign w:val="center"/>
          </w:tcPr>
          <w:p w14:paraId="57E4DA5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175AE32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5BC5E2A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3DBDD60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74C3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434" w:type="pct"/>
            <w:vMerge w:val="continue"/>
            <w:noWrap w:val="0"/>
            <w:vAlign w:val="center"/>
          </w:tcPr>
          <w:p w14:paraId="64F497E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62F2227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3.3斜井串车提升系统应设常闭式防跑车装置</w:t>
            </w:r>
          </w:p>
        </w:tc>
        <w:tc>
          <w:tcPr>
            <w:tcW w:w="948" w:type="pct"/>
            <w:noWrap w:val="0"/>
            <w:vAlign w:val="center"/>
          </w:tcPr>
          <w:p w14:paraId="50B86AC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《金属非金属矿山安全规程》第6.4.2.7条</w:t>
            </w:r>
          </w:p>
        </w:tc>
        <w:tc>
          <w:tcPr>
            <w:tcW w:w="413" w:type="pct"/>
            <w:noWrap w:val="0"/>
            <w:vAlign w:val="center"/>
          </w:tcPr>
          <w:p w14:paraId="425F352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58A29A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w:t>
            </w:r>
          </w:p>
          <w:p w14:paraId="72258A3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此项</w:t>
            </w:r>
          </w:p>
        </w:tc>
        <w:tc>
          <w:tcPr>
            <w:tcW w:w="370" w:type="pct"/>
            <w:noWrap w:val="0"/>
            <w:vAlign w:val="center"/>
          </w:tcPr>
          <w:p w14:paraId="77435F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164FFA2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0AE5EA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4D23B05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3A22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34" w:type="pct"/>
            <w:vMerge w:val="continue"/>
            <w:noWrap w:val="0"/>
            <w:vAlign w:val="center"/>
          </w:tcPr>
          <w:p w14:paraId="27D3DAD7">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4722814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3.4斜井各水平车场应设阻车器或挡车栏；下部车场还应设躲避硐室</w:t>
            </w:r>
          </w:p>
        </w:tc>
        <w:tc>
          <w:tcPr>
            <w:tcW w:w="948" w:type="pct"/>
            <w:noWrap w:val="0"/>
            <w:vAlign w:val="center"/>
          </w:tcPr>
          <w:p w14:paraId="0A6DE41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《金属非金属矿山安全规程》第6.4.2.8条</w:t>
            </w:r>
          </w:p>
        </w:tc>
        <w:tc>
          <w:tcPr>
            <w:tcW w:w="413" w:type="pct"/>
            <w:noWrap w:val="0"/>
            <w:vAlign w:val="center"/>
          </w:tcPr>
          <w:p w14:paraId="02CB89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28FEAA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w:t>
            </w:r>
          </w:p>
          <w:p w14:paraId="3CDE458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此项</w:t>
            </w:r>
          </w:p>
        </w:tc>
        <w:tc>
          <w:tcPr>
            <w:tcW w:w="370" w:type="pct"/>
            <w:noWrap w:val="0"/>
            <w:vAlign w:val="center"/>
          </w:tcPr>
          <w:p w14:paraId="40AA723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w:t>
            </w:r>
          </w:p>
        </w:tc>
        <w:tc>
          <w:tcPr>
            <w:tcW w:w="536" w:type="pct"/>
            <w:noWrap w:val="0"/>
            <w:vAlign w:val="center"/>
          </w:tcPr>
          <w:p w14:paraId="3D36701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75A1ACE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0074534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1743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434" w:type="pct"/>
            <w:vMerge w:val="continue"/>
            <w:noWrap w:val="0"/>
            <w:vAlign w:val="center"/>
          </w:tcPr>
          <w:p w14:paraId="6AA59FAA">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noWrap w:val="0"/>
            <w:vAlign w:val="center"/>
          </w:tcPr>
          <w:p w14:paraId="45C358B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3.5斜井串车提升时，矿车的连接装置应符合 6.4.1.4 的规定，连接钩、环和连接杆的安全系数不小于 6。</w:t>
            </w:r>
          </w:p>
        </w:tc>
        <w:tc>
          <w:tcPr>
            <w:tcW w:w="948" w:type="pct"/>
            <w:noWrap w:val="0"/>
            <w:vAlign w:val="center"/>
          </w:tcPr>
          <w:p w14:paraId="1C4737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《金属非金属矿山安全规程》第6.4.2.9条</w:t>
            </w:r>
          </w:p>
        </w:tc>
        <w:tc>
          <w:tcPr>
            <w:tcW w:w="413" w:type="pct"/>
            <w:noWrap w:val="0"/>
            <w:vAlign w:val="center"/>
          </w:tcPr>
          <w:p w14:paraId="2CF95B9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154BB3E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w:t>
            </w:r>
          </w:p>
          <w:p w14:paraId="13AF1BC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此项</w:t>
            </w:r>
          </w:p>
        </w:tc>
        <w:tc>
          <w:tcPr>
            <w:tcW w:w="370" w:type="pct"/>
            <w:noWrap w:val="0"/>
            <w:vAlign w:val="center"/>
          </w:tcPr>
          <w:p w14:paraId="5C344C9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noWrap w:val="0"/>
            <w:vAlign w:val="center"/>
          </w:tcPr>
          <w:p w14:paraId="39B1A62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6816424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78564B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71CC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4" w:type="pct"/>
            <w:vMerge w:val="restart"/>
            <w:noWrap w:val="0"/>
            <w:vAlign w:val="center"/>
          </w:tcPr>
          <w:p w14:paraId="4333187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w:t>
            </w:r>
            <w:r>
              <w:rPr>
                <w:rFonts w:hint="eastAsia"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rPr>
              <w:t>竖井</w:t>
            </w:r>
          </w:p>
          <w:p w14:paraId="6CDCA63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提升</w:t>
            </w:r>
          </w:p>
          <w:p w14:paraId="265CBA5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24分</w:t>
            </w:r>
          </w:p>
        </w:tc>
        <w:tc>
          <w:tcPr>
            <w:tcW w:w="1392" w:type="pct"/>
            <w:noWrap w:val="0"/>
            <w:vAlign w:val="center"/>
          </w:tcPr>
          <w:p w14:paraId="508EE01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4.1竖井提升罐笼应符合下列要求：</w:t>
            </w:r>
          </w:p>
        </w:tc>
        <w:tc>
          <w:tcPr>
            <w:tcW w:w="948" w:type="pct"/>
            <w:vMerge w:val="restart"/>
            <w:noWrap w:val="0"/>
            <w:vAlign w:val="center"/>
          </w:tcPr>
          <w:p w14:paraId="427D42B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《金属非金属矿山安全规程》第6.4.5.3条</w:t>
            </w:r>
          </w:p>
        </w:tc>
        <w:tc>
          <w:tcPr>
            <w:tcW w:w="413" w:type="pct"/>
            <w:noWrap w:val="0"/>
            <w:vAlign w:val="center"/>
          </w:tcPr>
          <w:p w14:paraId="01A1979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3CA1331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370" w:type="pct"/>
            <w:noWrap w:val="0"/>
            <w:vAlign w:val="center"/>
          </w:tcPr>
          <w:p w14:paraId="1E1112E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w:t>
            </w:r>
          </w:p>
        </w:tc>
        <w:tc>
          <w:tcPr>
            <w:tcW w:w="536" w:type="pct"/>
            <w:vMerge w:val="restart"/>
            <w:noWrap w:val="0"/>
            <w:vAlign w:val="center"/>
          </w:tcPr>
          <w:p w14:paraId="4260AD7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7ABDCE3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noWrap w:val="0"/>
            <w:vAlign w:val="center"/>
          </w:tcPr>
          <w:p w14:paraId="1A6D9B5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r>
      <w:tr w14:paraId="5CE7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714C3B4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69ED8C5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4.1.1罐笼顶部应设置可以拆卸的检修用安全棚和栏杆；</w:t>
            </w:r>
          </w:p>
        </w:tc>
        <w:tc>
          <w:tcPr>
            <w:tcW w:w="948" w:type="pct"/>
            <w:vMerge w:val="continue"/>
            <w:noWrap w:val="0"/>
            <w:vAlign w:val="center"/>
          </w:tcPr>
          <w:p w14:paraId="0E5367C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17413A3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7E3C904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12ED748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vMerge w:val="continue"/>
            <w:noWrap w:val="0"/>
            <w:vAlign w:val="center"/>
          </w:tcPr>
          <w:p w14:paraId="6D8D79C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2843371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4104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434" w:type="pct"/>
            <w:vMerge w:val="continue"/>
            <w:noWrap w:val="0"/>
            <w:vAlign w:val="center"/>
          </w:tcPr>
          <w:p w14:paraId="4A3EF25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noWrap w:val="0"/>
            <w:vAlign w:val="center"/>
          </w:tcPr>
          <w:p w14:paraId="37C8766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4.1.2——罐笼顶部应设坚固的罐顶门或逃生通道，各层之间应设坚固的人孔门；</w:t>
            </w:r>
          </w:p>
          <w:p w14:paraId="7196EBB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——罐顶下部应设防止淋水的安全棚；；</w:t>
            </w:r>
          </w:p>
        </w:tc>
        <w:tc>
          <w:tcPr>
            <w:tcW w:w="948" w:type="pct"/>
            <w:vMerge w:val="continue"/>
            <w:noWrap w:val="0"/>
            <w:vAlign w:val="center"/>
          </w:tcPr>
          <w:p w14:paraId="53066EB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noWrap w:val="0"/>
            <w:vAlign w:val="center"/>
          </w:tcPr>
          <w:p w14:paraId="04457B5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noWrap w:val="0"/>
            <w:vAlign w:val="center"/>
          </w:tcPr>
          <w:p w14:paraId="638DD73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noWrap w:val="0"/>
            <w:vAlign w:val="center"/>
          </w:tcPr>
          <w:p w14:paraId="7C39CD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vMerge w:val="continue"/>
            <w:noWrap w:val="0"/>
            <w:vAlign w:val="center"/>
          </w:tcPr>
          <w:p w14:paraId="0123AC5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noWrap w:val="0"/>
            <w:vAlign w:val="center"/>
          </w:tcPr>
          <w:p w14:paraId="71B5FCF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1E01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noWrap w:val="0"/>
            <w:vAlign w:val="center"/>
          </w:tcPr>
          <w:p w14:paraId="2A61916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bottom w:val="single" w:color="auto" w:sz="4" w:space="0"/>
            </w:tcBorders>
            <w:noWrap w:val="0"/>
            <w:vAlign w:val="center"/>
          </w:tcPr>
          <w:p w14:paraId="6BBCEC8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4.1.3——罐笼各层均应设置安全扶手；</w:t>
            </w:r>
          </w:p>
          <w:p w14:paraId="6B8D11D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——罐笼内各层均应设逃生爬梯；</w:t>
            </w:r>
          </w:p>
        </w:tc>
        <w:tc>
          <w:tcPr>
            <w:tcW w:w="948" w:type="pct"/>
            <w:vMerge w:val="continue"/>
            <w:noWrap w:val="0"/>
            <w:vAlign w:val="center"/>
          </w:tcPr>
          <w:p w14:paraId="641EC28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tcBorders>
              <w:top w:val="single" w:color="auto" w:sz="4" w:space="0"/>
              <w:bottom w:val="single" w:color="auto" w:sz="4" w:space="0"/>
              <w:right w:val="single" w:color="auto" w:sz="4" w:space="0"/>
            </w:tcBorders>
            <w:noWrap w:val="0"/>
            <w:vAlign w:val="center"/>
          </w:tcPr>
          <w:p w14:paraId="7FB9411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199B2FD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tcBorders>
            <w:noWrap w:val="0"/>
            <w:vAlign w:val="center"/>
          </w:tcPr>
          <w:p w14:paraId="02C0F4A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vMerge w:val="continue"/>
            <w:noWrap w:val="0"/>
            <w:vAlign w:val="center"/>
          </w:tcPr>
          <w:p w14:paraId="5234DE9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tcBorders>
              <w:top w:val="single" w:color="auto" w:sz="4" w:space="0"/>
              <w:bottom w:val="single" w:color="auto" w:sz="4" w:space="0"/>
              <w:right w:val="single" w:color="auto" w:sz="4" w:space="0"/>
            </w:tcBorders>
            <w:noWrap w:val="0"/>
            <w:vAlign w:val="center"/>
          </w:tcPr>
          <w:p w14:paraId="0C7A7DF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0211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434" w:type="pct"/>
            <w:vMerge w:val="continue"/>
            <w:noWrap w:val="0"/>
            <w:vAlign w:val="center"/>
          </w:tcPr>
          <w:p w14:paraId="2541D0F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bottom w:val="single" w:color="auto" w:sz="4" w:space="0"/>
            </w:tcBorders>
            <w:noWrap w:val="0"/>
            <w:vAlign w:val="center"/>
          </w:tcPr>
          <w:p w14:paraId="5C5A0BC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4.1.4——罐门应设在罐笼端部，且不应向外打开；罐门应自锁；</w:t>
            </w:r>
          </w:p>
          <w:p w14:paraId="13067B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——罐笼内的轨道应设护轨和阻车器。</w:t>
            </w:r>
          </w:p>
        </w:tc>
        <w:tc>
          <w:tcPr>
            <w:tcW w:w="948" w:type="pct"/>
            <w:vMerge w:val="continue"/>
            <w:tcBorders>
              <w:bottom w:val="single" w:color="auto" w:sz="4" w:space="0"/>
            </w:tcBorders>
            <w:noWrap w:val="0"/>
            <w:vAlign w:val="center"/>
          </w:tcPr>
          <w:p w14:paraId="6B8A3A6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tcBorders>
              <w:top w:val="single" w:color="auto" w:sz="4" w:space="0"/>
              <w:bottom w:val="single" w:color="auto" w:sz="4" w:space="0"/>
              <w:right w:val="single" w:color="auto" w:sz="4" w:space="0"/>
            </w:tcBorders>
            <w:noWrap w:val="0"/>
            <w:vAlign w:val="center"/>
          </w:tcPr>
          <w:p w14:paraId="3D5078A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3EF566B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tcBorders>
            <w:noWrap w:val="0"/>
            <w:vAlign w:val="center"/>
          </w:tcPr>
          <w:p w14:paraId="50ED598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vMerge w:val="continue"/>
            <w:tcBorders>
              <w:bottom w:val="single" w:color="auto" w:sz="4" w:space="0"/>
            </w:tcBorders>
            <w:noWrap w:val="0"/>
            <w:vAlign w:val="center"/>
          </w:tcPr>
          <w:p w14:paraId="0221C61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tcBorders>
              <w:top w:val="single" w:color="auto" w:sz="4" w:space="0"/>
              <w:bottom w:val="single" w:color="auto" w:sz="4" w:space="0"/>
              <w:right w:val="single" w:color="auto" w:sz="4" w:space="0"/>
            </w:tcBorders>
            <w:noWrap w:val="0"/>
            <w:vAlign w:val="center"/>
          </w:tcPr>
          <w:p w14:paraId="03C3AE6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2E7D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noWrap w:val="0"/>
            <w:vAlign w:val="center"/>
          </w:tcPr>
          <w:p w14:paraId="30012B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33AA759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4.2同一层罐笼不应同时升降人员和物料。升降爆炸材料时，应有专人监护。</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5F64CE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《金属非金属矿山安全规程》第6.4.4.19条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2F347BE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3D91AD1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0C15BA0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347476D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6C8C95E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4827435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5F22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00BF72E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3ED970D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4.3提升容器、平衡锤、罐道(稳绳)、提升钢丝绳等须符合《规程》要求。</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044239E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《金属非金属矿山安全规程》第6.4.4条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1C4E37D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48EE756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02280A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437B6E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3033EB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2DC4551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73FE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noWrap w:val="0"/>
            <w:vAlign w:val="center"/>
          </w:tcPr>
          <w:p w14:paraId="5A4748E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61EFB83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4.4提升容器的导向槽与罐道之间的间隙及磨损、提升钢丝绳磨损应符合《规程》规定。</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04F8266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《金属非金属矿山安全规程》第6.4.4条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032D990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4D7C6B1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193FDE2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27B1CEB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2CA92AE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34698B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2476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noWrap w:val="0"/>
            <w:vAlign w:val="center"/>
          </w:tcPr>
          <w:p w14:paraId="4A7ECC5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0A86F77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4.5竖井内提升容器之间、提升容器与井壁或罐道梁之间的最小间隙应符《规程》规定。</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211DB29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《金属非金属矿山安全规程》第6.2.3.1条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3BE5F03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2EB702E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2DE3446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0327E5E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95DDA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6E9BD28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0CBB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112E2817">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290BF15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4.6提升系统检修时，应采用《规程》中的防护措施。</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5D9DDA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《金属非金属矿山安全规程》第6.4.4条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5F2FC11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4F5A80B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416B12B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585B8BC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20455D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23AC36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5D3F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10925DD3">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310B1F1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6.7防过卷装置必须符合规定要求，并有极限限位开关。</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707B6E8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《金属非金属矿山安全规程》第6.4.8.11条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31CD7DC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44BCF05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42A1DE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0FF6F7C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66DB7C1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22082AA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2728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4059EBE1">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6EAD6AD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4.8井口和井下各中段马头门车场，均须设信号装置。</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6B647FC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《金属非金属矿山安全规程》第6.4.4.28条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7902E4E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07B6C2A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3BAD905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7EB408E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330D466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2AE6B82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5EAE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noWrap w:val="0"/>
            <w:vAlign w:val="center"/>
          </w:tcPr>
          <w:p w14:paraId="0D08555A">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704836A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4.9提升机有能独立操纵的工作制动和安全制动的两套制动系统。</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036DF67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《金属非金属矿山安全规程》第6.4.8.14条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46C353A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419F09B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2163BA9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67A505F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4BAD720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2C5A469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5D3F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34" w:type="pct"/>
            <w:vMerge w:val="continue"/>
            <w:tcBorders>
              <w:bottom w:val="single" w:color="auto" w:sz="4" w:space="0"/>
            </w:tcBorders>
            <w:noWrap w:val="0"/>
            <w:vAlign w:val="center"/>
          </w:tcPr>
          <w:p w14:paraId="35035984">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tcBorders>
              <w:top w:val="single" w:color="auto" w:sz="4" w:space="0"/>
              <w:bottom w:val="single" w:color="auto" w:sz="4" w:space="0"/>
              <w:right w:val="single" w:color="auto" w:sz="4" w:space="0"/>
            </w:tcBorders>
            <w:noWrap w:val="0"/>
            <w:vAlign w:val="center"/>
          </w:tcPr>
          <w:p w14:paraId="439C19A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4.10竖井提升速度，应符合《规程》规定。</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34F939C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《金属非金属矿山安全规程》第6.4.4.14条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754A31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197D37A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31D8B2A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4BEEAE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EB5940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3553CB6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33FE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restart"/>
            <w:tcBorders>
              <w:top w:val="single" w:color="auto" w:sz="4" w:space="0"/>
              <w:left w:val="single" w:color="auto" w:sz="4" w:space="0"/>
              <w:right w:val="single" w:color="auto" w:sz="4" w:space="0"/>
            </w:tcBorders>
            <w:noWrap w:val="0"/>
            <w:vAlign w:val="center"/>
          </w:tcPr>
          <w:p w14:paraId="6E6DE6A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w:t>
            </w:r>
            <w:r>
              <w:rPr>
                <w:rFonts w:hint="eastAsia"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rPr>
              <w:t>钢丝绳、连接装置和提升装置16分</w:t>
            </w:r>
          </w:p>
        </w:tc>
        <w:tc>
          <w:tcPr>
            <w:tcW w:w="1392" w:type="pct"/>
            <w:tcBorders>
              <w:top w:val="single" w:color="auto" w:sz="4" w:space="0"/>
              <w:left w:val="single" w:color="auto" w:sz="4" w:space="0"/>
              <w:bottom w:val="single" w:color="auto" w:sz="4" w:space="0"/>
              <w:right w:val="single" w:color="auto" w:sz="4" w:space="0"/>
            </w:tcBorders>
            <w:noWrap w:val="0"/>
            <w:vAlign w:val="center"/>
          </w:tcPr>
          <w:p w14:paraId="06F2232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5.1提升钢丝绳要定期进行检测，悬挂时的安全系数必须符合安全要求。</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2EAC8C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《金属非金属矿山安全规程》第6.4.7.1条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55BFC5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0668D5B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4A46620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70BCD99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0240EBE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0AF8B23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3097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34" w:type="pct"/>
            <w:vMerge w:val="continue"/>
            <w:tcBorders>
              <w:left w:val="single" w:color="auto" w:sz="4" w:space="0"/>
              <w:right w:val="single" w:color="auto" w:sz="4" w:space="0"/>
            </w:tcBorders>
            <w:noWrap w:val="0"/>
            <w:vAlign w:val="center"/>
          </w:tcPr>
          <w:p w14:paraId="6317372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left w:val="single" w:color="auto" w:sz="4" w:space="0"/>
              <w:bottom w:val="single" w:color="auto" w:sz="4" w:space="0"/>
              <w:right w:val="single" w:color="auto" w:sz="4" w:space="0"/>
            </w:tcBorders>
            <w:noWrap w:val="0"/>
            <w:vAlign w:val="center"/>
          </w:tcPr>
          <w:p w14:paraId="3353C2C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5.2提升钢丝绳、连接装置按规定时间进行定期试验，不符合要求必须进行更换。</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674AF2C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《金属非金属矿山安全规程》第6.4.7条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5AD26C3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1247B1E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4DC63C6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6C6231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7A8D8B4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1CD575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775D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434" w:type="pct"/>
            <w:vMerge w:val="continue"/>
            <w:tcBorders>
              <w:left w:val="single" w:color="auto" w:sz="4" w:space="0"/>
              <w:right w:val="single" w:color="auto" w:sz="4" w:space="0"/>
            </w:tcBorders>
            <w:noWrap w:val="0"/>
            <w:vAlign w:val="center"/>
          </w:tcPr>
          <w:p w14:paraId="6991629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left w:val="single" w:color="auto" w:sz="4" w:space="0"/>
              <w:bottom w:val="single" w:color="auto" w:sz="4" w:space="0"/>
              <w:right w:val="single" w:color="auto" w:sz="4" w:space="0"/>
            </w:tcBorders>
            <w:noWrap w:val="0"/>
            <w:vAlign w:val="center"/>
          </w:tcPr>
          <w:p w14:paraId="2374084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4.3提升装置的天轮、滚筒、摩擦轮、导向轮和导向滚等的最小直径，同钢丝绳的直径比，除移动式的或辅助性的绞车外，必须符合《规程》要求。</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6000E3A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《金属非金属矿山安全规程》第6.4.8.1条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606124D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0C53369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6953CE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2</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7D8914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23259C1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5E6F18C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66A4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tcBorders>
              <w:left w:val="single" w:color="auto" w:sz="4" w:space="0"/>
              <w:right w:val="single" w:color="auto" w:sz="4" w:space="0"/>
            </w:tcBorders>
            <w:noWrap w:val="0"/>
            <w:vAlign w:val="center"/>
          </w:tcPr>
          <w:p w14:paraId="67D1765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left w:val="single" w:color="auto" w:sz="4" w:space="0"/>
              <w:bottom w:val="single" w:color="auto" w:sz="4" w:space="0"/>
              <w:right w:val="single" w:color="auto" w:sz="4" w:space="0"/>
            </w:tcBorders>
            <w:noWrap w:val="0"/>
            <w:vAlign w:val="center"/>
          </w:tcPr>
          <w:p w14:paraId="3E668FE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4.4防坠器、断绳保险器按规定的时间间隔进行实验。</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27F98BE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《金属非金属矿山安全规程》第6.4.4.29条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5CD6B4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3678C3B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39266E7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4</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6DBAB90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145FEA2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73E1840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5B24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434" w:type="pct"/>
            <w:vMerge w:val="continue"/>
            <w:tcBorders>
              <w:left w:val="single" w:color="auto" w:sz="4" w:space="0"/>
              <w:right w:val="single" w:color="auto" w:sz="4" w:space="0"/>
            </w:tcBorders>
            <w:noWrap w:val="0"/>
            <w:vAlign w:val="center"/>
          </w:tcPr>
          <w:p w14:paraId="5994CC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left w:val="single" w:color="auto" w:sz="4" w:space="0"/>
              <w:bottom w:val="single" w:color="auto" w:sz="4" w:space="0"/>
              <w:right w:val="single" w:color="auto" w:sz="4" w:space="0"/>
            </w:tcBorders>
            <w:noWrap w:val="0"/>
            <w:vAlign w:val="center"/>
          </w:tcPr>
          <w:p w14:paraId="2297538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5.5提升设备必须有能独立操纵的工作制动和紧急制动的安全制动系统，其操纵系统须设在司机操纵台。</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5A994D2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《金属非金属矿山安全规程》6.4.4.31条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46BE91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34F7E53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683E030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2999C58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2F0E1F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069D59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1AD2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tcBorders>
              <w:left w:val="single" w:color="auto" w:sz="4" w:space="0"/>
              <w:bottom w:val="single" w:color="auto" w:sz="4" w:space="0"/>
              <w:right w:val="single" w:color="auto" w:sz="4" w:space="0"/>
            </w:tcBorders>
            <w:noWrap w:val="0"/>
            <w:vAlign w:val="center"/>
          </w:tcPr>
          <w:p w14:paraId="1D514D0D">
            <w:pPr>
              <w:keepNext w:val="0"/>
              <w:keepLines w:val="0"/>
              <w:pageBreakBefore w:val="0"/>
              <w:widowControl w:val="0"/>
              <w:kinsoku/>
              <w:wordWrap/>
              <w:overflowPunct/>
              <w:topLinePunct w:val="0"/>
              <w:autoSpaceDE/>
              <w:autoSpaceDN/>
              <w:bidi w:val="0"/>
              <w:adjustRightInd/>
              <w:snapToGrid/>
              <w:spacing w:line="240" w:lineRule="exact"/>
              <w:textAlignment w:val="auto"/>
              <w:rPr>
                <w:rFonts w:eastAsia="宋体" w:cs="Times New Roman"/>
                <w:color w:val="auto"/>
                <w:spacing w:val="0"/>
                <w:sz w:val="21"/>
                <w:szCs w:val="21"/>
              </w:rPr>
            </w:pPr>
          </w:p>
        </w:tc>
        <w:tc>
          <w:tcPr>
            <w:tcW w:w="1392" w:type="pct"/>
            <w:tcBorders>
              <w:top w:val="single" w:color="auto" w:sz="4" w:space="0"/>
              <w:left w:val="single" w:color="auto" w:sz="4" w:space="0"/>
              <w:bottom w:val="single" w:color="auto" w:sz="4" w:space="0"/>
              <w:right w:val="single" w:color="auto" w:sz="4" w:space="0"/>
            </w:tcBorders>
            <w:noWrap w:val="0"/>
            <w:vAlign w:val="center"/>
          </w:tcPr>
          <w:p w14:paraId="6849F4C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5.6钢丝绳的固定与缠绕符合《规程》要求。</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224F915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《金属非金属矿山安全规程》第6.4.8.3条</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2CF785B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查现场</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227C105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3ECAAE3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3</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717B2D9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051E484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070C50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7790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restart"/>
            <w:tcBorders>
              <w:top w:val="single" w:color="auto" w:sz="4" w:space="0"/>
              <w:left w:val="single" w:color="auto" w:sz="4" w:space="0"/>
              <w:right w:val="single" w:color="auto" w:sz="4" w:space="0"/>
            </w:tcBorders>
            <w:noWrap w:val="0"/>
            <w:vAlign w:val="center"/>
          </w:tcPr>
          <w:p w14:paraId="5872621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6</w:t>
            </w:r>
            <w:r>
              <w:rPr>
                <w:rFonts w:hint="eastAsia" w:ascii="Times New Roman" w:hAnsi="Times New Roman" w:eastAsia="宋体" w:cs="Times New Roman"/>
                <w:color w:val="auto"/>
                <w:spacing w:val="0"/>
                <w:sz w:val="21"/>
                <w:szCs w:val="21"/>
                <w:lang w:val="en-US" w:eastAsia="zh-CN"/>
              </w:rPr>
              <w:t>.</w:t>
            </w:r>
            <w:r>
              <w:rPr>
                <w:rFonts w:hint="eastAsia" w:ascii="Times New Roman" w:hAnsi="Times New Roman" w:eastAsia="宋体" w:cs="Times New Roman"/>
                <w:color w:val="auto"/>
                <w:spacing w:val="0"/>
                <w:sz w:val="21"/>
                <w:szCs w:val="21"/>
              </w:rPr>
              <w:t>检测</w:t>
            </w:r>
          </w:p>
          <w:p w14:paraId="5B1B8D9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报告10分</w:t>
            </w:r>
          </w:p>
        </w:tc>
        <w:tc>
          <w:tcPr>
            <w:tcW w:w="1392" w:type="pct"/>
            <w:tcBorders>
              <w:top w:val="single" w:color="auto" w:sz="4" w:space="0"/>
              <w:left w:val="single" w:color="auto" w:sz="4" w:space="0"/>
              <w:bottom w:val="single" w:color="auto" w:sz="4" w:space="0"/>
              <w:right w:val="single" w:color="auto" w:sz="4" w:space="0"/>
            </w:tcBorders>
            <w:noWrap w:val="0"/>
            <w:vAlign w:val="center"/>
          </w:tcPr>
          <w:p w14:paraId="63B14BF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6.1提升系统有检测合格报告。</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1EFF4B2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2C69634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查检测报告</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0ECF3F8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020C6DE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2E8DB0B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4ABDDD8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11383B1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488C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34" w:type="pct"/>
            <w:vMerge w:val="continue"/>
            <w:tcBorders>
              <w:left w:val="single" w:color="auto" w:sz="4" w:space="0"/>
              <w:bottom w:val="single" w:color="auto" w:sz="4" w:space="0"/>
              <w:right w:val="single" w:color="auto" w:sz="4" w:space="0"/>
            </w:tcBorders>
            <w:noWrap w:val="0"/>
            <w:vAlign w:val="center"/>
          </w:tcPr>
          <w:p w14:paraId="6EFE521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1392" w:type="pct"/>
            <w:tcBorders>
              <w:top w:val="single" w:color="auto" w:sz="4" w:space="0"/>
              <w:left w:val="single" w:color="auto" w:sz="4" w:space="0"/>
              <w:bottom w:val="single" w:color="auto" w:sz="4" w:space="0"/>
              <w:right w:val="single" w:color="auto" w:sz="4" w:space="0"/>
            </w:tcBorders>
            <w:noWrap w:val="0"/>
            <w:vAlign w:val="center"/>
          </w:tcPr>
          <w:p w14:paraId="222B76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6.2提升钢丝绳有检测合格报告。</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5DB57CB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753F74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查检测报告</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3C6025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无此项</w:t>
            </w:r>
          </w:p>
        </w:tc>
        <w:tc>
          <w:tcPr>
            <w:tcW w:w="370" w:type="pct"/>
            <w:tcBorders>
              <w:top w:val="single" w:color="auto" w:sz="4" w:space="0"/>
              <w:left w:val="single" w:color="auto" w:sz="4" w:space="0"/>
              <w:bottom w:val="single" w:color="auto" w:sz="4" w:space="0"/>
              <w:right w:val="single" w:color="auto" w:sz="4" w:space="0"/>
            </w:tcBorders>
            <w:noWrap w:val="0"/>
            <w:vAlign w:val="center"/>
          </w:tcPr>
          <w:p w14:paraId="503BC2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5</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753BDF1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不符合</w:t>
            </w:r>
          </w:p>
          <w:p w14:paraId="7B72826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不得分</w:t>
            </w:r>
          </w:p>
        </w:tc>
        <w:tc>
          <w:tcPr>
            <w:tcW w:w="428" w:type="pct"/>
            <w:tcBorders>
              <w:top w:val="single" w:color="auto" w:sz="4" w:space="0"/>
              <w:left w:val="single" w:color="auto" w:sz="4" w:space="0"/>
              <w:bottom w:val="single" w:color="auto" w:sz="4" w:space="0"/>
              <w:right w:val="single" w:color="auto" w:sz="4" w:space="0"/>
            </w:tcBorders>
            <w:noWrap w:val="0"/>
            <w:vAlign w:val="center"/>
          </w:tcPr>
          <w:p w14:paraId="3DBB2B4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lang w:eastAsia="zh-CN"/>
              </w:rPr>
            </w:pPr>
            <w:r>
              <w:rPr>
                <w:rFonts w:hint="eastAsia" w:ascii="Times New Roman" w:hAnsi="Times New Roman" w:eastAsia="宋体" w:cs="Times New Roman"/>
                <w:color w:val="auto"/>
                <w:spacing w:val="0"/>
                <w:sz w:val="21"/>
                <w:szCs w:val="21"/>
                <w:lang w:val="en-US" w:eastAsia="zh-CN"/>
              </w:rPr>
              <w:t>-</w:t>
            </w:r>
          </w:p>
        </w:tc>
      </w:tr>
      <w:tr w14:paraId="26D2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434" w:type="pct"/>
            <w:tcBorders>
              <w:top w:val="single" w:color="auto" w:sz="4" w:space="0"/>
              <w:left w:val="single" w:color="auto" w:sz="4" w:space="0"/>
              <w:bottom w:val="single" w:color="auto" w:sz="4" w:space="0"/>
              <w:right w:val="single" w:color="auto" w:sz="4" w:space="0"/>
            </w:tcBorders>
            <w:noWrap w:val="0"/>
            <w:vAlign w:val="center"/>
          </w:tcPr>
          <w:p w14:paraId="6046420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小计</w:t>
            </w:r>
          </w:p>
        </w:tc>
        <w:tc>
          <w:tcPr>
            <w:tcW w:w="1392" w:type="pct"/>
            <w:tcBorders>
              <w:top w:val="single" w:color="auto" w:sz="4" w:space="0"/>
              <w:left w:val="single" w:color="auto" w:sz="4" w:space="0"/>
              <w:bottom w:val="single" w:color="auto" w:sz="4" w:space="0"/>
              <w:right w:val="single" w:color="auto" w:sz="4" w:space="0"/>
            </w:tcBorders>
            <w:noWrap w:val="0"/>
            <w:vAlign w:val="center"/>
          </w:tcPr>
          <w:p w14:paraId="2307BEE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r>
              <w:rPr>
                <w:rFonts w:hint="eastAsia" w:ascii="Times New Roman" w:hAnsi="Times New Roman" w:eastAsia="宋体" w:cs="Times New Roman"/>
                <w:color w:val="auto"/>
                <w:spacing w:val="0"/>
                <w:sz w:val="21"/>
                <w:szCs w:val="21"/>
              </w:rPr>
              <w:t>100分</w:t>
            </w:r>
          </w:p>
        </w:tc>
        <w:tc>
          <w:tcPr>
            <w:tcW w:w="948" w:type="pct"/>
            <w:tcBorders>
              <w:top w:val="single" w:color="auto" w:sz="4" w:space="0"/>
              <w:left w:val="single" w:color="auto" w:sz="4" w:space="0"/>
              <w:bottom w:val="single" w:color="auto" w:sz="4" w:space="0"/>
              <w:right w:val="single" w:color="auto" w:sz="4" w:space="0"/>
            </w:tcBorders>
            <w:noWrap w:val="0"/>
            <w:vAlign w:val="center"/>
          </w:tcPr>
          <w:p w14:paraId="4FC91B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6E2F1E4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74" w:type="pct"/>
            <w:tcBorders>
              <w:top w:val="single" w:color="auto" w:sz="4" w:space="0"/>
              <w:left w:val="single" w:color="auto" w:sz="4" w:space="0"/>
              <w:bottom w:val="single" w:color="auto" w:sz="4" w:space="0"/>
              <w:right w:val="single" w:color="auto" w:sz="4" w:space="0"/>
            </w:tcBorders>
            <w:noWrap w:val="0"/>
            <w:vAlign w:val="center"/>
          </w:tcPr>
          <w:p w14:paraId="0B359F3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370" w:type="pct"/>
            <w:tcBorders>
              <w:top w:val="single" w:color="auto" w:sz="4" w:space="0"/>
              <w:left w:val="single" w:color="auto" w:sz="4" w:space="0"/>
              <w:bottom w:val="single" w:color="auto" w:sz="4" w:space="0"/>
              <w:right w:val="single" w:color="auto" w:sz="4" w:space="0"/>
            </w:tcBorders>
            <w:noWrap w:val="0"/>
            <w:vAlign w:val="center"/>
          </w:tcPr>
          <w:p w14:paraId="5B6578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11</w:t>
            </w:r>
          </w:p>
        </w:tc>
        <w:tc>
          <w:tcPr>
            <w:tcW w:w="536" w:type="pct"/>
            <w:tcBorders>
              <w:top w:val="single" w:color="auto" w:sz="4" w:space="0"/>
              <w:left w:val="single" w:color="auto" w:sz="4" w:space="0"/>
              <w:bottom w:val="single" w:color="auto" w:sz="4" w:space="0"/>
              <w:right w:val="single" w:color="auto" w:sz="4" w:space="0"/>
            </w:tcBorders>
            <w:noWrap w:val="0"/>
            <w:vAlign w:val="center"/>
          </w:tcPr>
          <w:p w14:paraId="4A85502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pacing w:val="0"/>
                <w:sz w:val="21"/>
                <w:szCs w:val="21"/>
              </w:rPr>
            </w:pPr>
          </w:p>
        </w:tc>
        <w:tc>
          <w:tcPr>
            <w:tcW w:w="428" w:type="pct"/>
            <w:tcBorders>
              <w:top w:val="single" w:color="auto" w:sz="4" w:space="0"/>
              <w:left w:val="single" w:color="auto" w:sz="4" w:space="0"/>
              <w:bottom w:val="single" w:color="auto" w:sz="4" w:space="0"/>
              <w:right w:val="single" w:color="auto" w:sz="4" w:space="0"/>
            </w:tcBorders>
            <w:noWrap w:val="0"/>
            <w:vAlign w:val="center"/>
          </w:tcPr>
          <w:p w14:paraId="78C9482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10</w:t>
            </w:r>
          </w:p>
        </w:tc>
      </w:tr>
    </w:tbl>
    <w:p w14:paraId="619B695C">
      <w:pPr>
        <w:pStyle w:val="5"/>
        <w:bidi w:val="0"/>
        <w:rPr>
          <w:rFonts w:hint="eastAsia"/>
          <w:color w:val="auto"/>
          <w:lang w:val="en-US" w:eastAsia="zh-CN"/>
        </w:rPr>
      </w:pPr>
      <w:bookmarkStart w:id="882" w:name="_Toc13064"/>
      <w:bookmarkStart w:id="883" w:name="_Toc19973"/>
      <w:bookmarkStart w:id="884" w:name="_Toc22314"/>
      <w:bookmarkStart w:id="885" w:name="_Toc25737"/>
      <w:r>
        <w:rPr>
          <w:rFonts w:hint="eastAsia"/>
          <w:color w:val="auto"/>
          <w:lang w:val="en-US" w:eastAsia="zh-CN"/>
        </w:rPr>
        <w:t>5.6.2 单元评价小结</w:t>
      </w:r>
      <w:bookmarkEnd w:id="882"/>
      <w:bookmarkEnd w:id="883"/>
      <w:bookmarkEnd w:id="884"/>
      <w:bookmarkEnd w:id="885"/>
    </w:p>
    <w:p w14:paraId="275A84E8">
      <w:pPr>
        <w:bidi w:val="0"/>
        <w:rPr>
          <w:rFonts w:hint="eastAsia"/>
          <w:color w:val="auto"/>
          <w:lang w:val="en-US" w:eastAsia="zh-CN"/>
        </w:rPr>
      </w:pPr>
      <w:r>
        <w:rPr>
          <w:rFonts w:hint="eastAsia"/>
          <w:color w:val="auto"/>
          <w:lang w:val="en-US" w:eastAsia="zh-CN"/>
        </w:rPr>
        <w:t>矿山无竖井、无斜坡道，盲斜井已封堵；矿山平硐开拓，无轨运输。运用安全检查表对提升与运输系统进行评价，运输单元总分100分，无关项89分，应得分11分，扣分1分，实得分10分，得分率为90.91%。运输单元符合安全要求。</w:t>
      </w:r>
    </w:p>
    <w:p w14:paraId="7F0270E4">
      <w:pPr>
        <w:bidi w:val="0"/>
        <w:rPr>
          <w:rFonts w:hint="eastAsia"/>
          <w:color w:val="auto"/>
          <w:lang w:val="en-US" w:eastAsia="zh-CN"/>
        </w:rPr>
      </w:pPr>
      <w:r>
        <w:rPr>
          <w:rFonts w:hint="eastAsia"/>
          <w:color w:val="auto"/>
          <w:lang w:val="en-US" w:eastAsia="zh-CN"/>
        </w:rPr>
        <w:t>存在问题：</w:t>
      </w:r>
    </w:p>
    <w:p w14:paraId="59670C47">
      <w:pPr>
        <w:bidi w:val="0"/>
        <w:rPr>
          <w:color w:val="auto"/>
        </w:rPr>
      </w:pPr>
      <w:r>
        <w:rPr>
          <w:rFonts w:hint="eastAsia"/>
          <w:color w:val="auto"/>
          <w:lang w:val="en-US" w:eastAsia="zh-CN"/>
        </w:rPr>
        <w:t>1)未</w:t>
      </w:r>
      <w:r>
        <w:rPr>
          <w:rFonts w:hint="eastAsia"/>
          <w:color w:val="auto"/>
        </w:rPr>
        <w:t>定期</w:t>
      </w:r>
      <w:r>
        <w:rPr>
          <w:rFonts w:hint="eastAsia"/>
          <w:color w:val="auto"/>
          <w:lang w:val="en-US" w:eastAsia="zh-CN"/>
        </w:rPr>
        <w:t>对</w:t>
      </w:r>
      <w:r>
        <w:rPr>
          <w:rFonts w:hint="eastAsia"/>
          <w:color w:val="auto"/>
        </w:rPr>
        <w:t>设备进行检查和维护保养</w:t>
      </w:r>
      <w:r>
        <w:rPr>
          <w:color w:val="auto"/>
          <w:lang w:val="en-US" w:eastAsia="zh-CN"/>
        </w:rPr>
        <w:t>。</w:t>
      </w:r>
    </w:p>
    <w:p w14:paraId="745728DA">
      <w:pPr>
        <w:bidi w:val="0"/>
        <w:rPr>
          <w:rFonts w:hint="eastAsia"/>
          <w:color w:val="auto"/>
          <w:lang w:val="en-US" w:eastAsia="zh-CN"/>
        </w:rPr>
      </w:pPr>
      <w:r>
        <w:rPr>
          <w:rFonts w:hint="eastAsia"/>
          <w:color w:val="auto"/>
          <w:lang w:val="en-US" w:eastAsia="zh-CN"/>
        </w:rPr>
        <w:t>2)地表矿仓卸矿口未设置车挡，未设明显的警示标志。</w:t>
      </w:r>
    </w:p>
    <w:p w14:paraId="29FF1C63">
      <w:pPr>
        <w:pStyle w:val="4"/>
        <w:bidi w:val="0"/>
        <w:rPr>
          <w:rFonts w:hint="eastAsia"/>
          <w:color w:val="auto"/>
          <w:lang w:val="en-US" w:eastAsia="zh-CN"/>
        </w:rPr>
      </w:pPr>
      <w:bookmarkStart w:id="886" w:name="_Toc17833"/>
      <w:bookmarkStart w:id="887" w:name="_Toc6447"/>
      <w:bookmarkStart w:id="888" w:name="_Toc838"/>
      <w:bookmarkStart w:id="889" w:name="_Toc23856"/>
      <w:bookmarkStart w:id="890" w:name="_Toc26644"/>
      <w:bookmarkStart w:id="891" w:name="_Toc30642"/>
      <w:bookmarkStart w:id="892" w:name="_Toc4459"/>
      <w:bookmarkStart w:id="893" w:name="_Toc23496"/>
      <w:bookmarkStart w:id="894" w:name="_Toc16378"/>
      <w:r>
        <w:rPr>
          <w:rFonts w:hint="eastAsia"/>
          <w:color w:val="auto"/>
          <w:lang w:val="en-US" w:eastAsia="zh-CN"/>
        </w:rPr>
        <w:t xml:space="preserve">5.7 </w:t>
      </w:r>
      <w:bookmarkEnd w:id="886"/>
      <w:bookmarkEnd w:id="887"/>
      <w:bookmarkEnd w:id="888"/>
      <w:bookmarkEnd w:id="889"/>
      <w:bookmarkEnd w:id="890"/>
      <w:bookmarkEnd w:id="891"/>
      <w:bookmarkEnd w:id="892"/>
      <w:bookmarkEnd w:id="893"/>
      <w:r>
        <w:rPr>
          <w:rFonts w:hint="eastAsia"/>
          <w:color w:val="auto"/>
          <w:lang w:val="en-US" w:eastAsia="zh-CN"/>
        </w:rPr>
        <w:t>防排水及防雷电单元</w:t>
      </w:r>
      <w:bookmarkEnd w:id="894"/>
    </w:p>
    <w:p w14:paraId="1F5CD061">
      <w:pPr>
        <w:pStyle w:val="5"/>
        <w:bidi w:val="0"/>
        <w:rPr>
          <w:rFonts w:hint="eastAsia"/>
          <w:color w:val="auto"/>
          <w:lang w:val="en-US" w:eastAsia="zh-CN"/>
        </w:rPr>
      </w:pPr>
      <w:bookmarkStart w:id="895" w:name="_Toc21975"/>
      <w:bookmarkStart w:id="896" w:name="_Toc14872"/>
      <w:bookmarkStart w:id="897" w:name="_Toc15275"/>
      <w:bookmarkStart w:id="898" w:name="_Toc2052"/>
      <w:r>
        <w:rPr>
          <w:rFonts w:hint="eastAsia"/>
          <w:color w:val="auto"/>
          <w:lang w:val="en-US" w:eastAsia="zh-CN"/>
        </w:rPr>
        <w:t>5.7.1 安全检查表评价</w:t>
      </w:r>
      <w:bookmarkEnd w:id="895"/>
      <w:bookmarkEnd w:id="896"/>
      <w:bookmarkEnd w:id="897"/>
      <w:bookmarkEnd w:id="898"/>
    </w:p>
    <w:p w14:paraId="1478B3A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snapToGrid/>
          <w:color w:val="auto"/>
          <w:kern w:val="2"/>
          <w:sz w:val="28"/>
          <w:szCs w:val="28"/>
          <w:lang w:val="en-US" w:eastAsia="zh-CN" w:bidi="ar-SA"/>
        </w:rPr>
      </w:pPr>
      <w:r>
        <w:rPr>
          <w:rFonts w:hint="eastAsia" w:ascii="宋体" w:hAnsi="宋体" w:eastAsia="宋体" w:cs="宋体"/>
          <w:snapToGrid/>
          <w:color w:val="auto"/>
          <w:kern w:val="2"/>
          <w:sz w:val="28"/>
          <w:szCs w:val="28"/>
          <w:lang w:val="en-US" w:eastAsia="zh-CN" w:bidi="ar-SA"/>
        </w:rPr>
        <w:t>采用安全检查表对防排水及防雷单元进行分析评价，见表5.1-1。</w:t>
      </w:r>
    </w:p>
    <w:p w14:paraId="16D3BDD8">
      <w:pPr>
        <w:bidi w:val="0"/>
        <w:jc w:val="center"/>
        <w:rPr>
          <w:rFonts w:hint="eastAsia"/>
          <w:color w:val="auto"/>
        </w:rPr>
      </w:pPr>
      <w:r>
        <w:rPr>
          <w:rFonts w:hint="eastAsia"/>
          <w:color w:val="auto"/>
        </w:rPr>
        <w:t>表 5</w:t>
      </w:r>
      <w:r>
        <w:rPr>
          <w:rFonts w:hint="eastAsia"/>
          <w:color w:val="auto"/>
          <w:lang w:val="en-US" w:eastAsia="zh-CN"/>
        </w:rPr>
        <w:t>.7-1</w:t>
      </w:r>
      <w:r>
        <w:rPr>
          <w:rFonts w:hint="eastAsia"/>
          <w:color w:val="auto"/>
        </w:rPr>
        <w:t xml:space="preserve">  </w:t>
      </w:r>
      <w:r>
        <w:rPr>
          <w:rFonts w:hint="eastAsia"/>
          <w:color w:val="auto"/>
          <w:lang w:eastAsia="zh-CN"/>
        </w:rPr>
        <w:t>防排水及防雷电单元</w:t>
      </w:r>
      <w:r>
        <w:rPr>
          <w:rFonts w:hint="eastAsia"/>
          <w:color w:val="auto"/>
        </w:rPr>
        <w:t>安全检查表</w:t>
      </w:r>
    </w:p>
    <w:tbl>
      <w:tblPr>
        <w:tblStyle w:val="27"/>
        <w:tblW w:w="5278" w:type="pct"/>
        <w:tblInd w:w="-6" w:type="dxa"/>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Layout w:type="fixed"/>
        <w:tblCellMar>
          <w:top w:w="0" w:type="dxa"/>
          <w:left w:w="0" w:type="dxa"/>
          <w:bottom w:w="0" w:type="dxa"/>
          <w:right w:w="0" w:type="dxa"/>
        </w:tblCellMar>
      </w:tblPr>
      <w:tblGrid>
        <w:gridCol w:w="1033"/>
        <w:gridCol w:w="3113"/>
        <w:gridCol w:w="1560"/>
        <w:gridCol w:w="928"/>
        <w:gridCol w:w="794"/>
        <w:gridCol w:w="728"/>
        <w:gridCol w:w="798"/>
        <w:gridCol w:w="634"/>
      </w:tblGrid>
      <w:tr w14:paraId="4E1BF6F9">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809" w:hRule="atLeast"/>
          <w:tblHeader/>
        </w:trPr>
        <w:tc>
          <w:tcPr>
            <w:tcW w:w="538" w:type="pct"/>
            <w:tcBorders>
              <w:bottom w:val="single" w:color="000000" w:sz="4" w:space="0"/>
            </w:tcBorders>
            <w:noWrap w:val="0"/>
            <w:vAlign w:val="center"/>
          </w:tcPr>
          <w:p w14:paraId="0D2070E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w:t>
            </w:r>
          </w:p>
          <w:p w14:paraId="2B31704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项目</w:t>
            </w:r>
          </w:p>
        </w:tc>
        <w:tc>
          <w:tcPr>
            <w:tcW w:w="1623" w:type="pct"/>
            <w:tcBorders>
              <w:bottom w:val="single" w:color="000000" w:sz="4" w:space="0"/>
            </w:tcBorders>
            <w:noWrap w:val="0"/>
            <w:vAlign w:val="center"/>
          </w:tcPr>
          <w:p w14:paraId="1ADCFA4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检查内容</w:t>
            </w:r>
          </w:p>
        </w:tc>
        <w:tc>
          <w:tcPr>
            <w:tcW w:w="813" w:type="pct"/>
            <w:tcBorders>
              <w:bottom w:val="single" w:color="000000" w:sz="4" w:space="0"/>
            </w:tcBorders>
            <w:noWrap w:val="0"/>
            <w:vAlign w:val="center"/>
          </w:tcPr>
          <w:p w14:paraId="268BFE6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检查依据</w:t>
            </w:r>
          </w:p>
        </w:tc>
        <w:tc>
          <w:tcPr>
            <w:tcW w:w="483" w:type="pct"/>
            <w:tcBorders>
              <w:bottom w:val="single" w:color="000000" w:sz="4" w:space="0"/>
            </w:tcBorders>
            <w:noWrap w:val="0"/>
            <w:vAlign w:val="center"/>
          </w:tcPr>
          <w:p w14:paraId="28FF2406">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检查方</w:t>
            </w:r>
          </w:p>
          <w:p w14:paraId="5F94C5F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法及地</w:t>
            </w:r>
          </w:p>
          <w:p w14:paraId="56B1BE9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点</w:t>
            </w:r>
          </w:p>
        </w:tc>
        <w:tc>
          <w:tcPr>
            <w:tcW w:w="414" w:type="pct"/>
            <w:tcBorders>
              <w:bottom w:val="single" w:color="000000" w:sz="4" w:space="0"/>
            </w:tcBorders>
            <w:noWrap w:val="0"/>
            <w:vAlign w:val="center"/>
          </w:tcPr>
          <w:p w14:paraId="7635558B">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w:t>
            </w:r>
          </w:p>
          <w:p w14:paraId="3D14D28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记录</w:t>
            </w:r>
          </w:p>
        </w:tc>
        <w:tc>
          <w:tcPr>
            <w:tcW w:w="379" w:type="pct"/>
            <w:tcBorders>
              <w:bottom w:val="single" w:color="000000" w:sz="4" w:space="0"/>
            </w:tcBorders>
            <w:noWrap w:val="0"/>
            <w:vAlign w:val="center"/>
          </w:tcPr>
          <w:p w14:paraId="00D1A50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标准</w:t>
            </w:r>
          </w:p>
          <w:p w14:paraId="4EC9AE6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分值</w:t>
            </w:r>
          </w:p>
        </w:tc>
        <w:tc>
          <w:tcPr>
            <w:tcW w:w="416" w:type="pct"/>
            <w:tcBorders>
              <w:bottom w:val="single" w:color="000000" w:sz="4" w:space="0"/>
            </w:tcBorders>
            <w:noWrap w:val="0"/>
            <w:vAlign w:val="center"/>
          </w:tcPr>
          <w:p w14:paraId="65E6B39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评分</w:t>
            </w:r>
          </w:p>
          <w:p w14:paraId="2F0530E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标准</w:t>
            </w:r>
          </w:p>
        </w:tc>
        <w:tc>
          <w:tcPr>
            <w:tcW w:w="330" w:type="pct"/>
            <w:tcBorders>
              <w:bottom w:val="single" w:color="000000" w:sz="4" w:space="0"/>
            </w:tcBorders>
            <w:noWrap w:val="0"/>
            <w:vAlign w:val="center"/>
          </w:tcPr>
          <w:p w14:paraId="14B3B73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w:t>
            </w:r>
          </w:p>
          <w:p w14:paraId="12A0CCF6">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结果</w:t>
            </w:r>
          </w:p>
        </w:tc>
      </w:tr>
      <w:tr w14:paraId="3C2FDFE4">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2520" w:hRule="atLeast"/>
        </w:trPr>
        <w:tc>
          <w:tcPr>
            <w:tcW w:w="538" w:type="pct"/>
            <w:vMerge w:val="restart"/>
            <w:tcBorders>
              <w:top w:val="single" w:color="000000" w:sz="4" w:space="0"/>
              <w:tl2br w:val="nil"/>
              <w:tr2bl w:val="nil"/>
            </w:tcBorders>
            <w:noWrap w:val="0"/>
            <w:vAlign w:val="center"/>
          </w:tcPr>
          <w:p w14:paraId="523934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p w14:paraId="0589F0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p w14:paraId="327B505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ascii="宋体" w:hAnsi="宋体" w:eastAsia="宋体" w:cs="Times New Roman"/>
                <w:color w:val="auto"/>
                <w:spacing w:val="0"/>
                <w:position w:val="0"/>
                <w:sz w:val="21"/>
                <w:szCs w:val="21"/>
              </w:rPr>
              <w:t>1</w:t>
            </w:r>
            <w:r>
              <w:rPr>
                <w:rFonts w:hint="eastAsia" w:ascii="宋体" w:hAnsi="宋体" w:eastAsia="宋体" w:cs="Times New Roman"/>
                <w:color w:val="auto"/>
                <w:spacing w:val="0"/>
                <w:position w:val="0"/>
                <w:sz w:val="21"/>
                <w:szCs w:val="21"/>
                <w:lang w:val="en-US" w:eastAsia="zh-CN"/>
              </w:rPr>
              <w:t>.</w:t>
            </w:r>
            <w:r>
              <w:rPr>
                <w:rFonts w:eastAsia="宋体" w:cs="Times New Roman"/>
                <w:color w:val="auto"/>
                <w:spacing w:val="0"/>
                <w:position w:val="0"/>
                <w:sz w:val="21"/>
                <w:szCs w:val="21"/>
              </w:rPr>
              <w:t>地面</w:t>
            </w:r>
          </w:p>
          <w:p w14:paraId="7D69312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防水</w:t>
            </w:r>
          </w:p>
          <w:p w14:paraId="4E5A31A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9分</w:t>
            </w:r>
          </w:p>
        </w:tc>
        <w:tc>
          <w:tcPr>
            <w:tcW w:w="1623" w:type="pct"/>
            <w:tcBorders>
              <w:top w:val="single" w:color="000000" w:sz="4" w:space="0"/>
              <w:bottom w:val="single" w:color="000000" w:sz="4" w:space="0"/>
            </w:tcBorders>
            <w:noWrap w:val="0"/>
            <w:vAlign w:val="center"/>
          </w:tcPr>
          <w:p w14:paraId="0D0B15F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1.1应查清矿区及其附近地表的水流系统、汇水面积、河流沟渠汇水情况、疏水能力、积水区、水利工程现状和规划情况，以及当地日最大降雨量、历年最高洪水位，并结合矿区特点建立和健全防水、排水系统。</w:t>
            </w:r>
          </w:p>
        </w:tc>
        <w:tc>
          <w:tcPr>
            <w:tcW w:w="813" w:type="pct"/>
            <w:tcBorders>
              <w:top w:val="single" w:color="000000" w:sz="4" w:space="0"/>
              <w:bottom w:val="single" w:color="000000" w:sz="4" w:space="0"/>
            </w:tcBorders>
            <w:noWrap w:val="0"/>
            <w:vAlign w:val="center"/>
          </w:tcPr>
          <w:p w14:paraId="63CF929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《金属非金属矿山安全规程》</w:t>
            </w:r>
          </w:p>
          <w:p w14:paraId="7683812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第</w:t>
            </w:r>
            <w:r>
              <w:rPr>
                <w:rFonts w:eastAsia="宋体" w:cs="Times New Roman"/>
                <w:color w:val="auto"/>
                <w:spacing w:val="0"/>
                <w:position w:val="0"/>
                <w:sz w:val="21"/>
                <w:szCs w:val="21"/>
              </w:rPr>
              <w:fldChar w:fldCharType="begin"/>
            </w:r>
            <w:r>
              <w:rPr>
                <w:rFonts w:eastAsia="宋体" w:cs="Times New Roman"/>
                <w:color w:val="auto"/>
                <w:spacing w:val="0"/>
                <w:position w:val="0"/>
                <w:sz w:val="21"/>
                <w:szCs w:val="21"/>
              </w:rPr>
              <w:instrText xml:space="preserve"> HYPERLINK "6.8.2.1" </w:instrText>
            </w:r>
            <w:r>
              <w:rPr>
                <w:rFonts w:eastAsia="宋体" w:cs="Times New Roman"/>
                <w:color w:val="auto"/>
                <w:spacing w:val="0"/>
                <w:position w:val="0"/>
                <w:sz w:val="21"/>
                <w:szCs w:val="21"/>
              </w:rPr>
              <w:fldChar w:fldCharType="separate"/>
            </w:r>
            <w:r>
              <w:rPr>
                <w:rFonts w:eastAsia="宋体" w:cs="Times New Roman"/>
                <w:color w:val="auto"/>
                <w:spacing w:val="0"/>
                <w:position w:val="0"/>
                <w:sz w:val="21"/>
                <w:szCs w:val="21"/>
              </w:rPr>
              <w:t>6.8.2.1</w:t>
            </w:r>
            <w:r>
              <w:rPr>
                <w:rFonts w:eastAsia="宋体" w:cs="Times New Roman"/>
                <w:color w:val="auto"/>
                <w:spacing w:val="0"/>
                <w:position w:val="0"/>
                <w:sz w:val="21"/>
                <w:szCs w:val="21"/>
              </w:rPr>
              <w:fldChar w:fldCharType="end"/>
            </w:r>
            <w:r>
              <w:rPr>
                <w:rFonts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3B624233">
            <w:pPr>
              <w:pStyle w:val="41"/>
              <w:keepNext w:val="0"/>
              <w:keepLines w:val="0"/>
              <w:pageBreakBefore w:val="0"/>
              <w:widowControl w:val="0"/>
              <w:kinsoku/>
              <w:wordWrap/>
              <w:overflowPunct/>
              <w:topLinePunct w:val="0"/>
              <w:autoSpaceDE/>
              <w:autoSpaceDN/>
              <w:bidi w:val="0"/>
              <w:adjustRightInd/>
              <w:snapToGrid/>
              <w:spacing w:line="320" w:lineRule="exact"/>
              <w:ind w:left="0" w:leftChars="0" w:right="119"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查资料和现场</w:t>
            </w:r>
          </w:p>
        </w:tc>
        <w:tc>
          <w:tcPr>
            <w:tcW w:w="414" w:type="pct"/>
            <w:tcBorders>
              <w:top w:val="single" w:color="000000" w:sz="4" w:space="0"/>
              <w:bottom w:val="single" w:color="000000" w:sz="4" w:space="0"/>
            </w:tcBorders>
            <w:noWrap w:val="0"/>
            <w:vAlign w:val="center"/>
          </w:tcPr>
          <w:p w14:paraId="0078118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符合</w:t>
            </w:r>
          </w:p>
        </w:tc>
        <w:tc>
          <w:tcPr>
            <w:tcW w:w="379" w:type="pct"/>
            <w:tcBorders>
              <w:top w:val="single" w:color="000000" w:sz="4" w:space="0"/>
              <w:bottom w:val="single" w:color="000000" w:sz="4" w:space="0"/>
            </w:tcBorders>
            <w:noWrap w:val="0"/>
            <w:vAlign w:val="center"/>
          </w:tcPr>
          <w:p w14:paraId="2617CE5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Arial" w:eastAsia="宋体" w:cs="Times New Roman"/>
                <w:color w:val="auto"/>
                <w:spacing w:val="0"/>
                <w:position w:val="0"/>
                <w:sz w:val="21"/>
                <w:szCs w:val="21"/>
              </w:rPr>
            </w:pPr>
          </w:p>
          <w:p w14:paraId="7AD4A18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Arial" w:eastAsia="宋体" w:cs="Times New Roman"/>
                <w:color w:val="auto"/>
                <w:spacing w:val="0"/>
                <w:position w:val="0"/>
                <w:sz w:val="21"/>
                <w:szCs w:val="21"/>
                <w:lang w:val="en-US" w:eastAsia="zh-CN"/>
              </w:rPr>
            </w:pPr>
          </w:p>
          <w:p w14:paraId="4442D065">
            <w:pPr>
              <w:keepNext w:val="0"/>
              <w:keepLines w:val="0"/>
              <w:pageBreakBefore w:val="0"/>
              <w:widowControl w:val="0"/>
              <w:kinsoku/>
              <w:wordWrap/>
              <w:overflowPunct/>
              <w:topLinePunct w:val="0"/>
              <w:autoSpaceDE/>
              <w:autoSpaceDN/>
              <w:bidi w:val="0"/>
              <w:adjustRightInd/>
              <w:snapToGrid/>
              <w:spacing w:line="320" w:lineRule="exact"/>
              <w:ind w:left="0" w:leftChars="0" w:firstLine="210" w:firstLineChars="100"/>
              <w:jc w:val="both"/>
              <w:textAlignment w:val="auto"/>
              <w:rPr>
                <w:rFonts w:hint="eastAsia" w:ascii="Arial" w:eastAsia="宋体" w:cs="Times New Roman"/>
                <w:color w:val="auto"/>
                <w:spacing w:val="0"/>
                <w:position w:val="0"/>
                <w:sz w:val="21"/>
                <w:szCs w:val="21"/>
                <w:lang w:val="en-US" w:eastAsia="zh-CN"/>
              </w:rPr>
            </w:pPr>
            <w:r>
              <w:rPr>
                <w:rFonts w:hint="eastAsia" w:ascii="Arial" w:eastAsia="宋体" w:cs="Times New Roman"/>
                <w:color w:val="auto"/>
                <w:spacing w:val="0"/>
                <w:position w:val="0"/>
                <w:sz w:val="21"/>
                <w:szCs w:val="21"/>
                <w:lang w:val="en-US" w:eastAsia="zh-CN"/>
              </w:rPr>
              <w:t>1</w:t>
            </w:r>
          </w:p>
          <w:p w14:paraId="484A3FB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Arial" w:eastAsia="宋体" w:cs="Times New Roman"/>
                <w:color w:val="auto"/>
                <w:spacing w:val="0"/>
                <w:position w:val="0"/>
                <w:sz w:val="21"/>
                <w:szCs w:val="21"/>
              </w:rPr>
            </w:pPr>
          </w:p>
          <w:p w14:paraId="25907663">
            <w:pPr>
              <w:pStyle w:val="41"/>
              <w:keepNext w:val="0"/>
              <w:keepLines w:val="0"/>
              <w:pageBreakBefore w:val="0"/>
              <w:widowControl w:val="0"/>
              <w:kinsoku/>
              <w:wordWrap/>
              <w:overflowPunct/>
              <w:topLinePunct w:val="0"/>
              <w:autoSpaceDE/>
              <w:autoSpaceDN/>
              <w:bidi w:val="0"/>
              <w:adjustRightInd/>
              <w:snapToGrid/>
              <w:spacing w:line="320" w:lineRule="exact"/>
              <w:ind w:left="287"/>
              <w:jc w:val="both"/>
              <w:textAlignment w:val="auto"/>
              <w:rPr>
                <w:rFonts w:eastAsia="宋体" w:cs="Times New Roman"/>
                <w:color w:val="auto"/>
                <w:spacing w:val="0"/>
                <w:position w:val="0"/>
                <w:sz w:val="21"/>
                <w:szCs w:val="21"/>
              </w:rPr>
            </w:pPr>
          </w:p>
        </w:tc>
        <w:tc>
          <w:tcPr>
            <w:tcW w:w="416" w:type="pct"/>
            <w:tcBorders>
              <w:top w:val="single" w:color="000000" w:sz="4" w:space="0"/>
              <w:bottom w:val="single" w:color="000000" w:sz="4" w:space="0"/>
            </w:tcBorders>
            <w:noWrap w:val="0"/>
            <w:vAlign w:val="center"/>
          </w:tcPr>
          <w:p w14:paraId="5EBCF55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不符合</w:t>
            </w:r>
          </w:p>
          <w:p w14:paraId="5D38260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7C645FD6">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Arial" w:eastAsia="宋体" w:cs="Times New Roman"/>
                <w:color w:val="auto"/>
                <w:spacing w:val="0"/>
                <w:position w:val="0"/>
                <w:sz w:val="21"/>
                <w:szCs w:val="21"/>
              </w:rPr>
            </w:pPr>
          </w:p>
          <w:p w14:paraId="181986C9">
            <w:pPr>
              <w:keepNext w:val="0"/>
              <w:keepLines w:val="0"/>
              <w:pageBreakBefore w:val="0"/>
              <w:widowControl w:val="0"/>
              <w:kinsoku/>
              <w:wordWrap/>
              <w:overflowPunct/>
              <w:topLinePunct w:val="0"/>
              <w:autoSpaceDE/>
              <w:autoSpaceDN/>
              <w:bidi w:val="0"/>
              <w:adjustRightInd/>
              <w:snapToGrid/>
              <w:spacing w:line="320" w:lineRule="exact"/>
              <w:ind w:left="0" w:leftChars="0" w:right="-199" w:rightChars="-71" w:firstLine="0" w:firstLineChars="0"/>
              <w:jc w:val="center"/>
              <w:textAlignment w:val="auto"/>
              <w:rPr>
                <w:rFonts w:hint="eastAsia" w:ascii="Arial" w:eastAsia="宋体" w:cs="Times New Roman"/>
                <w:color w:val="auto"/>
                <w:spacing w:val="0"/>
                <w:position w:val="0"/>
                <w:sz w:val="21"/>
                <w:szCs w:val="21"/>
                <w:lang w:val="en-US" w:eastAsia="zh-CN"/>
              </w:rPr>
            </w:pPr>
            <w:r>
              <w:rPr>
                <w:rFonts w:hint="eastAsia" w:ascii="Arial" w:eastAsia="宋体" w:cs="Times New Roman"/>
                <w:color w:val="auto"/>
                <w:spacing w:val="0"/>
                <w:position w:val="0"/>
                <w:sz w:val="21"/>
                <w:szCs w:val="21"/>
                <w:lang w:val="en-US" w:eastAsia="zh-CN"/>
              </w:rPr>
              <w:t>1</w:t>
            </w:r>
          </w:p>
          <w:p w14:paraId="70248123">
            <w:pPr>
              <w:pStyle w:val="41"/>
              <w:keepNext w:val="0"/>
              <w:keepLines w:val="0"/>
              <w:pageBreakBefore w:val="0"/>
              <w:widowControl w:val="0"/>
              <w:kinsoku/>
              <w:wordWrap/>
              <w:overflowPunct/>
              <w:topLinePunct w:val="0"/>
              <w:autoSpaceDE/>
              <w:autoSpaceDN/>
              <w:bidi w:val="0"/>
              <w:adjustRightInd/>
              <w:snapToGrid/>
              <w:spacing w:line="320" w:lineRule="exact"/>
              <w:ind w:left="320"/>
              <w:jc w:val="center"/>
              <w:textAlignment w:val="auto"/>
              <w:rPr>
                <w:rFonts w:eastAsia="宋体" w:cs="Times New Roman"/>
                <w:color w:val="auto"/>
                <w:spacing w:val="0"/>
                <w:position w:val="0"/>
                <w:sz w:val="21"/>
                <w:szCs w:val="21"/>
              </w:rPr>
            </w:pPr>
          </w:p>
        </w:tc>
      </w:tr>
      <w:tr w14:paraId="5D272160">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120" w:hRule="atLeast"/>
        </w:trPr>
        <w:tc>
          <w:tcPr>
            <w:tcW w:w="538" w:type="pct"/>
            <w:vMerge w:val="continue"/>
            <w:tcBorders>
              <w:tl2br w:val="nil"/>
              <w:tr2bl w:val="nil"/>
            </w:tcBorders>
            <w:noWrap w:val="0"/>
            <w:vAlign w:val="center"/>
          </w:tcPr>
          <w:p w14:paraId="7B4D73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59E8A0A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1.2每年雨季前，矿山应组织1次防水检查，并编制防水计划。防水工程应在雨季前竣工。</w:t>
            </w:r>
          </w:p>
        </w:tc>
        <w:tc>
          <w:tcPr>
            <w:tcW w:w="813" w:type="pct"/>
            <w:tcBorders>
              <w:top w:val="single" w:color="000000" w:sz="4" w:space="0"/>
              <w:bottom w:val="single" w:color="000000" w:sz="4" w:space="0"/>
            </w:tcBorders>
            <w:noWrap w:val="0"/>
            <w:vAlign w:val="center"/>
          </w:tcPr>
          <w:p w14:paraId="4FA83DA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079BEAC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"6.8.2.2"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6.8.2.2</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4975423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查资料 和现场</w:t>
            </w:r>
          </w:p>
        </w:tc>
        <w:tc>
          <w:tcPr>
            <w:tcW w:w="414" w:type="pct"/>
            <w:tcBorders>
              <w:top w:val="single" w:color="000000" w:sz="4" w:space="0"/>
              <w:bottom w:val="single" w:color="000000" w:sz="4" w:space="0"/>
            </w:tcBorders>
            <w:noWrap w:val="0"/>
            <w:vAlign w:val="center"/>
          </w:tcPr>
          <w:p w14:paraId="33ABF23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未见防 水计划</w:t>
            </w:r>
          </w:p>
        </w:tc>
        <w:tc>
          <w:tcPr>
            <w:tcW w:w="379" w:type="pct"/>
            <w:tcBorders>
              <w:top w:val="single" w:color="000000" w:sz="4" w:space="0"/>
              <w:bottom w:val="single" w:color="000000" w:sz="4" w:space="0"/>
            </w:tcBorders>
            <w:noWrap w:val="0"/>
            <w:vAlign w:val="center"/>
          </w:tcPr>
          <w:p w14:paraId="0378E8C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zh-CN"/>
              </w:rPr>
              <w:t>2</w:t>
            </w:r>
          </w:p>
        </w:tc>
        <w:tc>
          <w:tcPr>
            <w:tcW w:w="416" w:type="pct"/>
            <w:tcBorders>
              <w:top w:val="single" w:color="000000" w:sz="4" w:space="0"/>
              <w:bottom w:val="single" w:color="000000" w:sz="4" w:space="0"/>
            </w:tcBorders>
            <w:noWrap w:val="0"/>
            <w:vAlign w:val="center"/>
          </w:tcPr>
          <w:p w14:paraId="1342968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不符合</w:t>
            </w:r>
          </w:p>
          <w:p w14:paraId="149DC62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4FAB853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0</w:t>
            </w:r>
          </w:p>
        </w:tc>
      </w:tr>
      <w:tr w14:paraId="287DE670">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680" w:hRule="atLeast"/>
        </w:trPr>
        <w:tc>
          <w:tcPr>
            <w:tcW w:w="538" w:type="pct"/>
            <w:vMerge w:val="continue"/>
            <w:tcBorders>
              <w:tl2br w:val="nil"/>
              <w:tr2bl w:val="nil"/>
            </w:tcBorders>
            <w:noWrap w:val="0"/>
            <w:vAlign w:val="center"/>
          </w:tcPr>
          <w:p w14:paraId="1864A4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5B5450A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1.3矿井(竖井、斜井、平硐等)井口的标高应高于当地历史最高洪水位1m以上。工业场地的地面标高应高于当地历史最高洪水位。</w:t>
            </w:r>
          </w:p>
        </w:tc>
        <w:tc>
          <w:tcPr>
            <w:tcW w:w="813" w:type="pct"/>
            <w:tcBorders>
              <w:top w:val="single" w:color="000000" w:sz="4" w:space="0"/>
              <w:bottom w:val="single" w:color="000000" w:sz="4" w:space="0"/>
            </w:tcBorders>
            <w:noWrap w:val="0"/>
            <w:vAlign w:val="center"/>
          </w:tcPr>
          <w:p w14:paraId="55FFC9B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321804F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5F503BC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"6.8.2.3"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6.8.2.3</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4053E91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1F598DF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符合</w:t>
            </w:r>
          </w:p>
        </w:tc>
        <w:tc>
          <w:tcPr>
            <w:tcW w:w="379" w:type="pct"/>
            <w:tcBorders>
              <w:top w:val="single" w:color="000000" w:sz="4" w:space="0"/>
              <w:bottom w:val="single" w:color="000000" w:sz="4" w:space="0"/>
            </w:tcBorders>
            <w:noWrap w:val="0"/>
            <w:vAlign w:val="center"/>
          </w:tcPr>
          <w:p w14:paraId="34D18AA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1</w:t>
            </w:r>
          </w:p>
        </w:tc>
        <w:tc>
          <w:tcPr>
            <w:tcW w:w="416" w:type="pct"/>
            <w:tcBorders>
              <w:top w:val="single" w:color="000000" w:sz="4" w:space="0"/>
              <w:bottom w:val="single" w:color="000000" w:sz="4" w:space="0"/>
            </w:tcBorders>
            <w:noWrap w:val="0"/>
            <w:vAlign w:val="center"/>
          </w:tcPr>
          <w:p w14:paraId="2E2D693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不符合</w:t>
            </w:r>
          </w:p>
          <w:p w14:paraId="07DA3F8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55F8995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1</w:t>
            </w:r>
          </w:p>
        </w:tc>
      </w:tr>
      <w:tr w14:paraId="1EAABB7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979" w:hRule="atLeast"/>
        </w:trPr>
        <w:tc>
          <w:tcPr>
            <w:tcW w:w="538" w:type="pct"/>
            <w:vMerge w:val="continue"/>
            <w:tcBorders>
              <w:tl2br w:val="nil"/>
              <w:tr2bl w:val="nil"/>
            </w:tcBorders>
            <w:noWrap w:val="0"/>
            <w:vAlign w:val="center"/>
          </w:tcPr>
          <w:p w14:paraId="158442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3311616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1.4井下疏干放水有可能导致地表塌陷时，应先将潜在塌陷区的居民迁走，公路和河流改道，再进行疏放水。矿区不能进行大规模疏放水时，应采取帷幕注浆堵水等防治水措施。</w:t>
            </w:r>
          </w:p>
        </w:tc>
        <w:tc>
          <w:tcPr>
            <w:tcW w:w="813" w:type="pct"/>
            <w:tcBorders>
              <w:top w:val="single" w:color="000000" w:sz="4" w:space="0"/>
              <w:bottom w:val="single" w:color="000000" w:sz="4" w:space="0"/>
            </w:tcBorders>
            <w:noWrap w:val="0"/>
            <w:vAlign w:val="center"/>
          </w:tcPr>
          <w:p w14:paraId="23C67A2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14A35D1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"6.8.2.4"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6.8.2.4</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1FFB712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查资料 和现场</w:t>
            </w:r>
          </w:p>
        </w:tc>
        <w:tc>
          <w:tcPr>
            <w:tcW w:w="414" w:type="pct"/>
            <w:tcBorders>
              <w:top w:val="single" w:color="000000" w:sz="4" w:space="0"/>
              <w:bottom w:val="single" w:color="000000" w:sz="4" w:space="0"/>
            </w:tcBorders>
            <w:noWrap w:val="0"/>
            <w:vAlign w:val="center"/>
          </w:tcPr>
          <w:p w14:paraId="69873A3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水文地质简单</w:t>
            </w:r>
          </w:p>
        </w:tc>
        <w:tc>
          <w:tcPr>
            <w:tcW w:w="379" w:type="pct"/>
            <w:tcBorders>
              <w:top w:val="single" w:color="000000" w:sz="4" w:space="0"/>
              <w:bottom w:val="single" w:color="000000" w:sz="4" w:space="0"/>
            </w:tcBorders>
            <w:noWrap w:val="0"/>
            <w:vAlign w:val="center"/>
          </w:tcPr>
          <w:p w14:paraId="2252997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2</w:t>
            </w:r>
          </w:p>
        </w:tc>
        <w:tc>
          <w:tcPr>
            <w:tcW w:w="416" w:type="pct"/>
            <w:tcBorders>
              <w:top w:val="single" w:color="000000" w:sz="4" w:space="0"/>
              <w:bottom w:val="single" w:color="000000" w:sz="4" w:space="0"/>
            </w:tcBorders>
            <w:noWrap w:val="0"/>
            <w:vAlign w:val="center"/>
          </w:tcPr>
          <w:p w14:paraId="3A7BA4D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不符合</w:t>
            </w:r>
          </w:p>
          <w:p w14:paraId="136AB7E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081E2CE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2</w:t>
            </w:r>
          </w:p>
        </w:tc>
      </w:tr>
      <w:tr w14:paraId="6ED9F8FD">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977" w:hRule="atLeast"/>
        </w:trPr>
        <w:tc>
          <w:tcPr>
            <w:tcW w:w="538" w:type="pct"/>
            <w:vMerge w:val="continue"/>
            <w:tcBorders>
              <w:tl2br w:val="nil"/>
              <w:tr2bl w:val="nil"/>
            </w:tcBorders>
            <w:noWrap w:val="0"/>
            <w:vAlign w:val="center"/>
          </w:tcPr>
          <w:p w14:paraId="5FDFFC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7578757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1.5矿区及其附近的地表水或大气降水有可能危及井下安全时，应根据具体情况采取设防洪堤、截水沟、封闭溶洞或报废的矿井和钻孔、留设防水矿柱等防范措施。</w:t>
            </w:r>
          </w:p>
        </w:tc>
        <w:tc>
          <w:tcPr>
            <w:tcW w:w="813" w:type="pct"/>
            <w:tcBorders>
              <w:top w:val="single" w:color="000000" w:sz="4" w:space="0"/>
              <w:bottom w:val="single" w:color="000000" w:sz="4" w:space="0"/>
            </w:tcBorders>
            <w:noWrap w:val="0"/>
            <w:vAlign w:val="center"/>
          </w:tcPr>
          <w:p w14:paraId="0D53FFA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6196819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"6.8.2.5"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6.8.2.5</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7880138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248A00B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符合</w:t>
            </w:r>
          </w:p>
        </w:tc>
        <w:tc>
          <w:tcPr>
            <w:tcW w:w="379" w:type="pct"/>
            <w:tcBorders>
              <w:top w:val="single" w:color="000000" w:sz="4" w:space="0"/>
              <w:bottom w:val="single" w:color="000000" w:sz="4" w:space="0"/>
            </w:tcBorders>
            <w:noWrap w:val="0"/>
            <w:vAlign w:val="center"/>
          </w:tcPr>
          <w:p w14:paraId="506DD22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2</w:t>
            </w:r>
          </w:p>
        </w:tc>
        <w:tc>
          <w:tcPr>
            <w:tcW w:w="416" w:type="pct"/>
            <w:tcBorders>
              <w:top w:val="single" w:color="000000" w:sz="4" w:space="0"/>
              <w:bottom w:val="single" w:color="000000" w:sz="4" w:space="0"/>
            </w:tcBorders>
            <w:noWrap w:val="0"/>
            <w:vAlign w:val="center"/>
          </w:tcPr>
          <w:p w14:paraId="7D31515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不符合</w:t>
            </w:r>
          </w:p>
          <w:p w14:paraId="5EFC9E4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1857C0F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2</w:t>
            </w:r>
          </w:p>
        </w:tc>
      </w:tr>
      <w:tr w14:paraId="6CC1F42C">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126" w:hRule="atLeast"/>
        </w:trPr>
        <w:tc>
          <w:tcPr>
            <w:tcW w:w="538" w:type="pct"/>
            <w:vMerge w:val="continue"/>
            <w:tcBorders>
              <w:tl2br w:val="nil"/>
              <w:tr2bl w:val="nil"/>
            </w:tcBorders>
            <w:noWrap w:val="0"/>
            <w:vAlign w:val="center"/>
          </w:tcPr>
          <w:p w14:paraId="756652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046F3AA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1.6矿石、废石和其他堆积物不应堵塞山洪通道，不应淤塞沟渠和河道。</w:t>
            </w:r>
          </w:p>
        </w:tc>
        <w:tc>
          <w:tcPr>
            <w:tcW w:w="813" w:type="pct"/>
            <w:tcBorders>
              <w:top w:val="single" w:color="000000" w:sz="4" w:space="0"/>
              <w:bottom w:val="single" w:color="000000" w:sz="4" w:space="0"/>
            </w:tcBorders>
            <w:noWrap w:val="0"/>
            <w:vAlign w:val="center"/>
          </w:tcPr>
          <w:p w14:paraId="04D2FAE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6C5B4AF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"6.8.2.6"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6.8.2.6</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228B1A9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63DCBA6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符合</w:t>
            </w:r>
          </w:p>
        </w:tc>
        <w:tc>
          <w:tcPr>
            <w:tcW w:w="379" w:type="pct"/>
            <w:tcBorders>
              <w:top w:val="single" w:color="000000" w:sz="4" w:space="0"/>
              <w:bottom w:val="single" w:color="000000" w:sz="4" w:space="0"/>
            </w:tcBorders>
            <w:noWrap w:val="0"/>
            <w:vAlign w:val="center"/>
          </w:tcPr>
          <w:p w14:paraId="2549E25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2</w:t>
            </w:r>
          </w:p>
        </w:tc>
        <w:tc>
          <w:tcPr>
            <w:tcW w:w="416" w:type="pct"/>
            <w:tcBorders>
              <w:top w:val="single" w:color="000000" w:sz="4" w:space="0"/>
              <w:bottom w:val="single" w:color="000000" w:sz="4" w:space="0"/>
            </w:tcBorders>
            <w:noWrap w:val="0"/>
            <w:vAlign w:val="center"/>
          </w:tcPr>
          <w:p w14:paraId="52A3530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不符合</w:t>
            </w:r>
          </w:p>
          <w:p w14:paraId="44F886B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2005374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p>
          <w:p w14:paraId="363E764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zh-CN"/>
              </w:rPr>
              <w:t>2</w:t>
            </w:r>
          </w:p>
          <w:p w14:paraId="3C32612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tc>
      </w:tr>
      <w:tr w14:paraId="4701CF47">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823" w:hRule="atLeast"/>
        </w:trPr>
        <w:tc>
          <w:tcPr>
            <w:tcW w:w="538" w:type="pct"/>
            <w:vMerge w:val="restart"/>
            <w:tcBorders>
              <w:tl2br w:val="nil"/>
              <w:tr2bl w:val="nil"/>
            </w:tcBorders>
            <w:noWrap w:val="0"/>
            <w:vAlign w:val="center"/>
          </w:tcPr>
          <w:p w14:paraId="200341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p w14:paraId="05E136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p w14:paraId="38354C63">
            <w:pPr>
              <w:pStyle w:val="4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both"/>
              <w:textAlignment w:val="auto"/>
              <w:rPr>
                <w:rFonts w:eastAsia="宋体" w:cs="Times New Roman"/>
                <w:color w:val="auto"/>
                <w:spacing w:val="0"/>
                <w:position w:val="0"/>
                <w:sz w:val="21"/>
                <w:szCs w:val="21"/>
              </w:rPr>
            </w:pPr>
            <w:r>
              <w:rPr>
                <w:rFonts w:hint="eastAsia" w:eastAsia="宋体" w:cs="Times New Roman"/>
                <w:color w:val="auto"/>
                <w:spacing w:val="0"/>
                <w:position w:val="0"/>
                <w:sz w:val="21"/>
                <w:szCs w:val="21"/>
                <w:lang w:val="en-US" w:eastAsia="zh-CN"/>
              </w:rPr>
              <w:t>2.</w:t>
            </w:r>
            <w:r>
              <w:rPr>
                <w:rFonts w:eastAsia="宋体" w:cs="Times New Roman"/>
                <w:color w:val="auto"/>
                <w:spacing w:val="0"/>
                <w:position w:val="0"/>
                <w:sz w:val="21"/>
                <w:szCs w:val="21"/>
              </w:rPr>
              <w:t>下防 、排水</w:t>
            </w:r>
          </w:p>
          <w:p w14:paraId="2C3E0C54">
            <w:pPr>
              <w:pStyle w:val="4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both"/>
              <w:textAlignment w:val="auto"/>
              <w:rPr>
                <w:rFonts w:eastAsia="宋体" w:cs="Times New Roman"/>
                <w:color w:val="auto"/>
                <w:spacing w:val="0"/>
                <w:position w:val="0"/>
                <w:sz w:val="21"/>
                <w:szCs w:val="21"/>
              </w:rPr>
            </w:pPr>
            <w:r>
              <w:rPr>
                <w:rFonts w:eastAsia="宋体" w:cs="Times New Roman"/>
                <w:color w:val="auto"/>
                <w:spacing w:val="0"/>
                <w:position w:val="0"/>
                <w:sz w:val="21"/>
                <w:szCs w:val="21"/>
              </w:rPr>
              <w:t>15分</w:t>
            </w:r>
          </w:p>
        </w:tc>
        <w:tc>
          <w:tcPr>
            <w:tcW w:w="1623" w:type="pct"/>
            <w:tcBorders>
              <w:top w:val="single" w:color="000000" w:sz="4" w:space="0"/>
              <w:bottom w:val="single" w:color="000000" w:sz="4" w:space="0"/>
            </w:tcBorders>
            <w:noWrap w:val="0"/>
            <w:vAlign w:val="center"/>
          </w:tcPr>
          <w:p w14:paraId="02E3F47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2.1矿山井下最低中段的主水泵房和变电所的进口应装设防门，防水门压力等级不低于0.1Mpa。水仓与水泵房之间应隔开，隔墙、水仓与配水井之间的配水阀的压力等级应与防水门相同。</w:t>
            </w:r>
          </w:p>
        </w:tc>
        <w:tc>
          <w:tcPr>
            <w:tcW w:w="813" w:type="pct"/>
            <w:tcBorders>
              <w:top w:val="single" w:color="000000" w:sz="4" w:space="0"/>
              <w:bottom w:val="single" w:color="000000" w:sz="4" w:space="0"/>
            </w:tcBorders>
            <w:noWrap w:val="0"/>
            <w:vAlign w:val="center"/>
          </w:tcPr>
          <w:p w14:paraId="0B1052D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688CCDA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"6.8.3.3"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6.8.3.3</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45C5FC8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6120CA25">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无关项</w:t>
            </w:r>
          </w:p>
        </w:tc>
        <w:tc>
          <w:tcPr>
            <w:tcW w:w="379" w:type="pct"/>
            <w:tcBorders>
              <w:top w:val="single" w:color="000000" w:sz="4" w:space="0"/>
              <w:bottom w:val="single" w:color="000000" w:sz="4" w:space="0"/>
            </w:tcBorders>
            <w:noWrap w:val="0"/>
            <w:vAlign w:val="center"/>
          </w:tcPr>
          <w:p w14:paraId="22FB736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3</w:t>
            </w:r>
          </w:p>
        </w:tc>
        <w:tc>
          <w:tcPr>
            <w:tcW w:w="416" w:type="pct"/>
            <w:tcBorders>
              <w:top w:val="single" w:color="000000" w:sz="4" w:space="0"/>
              <w:bottom w:val="single" w:color="000000" w:sz="4" w:space="0"/>
            </w:tcBorders>
            <w:noWrap w:val="0"/>
            <w:vAlign w:val="center"/>
          </w:tcPr>
          <w:p w14:paraId="4146C86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不符合</w:t>
            </w:r>
          </w:p>
          <w:p w14:paraId="728AEA7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2B0E964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eastAsia="zh-CN"/>
              </w:rPr>
            </w:pPr>
            <w:r>
              <w:rPr>
                <w:rFonts w:hint="eastAsia" w:cs="Times New Roman"/>
                <w:color w:val="auto"/>
                <w:spacing w:val="0"/>
                <w:position w:val="0"/>
                <w:sz w:val="21"/>
                <w:szCs w:val="21"/>
                <w:lang w:val="en-US" w:eastAsia="zh-CN"/>
              </w:rPr>
              <w:t>-</w:t>
            </w:r>
          </w:p>
        </w:tc>
      </w:tr>
      <w:tr w14:paraId="0B693ADB">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340" w:hRule="atLeast"/>
        </w:trPr>
        <w:tc>
          <w:tcPr>
            <w:tcW w:w="538" w:type="pct"/>
            <w:vMerge w:val="continue"/>
            <w:tcBorders>
              <w:bottom w:val="single" w:color="000000" w:sz="4" w:space="0"/>
              <w:tl2br w:val="nil"/>
              <w:tr2bl w:val="nil"/>
            </w:tcBorders>
            <w:noWrap w:val="0"/>
            <w:vAlign w:val="center"/>
          </w:tcPr>
          <w:p w14:paraId="49ADF0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1F175D3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2.2水文地质条件复杂的矿山应在关键巷道内设置防水门，防止水泵房、中央变电所和竖井等井下关键设施被淹。</w:t>
            </w:r>
          </w:p>
        </w:tc>
        <w:tc>
          <w:tcPr>
            <w:tcW w:w="813" w:type="pct"/>
            <w:tcBorders>
              <w:top w:val="single" w:color="000000" w:sz="4" w:space="0"/>
              <w:bottom w:val="single" w:color="000000" w:sz="4" w:space="0"/>
            </w:tcBorders>
            <w:noWrap w:val="0"/>
            <w:vAlign w:val="center"/>
          </w:tcPr>
          <w:p w14:paraId="1D9B87A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7A7565C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"6.8.3.3"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6.8.3.3</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center"/>
          </w:tcPr>
          <w:p w14:paraId="1F15EFD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09963F6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zh-CN"/>
              </w:rPr>
              <w:t>无关项</w:t>
            </w:r>
          </w:p>
        </w:tc>
        <w:tc>
          <w:tcPr>
            <w:tcW w:w="379" w:type="pct"/>
            <w:tcBorders>
              <w:top w:val="single" w:color="000000" w:sz="4" w:space="0"/>
              <w:bottom w:val="single" w:color="000000" w:sz="4" w:space="0"/>
            </w:tcBorders>
            <w:noWrap w:val="0"/>
            <w:vAlign w:val="center"/>
          </w:tcPr>
          <w:p w14:paraId="10C60C1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3</w:t>
            </w:r>
          </w:p>
        </w:tc>
        <w:tc>
          <w:tcPr>
            <w:tcW w:w="416" w:type="pct"/>
            <w:tcBorders>
              <w:top w:val="single" w:color="000000" w:sz="4" w:space="0"/>
              <w:bottom w:val="single" w:color="000000" w:sz="4" w:space="0"/>
            </w:tcBorders>
            <w:noWrap w:val="0"/>
            <w:vAlign w:val="center"/>
          </w:tcPr>
          <w:p w14:paraId="24E0C07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不符合</w:t>
            </w:r>
          </w:p>
          <w:p w14:paraId="780848B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不得分</w:t>
            </w:r>
          </w:p>
        </w:tc>
        <w:tc>
          <w:tcPr>
            <w:tcW w:w="330" w:type="pct"/>
            <w:tcBorders>
              <w:top w:val="single" w:color="000000" w:sz="4" w:space="0"/>
              <w:bottom w:val="single" w:color="000000" w:sz="4" w:space="0"/>
            </w:tcBorders>
            <w:noWrap w:val="0"/>
            <w:vAlign w:val="center"/>
          </w:tcPr>
          <w:p w14:paraId="48AA333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zh-CN"/>
              </w:rPr>
              <w:t>-</w:t>
            </w:r>
          </w:p>
        </w:tc>
      </w:tr>
      <w:tr w14:paraId="35132B1E">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2299" w:hRule="atLeast"/>
        </w:trPr>
        <w:tc>
          <w:tcPr>
            <w:tcW w:w="538" w:type="pct"/>
            <w:vMerge w:val="restart"/>
            <w:tcBorders>
              <w:top w:val="single" w:color="000000" w:sz="4" w:space="0"/>
              <w:tl2br w:val="nil"/>
              <w:tr2bl w:val="nil"/>
            </w:tcBorders>
            <w:noWrap w:val="0"/>
            <w:vAlign w:val="center"/>
          </w:tcPr>
          <w:p w14:paraId="3C325F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top"/>
          </w:tcPr>
          <w:p w14:paraId="36C209A5">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2.3主要水仓应由两个独立的巷道系统组成。最低中段水仓总容积应能容纳4h的正常涌水量；正常涌水量超过2000m³/h时，应能容纳2h的正常涌水量，且不小于8000m³。应及时清理水仓中的淤泥，水仓有效容积不小于总容积的 70%。</w:t>
            </w:r>
          </w:p>
        </w:tc>
        <w:tc>
          <w:tcPr>
            <w:tcW w:w="813" w:type="pct"/>
            <w:tcBorders>
              <w:top w:val="single" w:color="000000" w:sz="4" w:space="0"/>
              <w:bottom w:val="single" w:color="000000" w:sz="4" w:space="0"/>
            </w:tcBorders>
            <w:noWrap w:val="0"/>
            <w:vAlign w:val="top"/>
          </w:tcPr>
          <w:p w14:paraId="0F1E3D0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6583464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73917BF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0E8526D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"6.8.4.1"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6.8.4.1</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top"/>
          </w:tcPr>
          <w:p w14:paraId="27EEA61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5F32D21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7009EC1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7AB8800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top"/>
          </w:tcPr>
          <w:p w14:paraId="2B73D86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32F40E1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78382CD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p>
          <w:p w14:paraId="1A9F2B6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hint="eastAsia" w:ascii="宋体" w:hAnsi="宋体" w:eastAsia="宋体" w:cs="Times New Roman"/>
                <w:color w:val="auto"/>
                <w:spacing w:val="0"/>
                <w:position w:val="0"/>
                <w:sz w:val="21"/>
                <w:szCs w:val="21"/>
                <w:lang w:val="en-US" w:eastAsia="zh-CN"/>
              </w:rPr>
              <w:t>无关项</w:t>
            </w:r>
          </w:p>
          <w:p w14:paraId="63975E1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p>
        </w:tc>
        <w:tc>
          <w:tcPr>
            <w:tcW w:w="379" w:type="pct"/>
            <w:tcBorders>
              <w:top w:val="single" w:color="000000" w:sz="4" w:space="0"/>
              <w:bottom w:val="single" w:color="000000" w:sz="4" w:space="0"/>
            </w:tcBorders>
            <w:noWrap w:val="0"/>
            <w:vAlign w:val="top"/>
          </w:tcPr>
          <w:p w14:paraId="007C7DA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5400655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4E561F0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0CF76C3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3</w:t>
            </w:r>
          </w:p>
        </w:tc>
        <w:tc>
          <w:tcPr>
            <w:tcW w:w="416" w:type="pct"/>
            <w:tcBorders>
              <w:top w:val="single" w:color="000000" w:sz="4" w:space="0"/>
              <w:bottom w:val="single" w:color="000000" w:sz="4" w:space="0"/>
            </w:tcBorders>
            <w:noWrap w:val="0"/>
            <w:vAlign w:val="top"/>
          </w:tcPr>
          <w:p w14:paraId="3F31B64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35E0BD4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029AD59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不符合 不得分</w:t>
            </w:r>
          </w:p>
        </w:tc>
        <w:tc>
          <w:tcPr>
            <w:tcW w:w="330" w:type="pct"/>
            <w:tcBorders>
              <w:top w:val="single" w:color="000000" w:sz="4" w:space="0"/>
              <w:bottom w:val="single" w:color="000000" w:sz="4" w:space="0"/>
            </w:tcBorders>
            <w:noWrap w:val="0"/>
            <w:vAlign w:val="center"/>
          </w:tcPr>
          <w:p w14:paraId="249FF7C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w:t>
            </w:r>
          </w:p>
        </w:tc>
      </w:tr>
      <w:tr w14:paraId="24639D8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750" w:hRule="atLeast"/>
        </w:trPr>
        <w:tc>
          <w:tcPr>
            <w:tcW w:w="538" w:type="pct"/>
            <w:vMerge w:val="continue"/>
            <w:tcBorders>
              <w:tl2br w:val="nil"/>
              <w:tr2bl w:val="nil"/>
            </w:tcBorders>
            <w:noWrap w:val="0"/>
            <w:vAlign w:val="center"/>
          </w:tcPr>
          <w:p w14:paraId="0483DB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top"/>
          </w:tcPr>
          <w:p w14:paraId="42A022D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2.4井下最低中段的主水泵房出口不少于两个；一个通往中段巷道并装设防水门；另一个在水泵房地面 7m以上与安全出口连通，或者直接通达上一水平水泵房地面应至少高出水泵房入口处巷道 底板 0.5m;潜没式泵房应设两个通往中段巷道的出口。</w:t>
            </w:r>
          </w:p>
        </w:tc>
        <w:tc>
          <w:tcPr>
            <w:tcW w:w="813" w:type="pct"/>
            <w:tcBorders>
              <w:top w:val="single" w:color="000000" w:sz="4" w:space="0"/>
              <w:bottom w:val="single" w:color="000000" w:sz="4" w:space="0"/>
            </w:tcBorders>
            <w:noWrap w:val="0"/>
            <w:vAlign w:val="top"/>
          </w:tcPr>
          <w:p w14:paraId="5CC820F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16F24D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4BE2FB2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3B693E3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"6.8.4.2"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6.8.4.2</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top"/>
          </w:tcPr>
          <w:p w14:paraId="1C60847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057EE96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4C6B092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3F7A160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top"/>
          </w:tcPr>
          <w:p w14:paraId="323E0B8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603EE125">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55B72E7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220C59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hint="eastAsia" w:ascii="宋体" w:hAnsi="宋体" w:eastAsia="宋体" w:cs="Times New Roman"/>
                <w:color w:val="auto"/>
                <w:spacing w:val="0"/>
                <w:position w:val="0"/>
                <w:sz w:val="21"/>
                <w:szCs w:val="21"/>
                <w:lang w:val="en-US" w:eastAsia="zh-CN"/>
              </w:rPr>
              <w:t>无关项</w:t>
            </w:r>
          </w:p>
          <w:p w14:paraId="20CFBEAD">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p>
        </w:tc>
        <w:tc>
          <w:tcPr>
            <w:tcW w:w="379" w:type="pct"/>
            <w:tcBorders>
              <w:top w:val="single" w:color="000000" w:sz="4" w:space="0"/>
              <w:bottom w:val="single" w:color="000000" w:sz="4" w:space="0"/>
            </w:tcBorders>
            <w:noWrap w:val="0"/>
            <w:vAlign w:val="top"/>
          </w:tcPr>
          <w:p w14:paraId="7B5BD725">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1E778A6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43FE594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A69717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3</w:t>
            </w:r>
          </w:p>
        </w:tc>
        <w:tc>
          <w:tcPr>
            <w:tcW w:w="416" w:type="pct"/>
            <w:tcBorders>
              <w:top w:val="single" w:color="000000" w:sz="4" w:space="0"/>
              <w:bottom w:val="single" w:color="000000" w:sz="4" w:space="0"/>
            </w:tcBorders>
            <w:noWrap w:val="0"/>
            <w:vAlign w:val="top"/>
          </w:tcPr>
          <w:p w14:paraId="5AC0815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7F24FC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128DB1B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不符合 不得分</w:t>
            </w:r>
          </w:p>
        </w:tc>
        <w:tc>
          <w:tcPr>
            <w:tcW w:w="330" w:type="pct"/>
            <w:tcBorders>
              <w:top w:val="single" w:color="000000" w:sz="4" w:space="0"/>
              <w:bottom w:val="single" w:color="000000" w:sz="4" w:space="0"/>
            </w:tcBorders>
            <w:noWrap w:val="0"/>
            <w:vAlign w:val="center"/>
          </w:tcPr>
          <w:p w14:paraId="2ADC219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210" w:firstLineChars="100"/>
              <w:jc w:val="both"/>
              <w:textAlignment w:val="auto"/>
              <w:rPr>
                <w:rFonts w:hint="eastAsia"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w:t>
            </w:r>
          </w:p>
        </w:tc>
      </w:tr>
      <w:tr w14:paraId="4A105BB9">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2299" w:hRule="atLeast"/>
        </w:trPr>
        <w:tc>
          <w:tcPr>
            <w:tcW w:w="538" w:type="pct"/>
            <w:vMerge w:val="continue"/>
            <w:tcBorders>
              <w:bottom w:val="single" w:color="000000" w:sz="4" w:space="0"/>
              <w:tl2br w:val="nil"/>
              <w:tr2bl w:val="nil"/>
            </w:tcBorders>
            <w:noWrap w:val="0"/>
            <w:vAlign w:val="center"/>
          </w:tcPr>
          <w:p w14:paraId="1734E8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top"/>
          </w:tcPr>
          <w:p w14:paraId="6D512B5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2.5工作水泵应能在20h内 排出一昼夜正常涌水量；工作水泵和备用水泵应能在20h内排出一昼夜的设计最大排水量。备用水泵能力不小于工作水泵能力的50%;检修水泵能力不小于工作水泵能力的 25%。只设3台水泵时，水泵型号应相同。</w:t>
            </w:r>
          </w:p>
        </w:tc>
        <w:tc>
          <w:tcPr>
            <w:tcW w:w="813" w:type="pct"/>
            <w:tcBorders>
              <w:top w:val="single" w:color="000000" w:sz="4" w:space="0"/>
              <w:bottom w:val="single" w:color="000000" w:sz="4" w:space="0"/>
            </w:tcBorders>
            <w:noWrap w:val="0"/>
            <w:vAlign w:val="top"/>
          </w:tcPr>
          <w:p w14:paraId="0D3086F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00497E0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4E0E72C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《金属非金属矿山安全规程》</w:t>
            </w:r>
          </w:p>
          <w:p w14:paraId="680FA4F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第</w:t>
            </w:r>
            <w:r>
              <w:rPr>
                <w:rFonts w:ascii="宋体" w:hAnsi="宋体" w:eastAsia="宋体" w:cs="Times New Roman"/>
                <w:color w:val="auto"/>
                <w:spacing w:val="0"/>
                <w:position w:val="0"/>
                <w:sz w:val="21"/>
                <w:szCs w:val="21"/>
              </w:rPr>
              <w:fldChar w:fldCharType="begin"/>
            </w:r>
            <w:r>
              <w:rPr>
                <w:rFonts w:ascii="宋体" w:hAnsi="宋体" w:eastAsia="宋体" w:cs="Times New Roman"/>
                <w:color w:val="auto"/>
                <w:spacing w:val="0"/>
                <w:position w:val="0"/>
                <w:sz w:val="21"/>
                <w:szCs w:val="21"/>
              </w:rPr>
              <w:instrText xml:space="preserve"> HYPERLINK "6.8.4.3" </w:instrText>
            </w:r>
            <w:r>
              <w:rPr>
                <w:rFonts w:ascii="宋体" w:hAnsi="宋体" w:eastAsia="宋体" w:cs="Times New Roman"/>
                <w:color w:val="auto"/>
                <w:spacing w:val="0"/>
                <w:position w:val="0"/>
                <w:sz w:val="21"/>
                <w:szCs w:val="21"/>
              </w:rPr>
              <w:fldChar w:fldCharType="separate"/>
            </w:r>
            <w:r>
              <w:rPr>
                <w:rFonts w:ascii="宋体" w:hAnsi="宋体" w:eastAsia="宋体" w:cs="Times New Roman"/>
                <w:color w:val="auto"/>
                <w:spacing w:val="0"/>
                <w:position w:val="0"/>
                <w:sz w:val="21"/>
                <w:szCs w:val="21"/>
              </w:rPr>
              <w:t>6.8.4.3</w:t>
            </w:r>
            <w:r>
              <w:rPr>
                <w:rFonts w:ascii="宋体" w:hAnsi="宋体" w:eastAsia="宋体" w:cs="Times New Roman"/>
                <w:color w:val="auto"/>
                <w:spacing w:val="0"/>
                <w:position w:val="0"/>
                <w:sz w:val="21"/>
                <w:szCs w:val="21"/>
              </w:rPr>
              <w:fldChar w:fldCharType="end"/>
            </w:r>
            <w:r>
              <w:rPr>
                <w:rFonts w:ascii="宋体" w:hAnsi="宋体" w:eastAsia="宋体" w:cs="Times New Roman"/>
                <w:color w:val="auto"/>
                <w:spacing w:val="0"/>
                <w:position w:val="0"/>
                <w:sz w:val="21"/>
                <w:szCs w:val="21"/>
              </w:rPr>
              <w:t>条</w:t>
            </w:r>
          </w:p>
        </w:tc>
        <w:tc>
          <w:tcPr>
            <w:tcW w:w="483" w:type="pct"/>
            <w:tcBorders>
              <w:top w:val="single" w:color="000000" w:sz="4" w:space="0"/>
              <w:bottom w:val="single" w:color="000000" w:sz="4" w:space="0"/>
            </w:tcBorders>
            <w:noWrap w:val="0"/>
            <w:vAlign w:val="top"/>
          </w:tcPr>
          <w:p w14:paraId="58540BE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1DAB142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4E487AE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0A7C3F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top"/>
          </w:tcPr>
          <w:p w14:paraId="0FEAF08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54BF55B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9CBBED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3B5292B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hint="eastAsia" w:ascii="宋体" w:hAnsi="宋体" w:eastAsia="宋体" w:cs="Times New Roman"/>
                <w:color w:val="auto"/>
                <w:spacing w:val="0"/>
                <w:position w:val="0"/>
                <w:sz w:val="21"/>
                <w:szCs w:val="21"/>
                <w:lang w:val="en-US" w:eastAsia="zh-CN"/>
              </w:rPr>
              <w:t>无关项</w:t>
            </w:r>
          </w:p>
        </w:tc>
        <w:tc>
          <w:tcPr>
            <w:tcW w:w="379" w:type="pct"/>
            <w:tcBorders>
              <w:top w:val="single" w:color="000000" w:sz="4" w:space="0"/>
              <w:bottom w:val="single" w:color="000000" w:sz="4" w:space="0"/>
            </w:tcBorders>
            <w:noWrap w:val="0"/>
            <w:vAlign w:val="top"/>
          </w:tcPr>
          <w:p w14:paraId="53BD9075">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70414D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528CCAC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56DB5D74">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3</w:t>
            </w:r>
          </w:p>
        </w:tc>
        <w:tc>
          <w:tcPr>
            <w:tcW w:w="416" w:type="pct"/>
            <w:tcBorders>
              <w:top w:val="single" w:color="000000" w:sz="4" w:space="0"/>
              <w:bottom w:val="single" w:color="000000" w:sz="4" w:space="0"/>
            </w:tcBorders>
            <w:noWrap w:val="0"/>
            <w:vAlign w:val="top"/>
          </w:tcPr>
          <w:p w14:paraId="7126CD1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6A72EA3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214BE68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lang w:val="en-US" w:eastAsia="en-US"/>
              </w:rPr>
            </w:pPr>
            <w:r>
              <w:rPr>
                <w:rFonts w:ascii="宋体" w:hAnsi="宋体" w:eastAsia="宋体" w:cs="Times New Roman"/>
                <w:color w:val="auto"/>
                <w:spacing w:val="0"/>
                <w:position w:val="0"/>
                <w:sz w:val="21"/>
                <w:szCs w:val="21"/>
              </w:rPr>
              <w:t>不符合 不得分</w:t>
            </w:r>
          </w:p>
        </w:tc>
        <w:tc>
          <w:tcPr>
            <w:tcW w:w="330" w:type="pct"/>
            <w:tcBorders>
              <w:top w:val="single" w:color="000000" w:sz="4" w:space="0"/>
              <w:bottom w:val="single" w:color="000000" w:sz="4" w:space="0"/>
            </w:tcBorders>
            <w:noWrap w:val="0"/>
            <w:vAlign w:val="center"/>
          </w:tcPr>
          <w:p w14:paraId="147DB34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w:t>
            </w:r>
          </w:p>
        </w:tc>
      </w:tr>
      <w:tr w14:paraId="3673D51D">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020" w:hRule="atLeast"/>
        </w:trPr>
        <w:tc>
          <w:tcPr>
            <w:tcW w:w="538" w:type="pct"/>
            <w:vMerge w:val="restart"/>
            <w:tcBorders>
              <w:top w:val="single" w:color="000000" w:sz="4" w:space="0"/>
              <w:tl2br w:val="nil"/>
              <w:tr2bl w:val="nil"/>
            </w:tcBorders>
            <w:noWrap w:val="0"/>
            <w:vAlign w:val="center"/>
          </w:tcPr>
          <w:p w14:paraId="06FB1D0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3</w:t>
            </w:r>
            <w:r>
              <w:rPr>
                <w:rFonts w:hint="eastAsia" w:ascii="宋体" w:hAnsi="宋体" w:eastAsia="宋体" w:cs="Times New Roman"/>
                <w:color w:val="auto"/>
                <w:spacing w:val="0"/>
                <w:position w:val="0"/>
                <w:sz w:val="21"/>
                <w:szCs w:val="21"/>
                <w:lang w:val="en-US" w:eastAsia="zh-CN"/>
              </w:rPr>
              <w:t>.</w:t>
            </w:r>
            <w:r>
              <w:rPr>
                <w:rFonts w:ascii="宋体" w:hAnsi="宋体" w:eastAsia="宋体" w:cs="Times New Roman"/>
                <w:color w:val="auto"/>
                <w:spacing w:val="0"/>
                <w:position w:val="0"/>
                <w:sz w:val="21"/>
                <w:szCs w:val="21"/>
              </w:rPr>
              <w:t>防雷电</w:t>
            </w:r>
          </w:p>
          <w:p w14:paraId="0CE1F0A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8分</w:t>
            </w:r>
          </w:p>
          <w:p w14:paraId="546F110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43B01FE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7D89C53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32985AF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p w14:paraId="61D40DD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4A56245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3.1地面高大建筑、井上高压架空线路及变电所、炸药库等应设置可靠的避雷装置。</w:t>
            </w:r>
          </w:p>
        </w:tc>
        <w:tc>
          <w:tcPr>
            <w:tcW w:w="813" w:type="pct"/>
            <w:tcBorders>
              <w:top w:val="single" w:color="000000" w:sz="4" w:space="0"/>
              <w:bottom w:val="single" w:color="000000" w:sz="4" w:space="0"/>
            </w:tcBorders>
            <w:noWrap w:val="0"/>
            <w:vAlign w:val="center"/>
          </w:tcPr>
          <w:p w14:paraId="6BABF3D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《矿山电力设计标准》</w:t>
            </w:r>
          </w:p>
        </w:tc>
        <w:tc>
          <w:tcPr>
            <w:tcW w:w="483" w:type="pct"/>
            <w:tcBorders>
              <w:top w:val="single" w:color="000000" w:sz="4" w:space="0"/>
              <w:bottom w:val="single" w:color="000000" w:sz="4" w:space="0"/>
            </w:tcBorders>
            <w:noWrap w:val="0"/>
            <w:vAlign w:val="center"/>
          </w:tcPr>
          <w:p w14:paraId="16376E5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查现场</w:t>
            </w:r>
          </w:p>
        </w:tc>
        <w:tc>
          <w:tcPr>
            <w:tcW w:w="414" w:type="pct"/>
            <w:tcBorders>
              <w:top w:val="single" w:color="000000" w:sz="4" w:space="0"/>
              <w:bottom w:val="single" w:color="000000" w:sz="4" w:space="0"/>
            </w:tcBorders>
            <w:noWrap w:val="0"/>
            <w:vAlign w:val="center"/>
          </w:tcPr>
          <w:p w14:paraId="704B627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符合</w:t>
            </w:r>
          </w:p>
        </w:tc>
        <w:tc>
          <w:tcPr>
            <w:tcW w:w="379" w:type="pct"/>
            <w:tcBorders>
              <w:top w:val="single" w:color="000000" w:sz="4" w:space="0"/>
              <w:bottom w:val="single" w:color="000000" w:sz="4" w:space="0"/>
            </w:tcBorders>
            <w:noWrap w:val="0"/>
            <w:vAlign w:val="center"/>
          </w:tcPr>
          <w:p w14:paraId="529A5781">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zh-CN"/>
              </w:rPr>
              <w:t>3</w:t>
            </w:r>
          </w:p>
        </w:tc>
        <w:tc>
          <w:tcPr>
            <w:tcW w:w="416" w:type="pct"/>
            <w:tcBorders>
              <w:top w:val="single" w:color="000000" w:sz="4" w:space="0"/>
              <w:bottom w:val="single" w:color="000000" w:sz="4" w:space="0"/>
            </w:tcBorders>
            <w:noWrap w:val="0"/>
            <w:vAlign w:val="center"/>
          </w:tcPr>
          <w:p w14:paraId="69E1A94E">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en-US"/>
              </w:rPr>
            </w:pPr>
            <w:r>
              <w:rPr>
                <w:rFonts w:hint="eastAsia" w:ascii="宋体" w:hAnsi="宋体" w:eastAsia="宋体" w:cs="Times New Roman"/>
                <w:color w:val="auto"/>
                <w:spacing w:val="0"/>
                <w:position w:val="0"/>
                <w:sz w:val="21"/>
                <w:szCs w:val="21"/>
                <w:lang w:val="en-US" w:eastAsia="en-US"/>
              </w:rPr>
              <w:t>不符合</w:t>
            </w:r>
          </w:p>
          <w:p w14:paraId="4AFD2D2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不得分</w:t>
            </w:r>
          </w:p>
        </w:tc>
        <w:tc>
          <w:tcPr>
            <w:tcW w:w="330" w:type="pct"/>
            <w:tcBorders>
              <w:top w:val="single" w:color="000000" w:sz="4" w:space="0"/>
              <w:bottom w:val="single" w:color="000000" w:sz="4" w:space="0"/>
            </w:tcBorders>
            <w:noWrap w:val="0"/>
            <w:vAlign w:val="center"/>
          </w:tcPr>
          <w:p w14:paraId="5C37AEEA">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3</w:t>
            </w:r>
          </w:p>
        </w:tc>
      </w:tr>
      <w:tr w14:paraId="1F4A00D1">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580" w:hRule="atLeast"/>
        </w:trPr>
        <w:tc>
          <w:tcPr>
            <w:tcW w:w="538" w:type="pct"/>
            <w:vMerge w:val="continue"/>
            <w:tcBorders>
              <w:bottom w:val="single" w:color="000000" w:sz="4" w:space="0"/>
              <w:tl2br w:val="nil"/>
              <w:tr2bl w:val="nil"/>
            </w:tcBorders>
            <w:noWrap w:val="0"/>
            <w:vAlign w:val="center"/>
          </w:tcPr>
          <w:p w14:paraId="71102BC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2C95E58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3.2用架空线往井下中央变配电所送电时，在井口线路终端及井下变配电所一次母线侧都应设避雷装置。</w:t>
            </w:r>
          </w:p>
        </w:tc>
        <w:tc>
          <w:tcPr>
            <w:tcW w:w="813" w:type="pct"/>
            <w:tcBorders>
              <w:top w:val="single" w:color="000000" w:sz="4" w:space="0"/>
              <w:bottom w:val="single" w:color="000000" w:sz="4" w:space="0"/>
            </w:tcBorders>
            <w:noWrap w:val="0"/>
            <w:vAlign w:val="center"/>
          </w:tcPr>
          <w:p w14:paraId="1B610F4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《金属非金属矿山安全规》第6.7.1.5条</w:t>
            </w:r>
          </w:p>
        </w:tc>
        <w:tc>
          <w:tcPr>
            <w:tcW w:w="483" w:type="pct"/>
            <w:tcBorders>
              <w:top w:val="single" w:color="000000" w:sz="4" w:space="0"/>
              <w:bottom w:val="single" w:color="000000" w:sz="4" w:space="0"/>
            </w:tcBorders>
            <w:noWrap w:val="0"/>
            <w:vAlign w:val="center"/>
          </w:tcPr>
          <w:p w14:paraId="6B15985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查现场</w:t>
            </w:r>
          </w:p>
        </w:tc>
        <w:tc>
          <w:tcPr>
            <w:tcW w:w="414" w:type="pct"/>
            <w:tcBorders>
              <w:top w:val="single" w:color="000000" w:sz="4" w:space="0"/>
              <w:bottom w:val="single" w:color="000000" w:sz="4" w:space="0"/>
            </w:tcBorders>
            <w:noWrap w:val="0"/>
            <w:vAlign w:val="center"/>
          </w:tcPr>
          <w:p w14:paraId="5581642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符合</w:t>
            </w:r>
          </w:p>
        </w:tc>
        <w:tc>
          <w:tcPr>
            <w:tcW w:w="379" w:type="pct"/>
            <w:tcBorders>
              <w:top w:val="single" w:color="000000" w:sz="4" w:space="0"/>
              <w:bottom w:val="single" w:color="000000" w:sz="4" w:space="0"/>
            </w:tcBorders>
            <w:noWrap w:val="0"/>
            <w:vAlign w:val="center"/>
          </w:tcPr>
          <w:p w14:paraId="6C4951D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4</w:t>
            </w:r>
          </w:p>
        </w:tc>
        <w:tc>
          <w:tcPr>
            <w:tcW w:w="416" w:type="pct"/>
            <w:tcBorders>
              <w:top w:val="single" w:color="000000" w:sz="4" w:space="0"/>
              <w:bottom w:val="single" w:color="000000" w:sz="4" w:space="0"/>
            </w:tcBorders>
            <w:noWrap w:val="0"/>
            <w:vAlign w:val="center"/>
          </w:tcPr>
          <w:p w14:paraId="702CA947">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en-US"/>
              </w:rPr>
            </w:pPr>
            <w:r>
              <w:rPr>
                <w:rFonts w:hint="eastAsia" w:ascii="宋体" w:hAnsi="宋体" w:eastAsia="宋体" w:cs="Times New Roman"/>
                <w:color w:val="auto"/>
                <w:spacing w:val="0"/>
                <w:position w:val="0"/>
                <w:sz w:val="21"/>
                <w:szCs w:val="21"/>
                <w:lang w:val="en-US" w:eastAsia="en-US"/>
              </w:rPr>
              <w:t>不符合</w:t>
            </w:r>
          </w:p>
          <w:p w14:paraId="3E5A148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不得分</w:t>
            </w:r>
          </w:p>
        </w:tc>
        <w:tc>
          <w:tcPr>
            <w:tcW w:w="330" w:type="pct"/>
            <w:tcBorders>
              <w:top w:val="single" w:color="000000" w:sz="4" w:space="0"/>
              <w:bottom w:val="single" w:color="000000" w:sz="4" w:space="0"/>
            </w:tcBorders>
            <w:noWrap w:val="0"/>
            <w:vAlign w:val="center"/>
          </w:tcPr>
          <w:p w14:paraId="363F7F09">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4</w:t>
            </w:r>
          </w:p>
        </w:tc>
      </w:tr>
      <w:tr w14:paraId="7B27C0EC">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1020" w:hRule="atLeast"/>
        </w:trPr>
        <w:tc>
          <w:tcPr>
            <w:tcW w:w="538" w:type="pct"/>
            <w:vMerge w:val="restart"/>
            <w:tcBorders>
              <w:top w:val="single" w:color="000000" w:sz="4" w:space="0"/>
              <w:tl2br w:val="nil"/>
              <w:tr2bl w:val="nil"/>
            </w:tcBorders>
            <w:noWrap w:val="0"/>
            <w:vAlign w:val="center"/>
          </w:tcPr>
          <w:p w14:paraId="661D9186">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ascii="宋体" w:hAnsi="宋体" w:eastAsia="宋体" w:cs="Times New Roman"/>
                <w:color w:val="auto"/>
                <w:spacing w:val="0"/>
                <w:position w:val="0"/>
                <w:sz w:val="21"/>
                <w:szCs w:val="21"/>
              </w:rPr>
              <w:t>4</w:t>
            </w:r>
            <w:r>
              <w:rPr>
                <w:rFonts w:hint="eastAsia" w:ascii="宋体" w:hAnsi="宋体" w:eastAsia="宋体" w:cs="Times New Roman"/>
                <w:color w:val="auto"/>
                <w:spacing w:val="0"/>
                <w:position w:val="0"/>
                <w:sz w:val="21"/>
                <w:szCs w:val="21"/>
                <w:lang w:val="en-US" w:eastAsia="zh-CN"/>
              </w:rPr>
              <w:t>.</w:t>
            </w:r>
            <w:r>
              <w:rPr>
                <w:rFonts w:ascii="宋体" w:hAnsi="宋体" w:eastAsia="宋体" w:cs="Times New Roman"/>
                <w:color w:val="auto"/>
                <w:spacing w:val="0"/>
                <w:position w:val="0"/>
                <w:sz w:val="21"/>
                <w:szCs w:val="21"/>
              </w:rPr>
              <w:t>检测</w:t>
            </w:r>
            <w:r>
              <w:rPr>
                <w:rFonts w:hint="eastAsia" w:ascii="宋体" w:hAnsi="宋体" w:eastAsia="宋体" w:cs="Times New Roman"/>
                <w:color w:val="auto"/>
                <w:spacing w:val="0"/>
                <w:position w:val="0"/>
                <w:sz w:val="21"/>
                <w:szCs w:val="21"/>
                <w:lang w:val="en-US" w:eastAsia="zh-CN"/>
              </w:rPr>
              <w:t>报告</w:t>
            </w:r>
          </w:p>
          <w:p w14:paraId="7EACBB13">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ascii="宋体" w:hAnsi="宋体" w:eastAsia="宋体" w:cs="Times New Roman"/>
                <w:color w:val="auto"/>
                <w:spacing w:val="0"/>
                <w:position w:val="0"/>
                <w:sz w:val="21"/>
                <w:szCs w:val="21"/>
              </w:rPr>
            </w:pPr>
            <w:r>
              <w:rPr>
                <w:rFonts w:ascii="宋体" w:hAnsi="宋体" w:eastAsia="宋体" w:cs="Times New Roman"/>
                <w:color w:val="auto"/>
                <w:spacing w:val="0"/>
                <w:position w:val="0"/>
                <w:sz w:val="21"/>
                <w:szCs w:val="21"/>
              </w:rPr>
              <w:t>8分</w:t>
            </w:r>
          </w:p>
        </w:tc>
        <w:tc>
          <w:tcPr>
            <w:tcW w:w="1623" w:type="pct"/>
            <w:tcBorders>
              <w:top w:val="single" w:color="000000" w:sz="4" w:space="0"/>
              <w:bottom w:val="single" w:color="000000" w:sz="4" w:space="0"/>
              <w:tl2br w:val="nil"/>
              <w:tr2bl w:val="nil"/>
            </w:tcBorders>
            <w:noWrap w:val="0"/>
            <w:vAlign w:val="center"/>
          </w:tcPr>
          <w:p w14:paraId="4BCAC28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4.1排水系统有检测合格的报告</w:t>
            </w:r>
          </w:p>
        </w:tc>
        <w:tc>
          <w:tcPr>
            <w:tcW w:w="813" w:type="pct"/>
            <w:tcBorders>
              <w:top w:val="single" w:color="000000" w:sz="4" w:space="0"/>
              <w:bottom w:val="single" w:color="000000" w:sz="4" w:space="0"/>
              <w:tl2br w:val="nil"/>
              <w:tr2bl w:val="nil"/>
            </w:tcBorders>
            <w:noWrap w:val="0"/>
            <w:vAlign w:val="center"/>
          </w:tcPr>
          <w:p w14:paraId="3F5CBAB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查文本资料</w:t>
            </w:r>
          </w:p>
        </w:tc>
        <w:tc>
          <w:tcPr>
            <w:tcW w:w="483" w:type="pct"/>
            <w:tcBorders>
              <w:top w:val="single" w:color="000000" w:sz="4" w:space="0"/>
              <w:bottom w:val="single" w:color="000000" w:sz="4" w:space="0"/>
              <w:tl2br w:val="nil"/>
              <w:tr2bl w:val="nil"/>
            </w:tcBorders>
            <w:noWrap w:val="0"/>
            <w:vAlign w:val="center"/>
          </w:tcPr>
          <w:p w14:paraId="6B56F8E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查文本</w:t>
            </w:r>
          </w:p>
        </w:tc>
        <w:tc>
          <w:tcPr>
            <w:tcW w:w="414" w:type="pct"/>
            <w:tcBorders>
              <w:top w:val="single" w:color="000000" w:sz="4" w:space="0"/>
              <w:bottom w:val="single" w:color="000000" w:sz="4" w:space="0"/>
              <w:tl2br w:val="nil"/>
              <w:tr2bl w:val="nil"/>
            </w:tcBorders>
            <w:noWrap w:val="0"/>
            <w:vAlign w:val="center"/>
          </w:tcPr>
          <w:p w14:paraId="6F7F24D8">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无关项</w:t>
            </w:r>
          </w:p>
        </w:tc>
        <w:tc>
          <w:tcPr>
            <w:tcW w:w="379" w:type="pct"/>
            <w:tcBorders>
              <w:top w:val="single" w:color="000000" w:sz="4" w:space="0"/>
              <w:bottom w:val="single" w:color="000000" w:sz="4" w:space="0"/>
              <w:tl2br w:val="nil"/>
              <w:tr2bl w:val="nil"/>
            </w:tcBorders>
            <w:noWrap w:val="0"/>
            <w:vAlign w:val="center"/>
          </w:tcPr>
          <w:p w14:paraId="119BAEDB">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zh-CN"/>
              </w:rPr>
              <w:t>4</w:t>
            </w:r>
          </w:p>
        </w:tc>
        <w:tc>
          <w:tcPr>
            <w:tcW w:w="416" w:type="pct"/>
            <w:tcBorders>
              <w:top w:val="single" w:color="000000" w:sz="4" w:space="0"/>
              <w:bottom w:val="single" w:color="000000" w:sz="4" w:space="0"/>
              <w:tl2br w:val="nil"/>
              <w:tr2bl w:val="nil"/>
            </w:tcBorders>
            <w:noWrap w:val="0"/>
            <w:vAlign w:val="center"/>
          </w:tcPr>
          <w:p w14:paraId="1EC40A4C">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en-US"/>
              </w:rPr>
            </w:pPr>
            <w:r>
              <w:rPr>
                <w:rFonts w:hint="eastAsia" w:ascii="宋体" w:hAnsi="宋体" w:eastAsia="宋体" w:cs="Times New Roman"/>
                <w:color w:val="auto"/>
                <w:spacing w:val="0"/>
                <w:position w:val="0"/>
                <w:sz w:val="21"/>
                <w:szCs w:val="21"/>
                <w:lang w:val="en-US" w:eastAsia="en-US"/>
              </w:rPr>
              <w:t>不符合</w:t>
            </w:r>
          </w:p>
          <w:p w14:paraId="0008D90F">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ascii="宋体" w:hAnsi="宋体" w:eastAsia="宋体" w:cs="Times New Roman"/>
                <w:color w:val="auto"/>
                <w:spacing w:val="0"/>
                <w:position w:val="0"/>
                <w:sz w:val="21"/>
                <w:szCs w:val="21"/>
                <w:lang w:val="en-US" w:eastAsia="en-US"/>
              </w:rPr>
              <w:t>不得分</w:t>
            </w:r>
          </w:p>
        </w:tc>
        <w:tc>
          <w:tcPr>
            <w:tcW w:w="330" w:type="pct"/>
            <w:tcBorders>
              <w:top w:val="single" w:color="000000" w:sz="4" w:space="0"/>
              <w:bottom w:val="single" w:color="000000" w:sz="4" w:space="0"/>
              <w:tl2br w:val="nil"/>
              <w:tr2bl w:val="nil"/>
            </w:tcBorders>
            <w:noWrap w:val="0"/>
            <w:vAlign w:val="center"/>
          </w:tcPr>
          <w:p w14:paraId="6FBCE892">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position w:val="0"/>
                <w:sz w:val="21"/>
                <w:szCs w:val="21"/>
                <w:lang w:val="en-US" w:eastAsia="zh-CN"/>
              </w:rPr>
            </w:pPr>
            <w:r>
              <w:rPr>
                <w:rFonts w:hint="eastAsia" w:cs="Times New Roman"/>
                <w:color w:val="auto"/>
                <w:spacing w:val="0"/>
                <w:position w:val="0"/>
                <w:sz w:val="21"/>
                <w:szCs w:val="21"/>
                <w:lang w:val="en-US" w:eastAsia="zh-CN"/>
              </w:rPr>
              <w:t>-</w:t>
            </w:r>
          </w:p>
        </w:tc>
      </w:tr>
      <w:tr w14:paraId="4D8EEE7C">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748" w:hRule="atLeast"/>
        </w:trPr>
        <w:tc>
          <w:tcPr>
            <w:tcW w:w="538" w:type="pct"/>
            <w:vMerge w:val="continue"/>
            <w:tcBorders>
              <w:bottom w:val="single" w:color="000000" w:sz="4" w:space="0"/>
              <w:tl2br w:val="nil"/>
              <w:tr2bl w:val="nil"/>
            </w:tcBorders>
            <w:noWrap w:val="0"/>
            <w:vAlign w:val="center"/>
          </w:tcPr>
          <w:p w14:paraId="2AB336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Arial"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3970631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en-US" w:bidi="ar-SA"/>
              </w:rPr>
              <w:t>4.2避雷装置有检测合格的报告</w:t>
            </w:r>
          </w:p>
        </w:tc>
        <w:tc>
          <w:tcPr>
            <w:tcW w:w="813" w:type="pct"/>
            <w:tcBorders>
              <w:top w:val="single" w:color="000000" w:sz="4" w:space="0"/>
              <w:bottom w:val="single" w:color="000000" w:sz="4" w:space="0"/>
            </w:tcBorders>
            <w:noWrap w:val="0"/>
            <w:vAlign w:val="center"/>
          </w:tcPr>
          <w:p w14:paraId="0C65D4B8">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en-US" w:bidi="ar-SA"/>
              </w:rPr>
              <w:t>查文本资料</w:t>
            </w:r>
          </w:p>
        </w:tc>
        <w:tc>
          <w:tcPr>
            <w:tcW w:w="483" w:type="pct"/>
            <w:tcBorders>
              <w:top w:val="single" w:color="000000" w:sz="4" w:space="0"/>
              <w:bottom w:val="single" w:color="000000" w:sz="4" w:space="0"/>
            </w:tcBorders>
            <w:noWrap w:val="0"/>
            <w:vAlign w:val="center"/>
          </w:tcPr>
          <w:p w14:paraId="78ACD83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en-US" w:bidi="ar-SA"/>
              </w:rPr>
              <w:t>查文本</w:t>
            </w:r>
          </w:p>
        </w:tc>
        <w:tc>
          <w:tcPr>
            <w:tcW w:w="414" w:type="pct"/>
            <w:tcBorders>
              <w:top w:val="single" w:color="000000" w:sz="4" w:space="0"/>
              <w:bottom w:val="single" w:color="000000" w:sz="4" w:space="0"/>
            </w:tcBorders>
            <w:noWrap w:val="0"/>
            <w:vAlign w:val="center"/>
          </w:tcPr>
          <w:p w14:paraId="505434F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en-US" w:bidi="ar-SA"/>
              </w:rPr>
              <w:t>符合</w:t>
            </w:r>
          </w:p>
        </w:tc>
        <w:tc>
          <w:tcPr>
            <w:tcW w:w="379" w:type="pct"/>
            <w:tcBorders>
              <w:top w:val="single" w:color="000000" w:sz="4" w:space="0"/>
              <w:bottom w:val="single" w:color="000000" w:sz="4" w:space="0"/>
            </w:tcBorders>
            <w:noWrap w:val="0"/>
            <w:vAlign w:val="center"/>
          </w:tcPr>
          <w:p w14:paraId="082257B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zh-CN" w:bidi="ar-SA"/>
              </w:rPr>
              <w:t>4</w:t>
            </w:r>
          </w:p>
        </w:tc>
        <w:tc>
          <w:tcPr>
            <w:tcW w:w="416" w:type="pct"/>
            <w:tcBorders>
              <w:top w:val="single" w:color="000000" w:sz="4" w:space="0"/>
              <w:bottom w:val="single" w:color="000000" w:sz="4" w:space="0"/>
            </w:tcBorders>
            <w:noWrap w:val="0"/>
            <w:vAlign w:val="center"/>
          </w:tcPr>
          <w:p w14:paraId="784AFA0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en-US" w:bidi="ar-SA"/>
              </w:rPr>
            </w:pPr>
            <w:r>
              <w:rPr>
                <w:rFonts w:hint="eastAsia" w:ascii="宋体" w:hAnsi="宋体" w:eastAsia="宋体" w:cs="Times New Roman"/>
                <w:color w:val="auto"/>
                <w:spacing w:val="0"/>
                <w:kern w:val="2"/>
                <w:position w:val="0"/>
                <w:sz w:val="21"/>
                <w:szCs w:val="21"/>
                <w:lang w:val="en-US" w:eastAsia="en-US" w:bidi="ar-SA"/>
              </w:rPr>
              <w:t>不符合</w:t>
            </w:r>
          </w:p>
          <w:p w14:paraId="2EAE7710">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en-US" w:bidi="ar-SA"/>
              </w:rPr>
              <w:t>不得分</w:t>
            </w:r>
          </w:p>
        </w:tc>
        <w:tc>
          <w:tcPr>
            <w:tcW w:w="330" w:type="pct"/>
            <w:tcBorders>
              <w:top w:val="single" w:color="000000" w:sz="4" w:space="0"/>
              <w:bottom w:val="single" w:color="000000" w:sz="4" w:space="0"/>
            </w:tcBorders>
            <w:noWrap w:val="0"/>
            <w:vAlign w:val="center"/>
          </w:tcPr>
          <w:p w14:paraId="445F7F6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zh-CN" w:bidi="ar-SA"/>
              </w:rPr>
              <w:t>4</w:t>
            </w:r>
          </w:p>
        </w:tc>
      </w:tr>
      <w:tr w14:paraId="2358C7B2">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34" w:hRule="atLeast"/>
        </w:trPr>
        <w:tc>
          <w:tcPr>
            <w:tcW w:w="538" w:type="pct"/>
            <w:tcBorders>
              <w:top w:val="single" w:color="000000" w:sz="4" w:space="0"/>
            </w:tcBorders>
            <w:noWrap w:val="0"/>
            <w:vAlign w:val="center"/>
          </w:tcPr>
          <w:p w14:paraId="6664EB50">
            <w:pPr>
              <w:pStyle w:val="41"/>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rPr>
                <w:rFonts w:ascii="Arial" w:eastAsia="宋体" w:cs="Times New Roman"/>
                <w:color w:val="auto"/>
                <w:spacing w:val="0"/>
                <w:position w:val="0"/>
                <w:sz w:val="21"/>
                <w:szCs w:val="21"/>
              </w:rPr>
            </w:pPr>
            <w:r>
              <w:rPr>
                <w:rFonts w:eastAsia="宋体" w:cs="Times New Roman"/>
                <w:color w:val="auto"/>
                <w:spacing w:val="0"/>
                <w:position w:val="0"/>
                <w:sz w:val="21"/>
                <w:szCs w:val="21"/>
              </w:rPr>
              <w:t>小计</w:t>
            </w:r>
          </w:p>
        </w:tc>
        <w:tc>
          <w:tcPr>
            <w:tcW w:w="1623" w:type="pct"/>
            <w:tcBorders>
              <w:top w:val="single" w:color="000000" w:sz="4" w:space="0"/>
            </w:tcBorders>
            <w:noWrap w:val="0"/>
            <w:vAlign w:val="center"/>
          </w:tcPr>
          <w:p w14:paraId="6B48CCD7">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r>
              <w:rPr>
                <w:rFonts w:hint="eastAsia" w:ascii="宋体" w:hAnsi="宋体" w:eastAsia="宋体" w:cs="Times New Roman"/>
                <w:color w:val="auto"/>
                <w:spacing w:val="0"/>
                <w:kern w:val="2"/>
                <w:position w:val="0"/>
                <w:sz w:val="21"/>
                <w:szCs w:val="21"/>
                <w:lang w:val="en-US" w:eastAsia="en-US" w:bidi="ar-SA"/>
              </w:rPr>
              <w:t>40分</w:t>
            </w:r>
          </w:p>
        </w:tc>
        <w:tc>
          <w:tcPr>
            <w:tcW w:w="813" w:type="pct"/>
            <w:tcBorders>
              <w:top w:val="single" w:color="000000" w:sz="4" w:space="0"/>
            </w:tcBorders>
            <w:noWrap w:val="0"/>
            <w:vAlign w:val="center"/>
          </w:tcPr>
          <w:p w14:paraId="38B37EA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p>
        </w:tc>
        <w:tc>
          <w:tcPr>
            <w:tcW w:w="483" w:type="pct"/>
            <w:tcBorders>
              <w:top w:val="single" w:color="000000" w:sz="4" w:space="0"/>
            </w:tcBorders>
            <w:noWrap w:val="0"/>
            <w:vAlign w:val="center"/>
          </w:tcPr>
          <w:p w14:paraId="20EC7C5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p>
        </w:tc>
        <w:tc>
          <w:tcPr>
            <w:tcW w:w="414" w:type="pct"/>
            <w:tcBorders>
              <w:top w:val="single" w:color="000000" w:sz="4" w:space="0"/>
            </w:tcBorders>
            <w:noWrap w:val="0"/>
            <w:vAlign w:val="center"/>
          </w:tcPr>
          <w:p w14:paraId="4124A702">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p>
        </w:tc>
        <w:tc>
          <w:tcPr>
            <w:tcW w:w="379" w:type="pct"/>
            <w:tcBorders>
              <w:top w:val="single" w:color="000000" w:sz="4" w:space="0"/>
            </w:tcBorders>
            <w:noWrap w:val="0"/>
            <w:vAlign w:val="center"/>
          </w:tcPr>
          <w:p w14:paraId="0A854535">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宋体" w:hAnsi="宋体" w:eastAsia="宋体" w:cs="Times New Roman"/>
                <w:color w:val="auto"/>
                <w:spacing w:val="0"/>
                <w:kern w:val="2"/>
                <w:position w:val="0"/>
                <w:sz w:val="21"/>
                <w:szCs w:val="21"/>
                <w:lang w:val="en-US" w:eastAsia="zh-CN" w:bidi="ar-SA"/>
              </w:rPr>
            </w:pPr>
            <w:r>
              <w:rPr>
                <w:rFonts w:hint="eastAsia" w:cs="Times New Roman"/>
                <w:color w:val="auto"/>
                <w:spacing w:val="0"/>
                <w:kern w:val="2"/>
                <w:position w:val="0"/>
                <w:sz w:val="21"/>
                <w:szCs w:val="21"/>
                <w:lang w:val="en-US" w:eastAsia="zh-CN" w:bidi="ar-SA"/>
              </w:rPr>
              <w:t>21</w:t>
            </w:r>
          </w:p>
        </w:tc>
        <w:tc>
          <w:tcPr>
            <w:tcW w:w="416" w:type="pct"/>
            <w:tcBorders>
              <w:top w:val="single" w:color="000000" w:sz="4" w:space="0"/>
            </w:tcBorders>
            <w:noWrap w:val="0"/>
            <w:vAlign w:val="center"/>
          </w:tcPr>
          <w:p w14:paraId="57F9E98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宋体" w:hAnsi="宋体" w:eastAsia="宋体" w:cs="Times New Roman"/>
                <w:color w:val="auto"/>
                <w:spacing w:val="0"/>
                <w:kern w:val="2"/>
                <w:position w:val="0"/>
                <w:sz w:val="21"/>
                <w:szCs w:val="21"/>
                <w:lang w:val="en-US" w:eastAsia="zh-CN" w:bidi="ar-SA"/>
              </w:rPr>
            </w:pPr>
          </w:p>
        </w:tc>
        <w:tc>
          <w:tcPr>
            <w:tcW w:w="330" w:type="pct"/>
            <w:tcBorders>
              <w:top w:val="single" w:color="000000" w:sz="4" w:space="0"/>
            </w:tcBorders>
            <w:noWrap w:val="0"/>
            <w:vAlign w:val="center"/>
          </w:tcPr>
          <w:p w14:paraId="797EC22E">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宋体" w:hAnsi="宋体" w:eastAsia="宋体" w:cs="Times New Roman"/>
                <w:color w:val="auto"/>
                <w:spacing w:val="0"/>
                <w:kern w:val="2"/>
                <w:position w:val="0"/>
                <w:sz w:val="21"/>
                <w:szCs w:val="21"/>
                <w:lang w:val="en-US" w:eastAsia="zh-CN" w:bidi="ar-SA"/>
              </w:rPr>
            </w:pPr>
            <w:r>
              <w:rPr>
                <w:rFonts w:hint="eastAsia" w:cs="Times New Roman"/>
                <w:color w:val="auto"/>
                <w:spacing w:val="0"/>
                <w:kern w:val="2"/>
                <w:position w:val="0"/>
                <w:sz w:val="21"/>
                <w:szCs w:val="21"/>
                <w:lang w:val="en-US" w:eastAsia="zh-CN" w:bidi="ar-SA"/>
              </w:rPr>
              <w:t>19</w:t>
            </w:r>
          </w:p>
        </w:tc>
      </w:tr>
    </w:tbl>
    <w:p w14:paraId="7A6C2409">
      <w:pPr>
        <w:pStyle w:val="5"/>
        <w:bidi w:val="0"/>
        <w:rPr>
          <w:rFonts w:hint="eastAsia"/>
          <w:color w:val="auto"/>
          <w:lang w:val="en-US" w:eastAsia="zh-CN"/>
        </w:rPr>
      </w:pPr>
      <w:bookmarkStart w:id="899" w:name="_Toc26489"/>
      <w:bookmarkStart w:id="900" w:name="_Toc32434"/>
      <w:bookmarkStart w:id="901" w:name="_Toc16264"/>
      <w:bookmarkStart w:id="902" w:name="_Toc5189"/>
      <w:r>
        <w:rPr>
          <w:rFonts w:hint="eastAsia"/>
          <w:color w:val="auto"/>
          <w:lang w:val="en-US" w:eastAsia="zh-CN"/>
        </w:rPr>
        <w:t>5.7.2 单元评价小结</w:t>
      </w:r>
      <w:bookmarkEnd w:id="899"/>
      <w:bookmarkEnd w:id="900"/>
      <w:bookmarkEnd w:id="901"/>
      <w:bookmarkEnd w:id="902"/>
    </w:p>
    <w:p w14:paraId="5739AAA1">
      <w:pPr>
        <w:bidi w:val="0"/>
        <w:rPr>
          <w:rFonts w:hint="eastAsia"/>
          <w:color w:val="auto"/>
          <w:lang w:val="en-US" w:eastAsia="zh-CN"/>
        </w:rPr>
      </w:pPr>
      <w:r>
        <w:rPr>
          <w:rFonts w:hint="eastAsia"/>
          <w:color w:val="auto"/>
          <w:lang w:val="en-US" w:eastAsia="zh-CN"/>
        </w:rPr>
        <w:t>矿山采用平硐自流方式排水，硐口选址高于历史最高水位。高大建筑物及高压架空线、变电所、民用民用爆破物品储存库等设有避雷装置。</w:t>
      </w:r>
    </w:p>
    <w:p w14:paraId="55948A0A">
      <w:pPr>
        <w:bidi w:val="0"/>
        <w:rPr>
          <w:rFonts w:hint="eastAsia"/>
          <w:color w:val="auto"/>
          <w:lang w:val="en-US" w:eastAsia="zh-CN"/>
        </w:rPr>
      </w:pPr>
      <w:r>
        <w:rPr>
          <w:rFonts w:hint="eastAsia"/>
          <w:color w:val="auto"/>
          <w:lang w:val="en-US" w:eastAsia="zh-CN"/>
        </w:rPr>
        <w:t>运用安全检查表对防排水系统和防雷电设施进行评价，防排水及防雷电单元总分40分，无关项19分，应得分21分，扣分2分，实得分19分，得分率为90.48%，防排水及防雷电单元符合安全要求。</w:t>
      </w:r>
    </w:p>
    <w:p w14:paraId="07FA5074">
      <w:pPr>
        <w:bidi w:val="0"/>
        <w:rPr>
          <w:rFonts w:hint="eastAsia"/>
          <w:color w:val="auto"/>
          <w:lang w:val="en-US" w:eastAsia="zh-CN"/>
        </w:rPr>
      </w:pPr>
      <w:r>
        <w:rPr>
          <w:rFonts w:hint="eastAsia"/>
          <w:color w:val="auto"/>
          <w:lang w:val="en-US" w:eastAsia="zh-CN"/>
        </w:rPr>
        <w:t>存在问题：</w:t>
      </w:r>
    </w:p>
    <w:p w14:paraId="13F69B11">
      <w:pPr>
        <w:bidi w:val="0"/>
        <w:rPr>
          <w:rFonts w:hint="default" w:ascii="宋体" w:hAnsi="宋体" w:eastAsia="宋体" w:cs="宋体"/>
          <w:snapToGrid/>
          <w:color w:val="auto"/>
          <w:kern w:val="2"/>
          <w:szCs w:val="28"/>
          <w:lang w:val="en-US" w:eastAsia="zh-CN" w:bidi="ar-SA"/>
        </w:rPr>
      </w:pPr>
      <w:r>
        <w:rPr>
          <w:rFonts w:hint="eastAsia"/>
          <w:color w:val="auto"/>
          <w:lang w:val="en-US" w:eastAsia="zh-CN"/>
        </w:rPr>
        <w:t>1）矿山雨季未编制防水计划。</w:t>
      </w:r>
    </w:p>
    <w:p w14:paraId="5DFAF505">
      <w:pPr>
        <w:pStyle w:val="4"/>
        <w:bidi w:val="0"/>
        <w:rPr>
          <w:rFonts w:hint="eastAsia"/>
          <w:color w:val="auto"/>
          <w:lang w:val="en-US" w:eastAsia="zh-CN"/>
        </w:rPr>
      </w:pPr>
      <w:bookmarkStart w:id="903" w:name="_Toc4086"/>
      <w:bookmarkStart w:id="904" w:name="_Toc21225"/>
      <w:bookmarkStart w:id="905" w:name="_Toc15710"/>
      <w:bookmarkStart w:id="906" w:name="_Toc5524"/>
      <w:bookmarkStart w:id="907" w:name="_Toc19079"/>
      <w:bookmarkStart w:id="908" w:name="_Toc19584"/>
      <w:bookmarkStart w:id="909" w:name="_Toc22223"/>
      <w:bookmarkStart w:id="910" w:name="_Toc23459"/>
      <w:bookmarkStart w:id="911" w:name="_Toc16130"/>
      <w:r>
        <w:rPr>
          <w:rFonts w:hint="eastAsia"/>
          <w:color w:val="auto"/>
          <w:lang w:val="en-US" w:eastAsia="zh-CN"/>
        </w:rPr>
        <w:t>5.8 井下防灭火单元</w:t>
      </w:r>
      <w:bookmarkEnd w:id="903"/>
      <w:bookmarkEnd w:id="904"/>
      <w:bookmarkEnd w:id="905"/>
      <w:bookmarkEnd w:id="906"/>
      <w:bookmarkEnd w:id="907"/>
      <w:bookmarkEnd w:id="908"/>
      <w:bookmarkEnd w:id="909"/>
      <w:bookmarkEnd w:id="910"/>
      <w:bookmarkEnd w:id="911"/>
    </w:p>
    <w:p w14:paraId="3E1B2110">
      <w:pPr>
        <w:pStyle w:val="5"/>
        <w:bidi w:val="0"/>
        <w:rPr>
          <w:rFonts w:hint="eastAsia"/>
          <w:color w:val="auto"/>
          <w:lang w:val="en-US" w:eastAsia="zh-CN"/>
        </w:rPr>
      </w:pPr>
      <w:bookmarkStart w:id="912" w:name="_Toc17117"/>
      <w:bookmarkStart w:id="913" w:name="_Toc5197"/>
      <w:bookmarkStart w:id="914" w:name="_Toc13183"/>
      <w:bookmarkStart w:id="915" w:name="_Toc27827"/>
      <w:r>
        <w:rPr>
          <w:rFonts w:hint="eastAsia"/>
          <w:color w:val="auto"/>
          <w:lang w:val="en-US" w:eastAsia="zh-CN"/>
        </w:rPr>
        <w:t>5.8.1 安全检查表评价</w:t>
      </w:r>
      <w:bookmarkEnd w:id="912"/>
      <w:bookmarkEnd w:id="913"/>
      <w:bookmarkEnd w:id="914"/>
      <w:bookmarkEnd w:id="915"/>
    </w:p>
    <w:p w14:paraId="37033A43">
      <w:pPr>
        <w:bidi w:val="0"/>
        <w:jc w:val="center"/>
        <w:rPr>
          <w:rFonts w:hint="eastAsia" w:ascii="宋体" w:hAnsi="宋体" w:eastAsia="宋体"/>
          <w:color w:val="auto"/>
          <w:lang w:val="en-US" w:eastAsia="zh-CN"/>
        </w:rPr>
      </w:pPr>
      <w:r>
        <w:rPr>
          <w:rFonts w:hint="eastAsia" w:ascii="宋体" w:hAnsi="宋体" w:eastAsia="宋体"/>
          <w:color w:val="auto"/>
          <w:lang w:val="en-US" w:eastAsia="zh-CN"/>
        </w:rPr>
        <w:t>采用安全检查表单对井下防灭火单元进行分析评价，见表5.8-1。表 5.8-1 井下防灭火单元安全检查表</w:t>
      </w:r>
    </w:p>
    <w:tbl>
      <w:tblPr>
        <w:tblStyle w:val="27"/>
        <w:tblW w:w="5003" w:type="pct"/>
        <w:tblInd w:w="0" w:type="dxa"/>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Layout w:type="autofit"/>
        <w:tblCellMar>
          <w:top w:w="0" w:type="dxa"/>
          <w:left w:w="0" w:type="dxa"/>
          <w:bottom w:w="0" w:type="dxa"/>
          <w:right w:w="0" w:type="dxa"/>
        </w:tblCellMar>
      </w:tblPr>
      <w:tblGrid>
        <w:gridCol w:w="978"/>
        <w:gridCol w:w="2952"/>
        <w:gridCol w:w="1606"/>
        <w:gridCol w:w="751"/>
        <w:gridCol w:w="753"/>
        <w:gridCol w:w="688"/>
        <w:gridCol w:w="757"/>
        <w:gridCol w:w="602"/>
      </w:tblGrid>
      <w:tr w14:paraId="1AA0AFC1">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blHeader/>
        </w:trPr>
        <w:tc>
          <w:tcPr>
            <w:tcW w:w="538" w:type="pct"/>
            <w:tcBorders>
              <w:bottom w:val="single" w:color="000000" w:sz="4" w:space="0"/>
            </w:tcBorders>
            <w:noWrap w:val="0"/>
            <w:vAlign w:val="center"/>
          </w:tcPr>
          <w:p w14:paraId="15C23EF3">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w:t>
            </w:r>
          </w:p>
          <w:p w14:paraId="2C896C9A">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项目</w:t>
            </w:r>
          </w:p>
        </w:tc>
        <w:tc>
          <w:tcPr>
            <w:tcW w:w="1623" w:type="pct"/>
            <w:tcBorders>
              <w:bottom w:val="single" w:color="000000" w:sz="4" w:space="0"/>
            </w:tcBorders>
            <w:noWrap w:val="0"/>
            <w:vAlign w:val="center"/>
          </w:tcPr>
          <w:p w14:paraId="344AFE55">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检查内容</w:t>
            </w:r>
          </w:p>
        </w:tc>
        <w:tc>
          <w:tcPr>
            <w:tcW w:w="883" w:type="pct"/>
            <w:tcBorders>
              <w:bottom w:val="single" w:color="000000" w:sz="4" w:space="0"/>
            </w:tcBorders>
            <w:noWrap w:val="0"/>
            <w:vAlign w:val="center"/>
          </w:tcPr>
          <w:p w14:paraId="1D6D23EA">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检查依据</w:t>
            </w:r>
          </w:p>
        </w:tc>
        <w:tc>
          <w:tcPr>
            <w:tcW w:w="413" w:type="pct"/>
            <w:tcBorders>
              <w:bottom w:val="single" w:color="000000" w:sz="4" w:space="0"/>
            </w:tcBorders>
            <w:noWrap w:val="0"/>
            <w:vAlign w:val="center"/>
          </w:tcPr>
          <w:p w14:paraId="3B7D3AD0">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检查方</w:t>
            </w:r>
          </w:p>
          <w:p w14:paraId="19573E4B">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法及地</w:t>
            </w:r>
          </w:p>
          <w:p w14:paraId="5B9D1D20">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点</w:t>
            </w:r>
          </w:p>
        </w:tc>
        <w:tc>
          <w:tcPr>
            <w:tcW w:w="414" w:type="pct"/>
            <w:tcBorders>
              <w:bottom w:val="single" w:color="000000" w:sz="4" w:space="0"/>
            </w:tcBorders>
            <w:noWrap w:val="0"/>
            <w:vAlign w:val="center"/>
          </w:tcPr>
          <w:p w14:paraId="2E8D3F6D">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w:t>
            </w:r>
          </w:p>
          <w:p w14:paraId="3157E356">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记录</w:t>
            </w:r>
          </w:p>
        </w:tc>
        <w:tc>
          <w:tcPr>
            <w:tcW w:w="378" w:type="pct"/>
            <w:tcBorders>
              <w:bottom w:val="single" w:color="000000" w:sz="4" w:space="0"/>
            </w:tcBorders>
            <w:noWrap w:val="0"/>
            <w:vAlign w:val="center"/>
          </w:tcPr>
          <w:p w14:paraId="19E8AC40">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标准</w:t>
            </w:r>
          </w:p>
          <w:p w14:paraId="3D56517C">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分值</w:t>
            </w:r>
          </w:p>
        </w:tc>
        <w:tc>
          <w:tcPr>
            <w:tcW w:w="416" w:type="pct"/>
            <w:tcBorders>
              <w:bottom w:val="single" w:color="000000" w:sz="4" w:space="0"/>
            </w:tcBorders>
            <w:noWrap w:val="0"/>
            <w:vAlign w:val="center"/>
          </w:tcPr>
          <w:p w14:paraId="7DB1F079">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评分</w:t>
            </w:r>
          </w:p>
          <w:p w14:paraId="549802D0">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标准</w:t>
            </w:r>
          </w:p>
        </w:tc>
        <w:tc>
          <w:tcPr>
            <w:tcW w:w="331" w:type="pct"/>
            <w:tcBorders>
              <w:bottom w:val="single" w:color="000000" w:sz="4" w:space="0"/>
            </w:tcBorders>
            <w:noWrap w:val="0"/>
            <w:vAlign w:val="center"/>
          </w:tcPr>
          <w:p w14:paraId="529A4B49">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检查</w:t>
            </w:r>
          </w:p>
          <w:p w14:paraId="6DD33886">
            <w:pPr>
              <w:keepNext w:val="0"/>
              <w:keepLines w:val="0"/>
              <w:pageBreakBefore w:val="0"/>
              <w:widowControl/>
              <w:kinsoku/>
              <w:wordWrap/>
              <w:overflowPunct/>
              <w:topLinePunct w:val="0"/>
              <w:autoSpaceDE/>
              <w:autoSpaceDN/>
              <w:bidi w:val="0"/>
              <w:adjustRightInd/>
              <w:snapToGrid w:val="0"/>
              <w:spacing w:line="260" w:lineRule="exact"/>
              <w:ind w:left="0" w:leftChars="0" w:firstLine="0" w:firstLineChars="0"/>
              <w:jc w:val="center"/>
              <w:textAlignment w:val="auto"/>
              <w:rPr>
                <w:rFonts w:hint="eastAsia"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rPr>
              <w:t>结果</w:t>
            </w:r>
          </w:p>
        </w:tc>
      </w:tr>
      <w:tr w14:paraId="5634D5F7">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rPr>
        <w:tc>
          <w:tcPr>
            <w:tcW w:w="538" w:type="pct"/>
            <w:vMerge w:val="restart"/>
            <w:tcBorders>
              <w:top w:val="single" w:color="000000" w:sz="4" w:space="0"/>
              <w:tl2br w:val="nil"/>
              <w:tr2bl w:val="nil"/>
            </w:tcBorders>
            <w:noWrap w:val="0"/>
            <w:vAlign w:val="center"/>
          </w:tcPr>
          <w:p w14:paraId="0BC4D583">
            <w:pPr>
              <w:keepNext w:val="0"/>
              <w:keepLines w:val="0"/>
              <w:pageBreakBefore w:val="0"/>
              <w:wordWrap/>
              <w:overflowPunct/>
              <w:topLinePunct w:val="0"/>
              <w:autoSpaceDE/>
              <w:autoSpaceDN/>
              <w:bidi w:val="0"/>
              <w:snapToGrid w:val="0"/>
              <w:spacing w:line="251" w:lineRule="auto"/>
              <w:jc w:val="center"/>
              <w:rPr>
                <w:rFonts w:ascii="Times New Roman" w:hAnsi="Times New Roman" w:eastAsia="宋体" w:cs="Times New Roman"/>
                <w:color w:val="auto"/>
                <w:spacing w:val="0"/>
                <w:position w:val="0"/>
                <w:sz w:val="21"/>
                <w:szCs w:val="21"/>
              </w:rPr>
            </w:pPr>
          </w:p>
          <w:p w14:paraId="252C0560">
            <w:pPr>
              <w:keepNext w:val="0"/>
              <w:keepLines w:val="0"/>
              <w:pageBreakBefore w:val="0"/>
              <w:wordWrap/>
              <w:overflowPunct/>
              <w:topLinePunct w:val="0"/>
              <w:autoSpaceDE/>
              <w:autoSpaceDN/>
              <w:bidi w:val="0"/>
              <w:snapToGrid w:val="0"/>
              <w:spacing w:line="251" w:lineRule="auto"/>
              <w:jc w:val="center"/>
              <w:rPr>
                <w:rFonts w:ascii="Times New Roman" w:hAnsi="Times New Roman" w:eastAsia="宋体" w:cs="Times New Roman"/>
                <w:color w:val="auto"/>
                <w:spacing w:val="0"/>
                <w:position w:val="0"/>
                <w:sz w:val="21"/>
                <w:szCs w:val="21"/>
              </w:rPr>
            </w:pPr>
          </w:p>
          <w:p w14:paraId="3DB73289">
            <w:pPr>
              <w:pStyle w:val="41"/>
              <w:keepNext w:val="0"/>
              <w:keepLines w:val="0"/>
              <w:pageBreakBefore w:val="0"/>
              <w:wordWrap/>
              <w:overflowPunct/>
              <w:topLinePunct w:val="0"/>
              <w:autoSpaceDE/>
              <w:autoSpaceDN/>
              <w:bidi w:val="0"/>
              <w:snapToGrid w:val="0"/>
              <w:spacing w:line="219"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1</w:t>
            </w:r>
            <w:r>
              <w:rPr>
                <w:rFonts w:hint="eastAsia" w:ascii="Times New Roman" w:hAnsi="Times New Roman" w:eastAsia="宋体" w:cs="Times New Roman"/>
                <w:color w:val="auto"/>
                <w:spacing w:val="0"/>
                <w:position w:val="0"/>
                <w:sz w:val="21"/>
                <w:szCs w:val="21"/>
                <w:lang w:val="en-US" w:eastAsia="zh-CN"/>
              </w:rPr>
              <w:t>.</w:t>
            </w:r>
            <w:r>
              <w:rPr>
                <w:rFonts w:hint="eastAsia" w:ascii="Times New Roman" w:hAnsi="Times New Roman" w:eastAsia="宋体" w:cs="Times New Roman"/>
                <w:color w:val="auto"/>
                <w:spacing w:val="0"/>
                <w:position w:val="0"/>
                <w:sz w:val="21"/>
                <w:szCs w:val="21"/>
              </w:rPr>
              <w:t>井下消防</w:t>
            </w:r>
          </w:p>
          <w:p w14:paraId="6F3645D7">
            <w:pPr>
              <w:pStyle w:val="41"/>
              <w:keepNext w:val="0"/>
              <w:keepLines w:val="0"/>
              <w:pageBreakBefore w:val="0"/>
              <w:wordWrap/>
              <w:overflowPunct/>
              <w:topLinePunct w:val="0"/>
              <w:autoSpaceDE/>
              <w:autoSpaceDN/>
              <w:bidi w:val="0"/>
              <w:snapToGrid w:val="0"/>
              <w:spacing w:line="220" w:lineRule="auto"/>
              <w:ind w:left="0" w:leftChars="0" w:firstLine="0" w:firstLineChars="0"/>
              <w:jc w:val="center"/>
              <w:rPr>
                <w:rFonts w:ascii="Times New Roman" w:hAnsi="Times New Roman" w:eastAsia="宋体" w:cs="Times New Roman"/>
                <w:color w:val="auto"/>
                <w:spacing w:val="0"/>
                <w:position w:val="0"/>
                <w:sz w:val="21"/>
                <w:szCs w:val="21"/>
              </w:rPr>
            </w:pPr>
            <w:r>
              <w:rPr>
                <w:rFonts w:hint="eastAsia" w:ascii="Times New Roman" w:hAnsi="Times New Roman" w:cs="Times New Roman"/>
                <w:color w:val="auto"/>
                <w:spacing w:val="0"/>
                <w:position w:val="0"/>
                <w:sz w:val="21"/>
                <w:szCs w:val="21"/>
                <w:lang w:val="en-US" w:eastAsia="zh-CN"/>
              </w:rPr>
              <w:t>10</w:t>
            </w:r>
            <w:r>
              <w:rPr>
                <w:rFonts w:ascii="Times New Roman" w:hAnsi="Times New Roman" w:eastAsia="宋体" w:cs="Times New Roman"/>
                <w:color w:val="auto"/>
                <w:spacing w:val="0"/>
                <w:position w:val="0"/>
                <w:sz w:val="21"/>
                <w:szCs w:val="21"/>
              </w:rPr>
              <w:t>分</w:t>
            </w:r>
          </w:p>
        </w:tc>
        <w:tc>
          <w:tcPr>
            <w:tcW w:w="1623" w:type="pct"/>
            <w:tcBorders>
              <w:top w:val="single" w:color="000000" w:sz="4" w:space="0"/>
              <w:bottom w:val="single" w:color="000000" w:sz="4" w:space="0"/>
            </w:tcBorders>
            <w:noWrap w:val="0"/>
            <w:vAlign w:val="center"/>
          </w:tcPr>
          <w:p w14:paraId="31777280">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1</w:t>
            </w:r>
            <w:r>
              <w:rPr>
                <w:rFonts w:hint="eastAsia" w:ascii="Times New Roman" w:hAnsi="Times New Roman" w:eastAsia="宋体" w:cs="Times New Roman"/>
                <w:color w:val="auto"/>
                <w:spacing w:val="0"/>
                <w:position w:val="0"/>
                <w:sz w:val="21"/>
                <w:szCs w:val="21"/>
                <w:lang w:val="en-US" w:eastAsia="zh-CN"/>
              </w:rPr>
              <w:t>.1</w:t>
            </w:r>
            <w:r>
              <w:rPr>
                <w:rFonts w:ascii="Times New Roman" w:hAnsi="Times New Roman" w:eastAsia="宋体" w:cs="Times New Roman"/>
                <w:color w:val="auto"/>
                <w:spacing w:val="0"/>
                <w:position w:val="0"/>
                <w:sz w:val="21"/>
                <w:szCs w:val="21"/>
              </w:rPr>
              <w:t>应结合井下供水系统设置井下消防管路。</w:t>
            </w:r>
          </w:p>
        </w:tc>
        <w:tc>
          <w:tcPr>
            <w:tcW w:w="883" w:type="pct"/>
            <w:tcBorders>
              <w:top w:val="single" w:color="000000" w:sz="4" w:space="0"/>
              <w:bottom w:val="single" w:color="000000" w:sz="4" w:space="0"/>
            </w:tcBorders>
            <w:noWrap w:val="0"/>
            <w:vAlign w:val="center"/>
          </w:tcPr>
          <w:p w14:paraId="32759903">
            <w:pPr>
              <w:pStyle w:val="41"/>
              <w:keepNext w:val="0"/>
              <w:keepLines w:val="0"/>
              <w:pageBreakBefore w:val="0"/>
              <w:wordWrap/>
              <w:overflowPunct/>
              <w:topLinePunct w:val="0"/>
              <w:autoSpaceDE/>
              <w:autoSpaceDN/>
              <w:bidi w:val="0"/>
              <w:snapToGrid w:val="0"/>
              <w:spacing w:line="220"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《金属非金属矿山安全规程》</w:t>
            </w:r>
          </w:p>
          <w:p w14:paraId="79C183E1">
            <w:pPr>
              <w:pStyle w:val="41"/>
              <w:keepNext w:val="0"/>
              <w:keepLines w:val="0"/>
              <w:pageBreakBefore w:val="0"/>
              <w:wordWrap/>
              <w:overflowPunct/>
              <w:topLinePunct w:val="0"/>
              <w:autoSpaceDE/>
              <w:autoSpaceDN/>
              <w:bidi w:val="0"/>
              <w:snapToGrid w:val="0"/>
              <w:spacing w:line="219"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第</w:t>
            </w:r>
            <w:r>
              <w:rPr>
                <w:rFonts w:ascii="Times New Roman" w:hAnsi="Times New Roman" w:eastAsia="宋体" w:cs="Times New Roman"/>
                <w:color w:val="auto"/>
                <w:spacing w:val="0"/>
                <w:position w:val="0"/>
                <w:sz w:val="21"/>
                <w:szCs w:val="21"/>
              </w:rPr>
              <w:fldChar w:fldCharType="begin"/>
            </w:r>
            <w:r>
              <w:rPr>
                <w:rFonts w:ascii="Times New Roman" w:hAnsi="Times New Roman" w:eastAsia="宋体" w:cs="Times New Roman"/>
                <w:color w:val="auto"/>
                <w:spacing w:val="0"/>
                <w:position w:val="0"/>
                <w:sz w:val="21"/>
                <w:szCs w:val="21"/>
              </w:rPr>
              <w:instrText xml:space="preserve"> HYPERLINK "6.9.1.2" </w:instrText>
            </w:r>
            <w:r>
              <w:rPr>
                <w:rFonts w:ascii="Times New Roman" w:hAnsi="Times New Roman" w:eastAsia="宋体" w:cs="Times New Roman"/>
                <w:color w:val="auto"/>
                <w:spacing w:val="0"/>
                <w:position w:val="0"/>
                <w:sz w:val="21"/>
                <w:szCs w:val="21"/>
              </w:rPr>
              <w:fldChar w:fldCharType="separate"/>
            </w:r>
            <w:r>
              <w:rPr>
                <w:rFonts w:ascii="Times New Roman" w:hAnsi="Times New Roman" w:eastAsia="宋体" w:cs="Times New Roman"/>
                <w:color w:val="auto"/>
                <w:spacing w:val="0"/>
                <w:position w:val="0"/>
                <w:sz w:val="21"/>
                <w:szCs w:val="21"/>
              </w:rPr>
              <w:t>6.9.1.2</w:t>
            </w:r>
            <w:r>
              <w:rPr>
                <w:rFonts w:ascii="Times New Roman" w:hAnsi="Times New Roman" w:eastAsia="宋体" w:cs="Times New Roman"/>
                <w:color w:val="auto"/>
                <w:spacing w:val="0"/>
                <w:position w:val="0"/>
                <w:sz w:val="21"/>
                <w:szCs w:val="21"/>
              </w:rPr>
              <w:fldChar w:fldCharType="end"/>
            </w:r>
            <w:r>
              <w:rPr>
                <w:rFonts w:ascii="Times New Roman" w:hAnsi="Times New Roman" w:eastAsia="宋体" w:cs="Times New Roman"/>
                <w:color w:val="auto"/>
                <w:spacing w:val="0"/>
                <w:position w:val="0"/>
                <w:sz w:val="21"/>
                <w:szCs w:val="21"/>
              </w:rPr>
              <w:t>条</w:t>
            </w:r>
          </w:p>
        </w:tc>
        <w:tc>
          <w:tcPr>
            <w:tcW w:w="413" w:type="pct"/>
            <w:tcBorders>
              <w:top w:val="single" w:color="000000" w:sz="4" w:space="0"/>
              <w:bottom w:val="single" w:color="000000" w:sz="4" w:space="0"/>
            </w:tcBorders>
            <w:noWrap w:val="0"/>
            <w:vAlign w:val="center"/>
          </w:tcPr>
          <w:p w14:paraId="003D51FA">
            <w:pPr>
              <w:pStyle w:val="41"/>
              <w:keepNext w:val="0"/>
              <w:keepLines w:val="0"/>
              <w:pageBreakBefore w:val="0"/>
              <w:wordWrap/>
              <w:overflowPunct/>
              <w:topLinePunct w:val="0"/>
              <w:autoSpaceDE/>
              <w:autoSpaceDN/>
              <w:bidi w:val="0"/>
              <w:snapToGrid w:val="0"/>
              <w:spacing w:line="220" w:lineRule="auto"/>
              <w:ind w:left="0" w:leftChars="0" w:right="119"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6FB78B8B">
            <w:pPr>
              <w:pStyle w:val="41"/>
              <w:keepNext w:val="0"/>
              <w:keepLines w:val="0"/>
              <w:pageBreakBefore w:val="0"/>
              <w:wordWrap/>
              <w:overflowPunct/>
              <w:topLinePunct w:val="0"/>
              <w:autoSpaceDE/>
              <w:autoSpaceDN/>
              <w:bidi w:val="0"/>
              <w:snapToGrid w:val="0"/>
              <w:spacing w:line="219"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符合</w:t>
            </w:r>
          </w:p>
        </w:tc>
        <w:tc>
          <w:tcPr>
            <w:tcW w:w="378" w:type="pct"/>
            <w:tcBorders>
              <w:top w:val="single" w:color="000000" w:sz="4" w:space="0"/>
              <w:bottom w:val="single" w:color="000000" w:sz="4" w:space="0"/>
            </w:tcBorders>
            <w:noWrap w:val="0"/>
            <w:vAlign w:val="center"/>
          </w:tcPr>
          <w:p w14:paraId="5401B74D">
            <w:pPr>
              <w:keepNext w:val="0"/>
              <w:keepLines w:val="0"/>
              <w:pageBreakBefore w:val="0"/>
              <w:wordWrap/>
              <w:overflowPunct/>
              <w:topLinePunct w:val="0"/>
              <w:autoSpaceDE/>
              <w:autoSpaceDN/>
              <w:bidi w:val="0"/>
              <w:snapToGrid w:val="0"/>
              <w:spacing w:line="274" w:lineRule="auto"/>
              <w:jc w:val="both"/>
              <w:rPr>
                <w:rFonts w:ascii="Times New Roman" w:hAnsi="Times New Roman" w:eastAsia="宋体" w:cs="Times New Roman"/>
                <w:color w:val="auto"/>
                <w:spacing w:val="0"/>
                <w:position w:val="0"/>
                <w:sz w:val="21"/>
                <w:szCs w:val="21"/>
              </w:rPr>
            </w:pPr>
          </w:p>
          <w:p w14:paraId="529E47D7">
            <w:pPr>
              <w:keepNext w:val="0"/>
              <w:keepLines w:val="0"/>
              <w:pageBreakBefore w:val="0"/>
              <w:wordWrap/>
              <w:overflowPunct/>
              <w:topLinePunct w:val="0"/>
              <w:autoSpaceDE/>
              <w:autoSpaceDN/>
              <w:bidi w:val="0"/>
              <w:snapToGrid w:val="0"/>
              <w:spacing w:line="274" w:lineRule="auto"/>
              <w:ind w:left="0" w:leftChars="0" w:firstLine="420" w:firstLineChars="200"/>
              <w:jc w:val="both"/>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1</w:t>
            </w:r>
          </w:p>
          <w:p w14:paraId="4D88C6AA">
            <w:pPr>
              <w:pStyle w:val="41"/>
              <w:keepNext w:val="0"/>
              <w:keepLines w:val="0"/>
              <w:pageBreakBefore w:val="0"/>
              <w:wordWrap/>
              <w:overflowPunct/>
              <w:topLinePunct w:val="0"/>
              <w:autoSpaceDE/>
              <w:autoSpaceDN/>
              <w:bidi w:val="0"/>
              <w:snapToGrid w:val="0"/>
              <w:spacing w:line="184" w:lineRule="auto"/>
              <w:ind w:left="287"/>
              <w:jc w:val="both"/>
              <w:rPr>
                <w:rFonts w:ascii="Times New Roman" w:hAnsi="Times New Roman" w:eastAsia="宋体" w:cs="Times New Roman"/>
                <w:color w:val="auto"/>
                <w:spacing w:val="0"/>
                <w:position w:val="0"/>
                <w:sz w:val="21"/>
                <w:szCs w:val="21"/>
              </w:rPr>
            </w:pPr>
          </w:p>
        </w:tc>
        <w:tc>
          <w:tcPr>
            <w:tcW w:w="416" w:type="pct"/>
            <w:tcBorders>
              <w:top w:val="single" w:color="000000" w:sz="4" w:space="0"/>
              <w:bottom w:val="single" w:color="000000" w:sz="4" w:space="0"/>
            </w:tcBorders>
            <w:noWrap w:val="0"/>
            <w:vAlign w:val="center"/>
          </w:tcPr>
          <w:p w14:paraId="6F6375F7">
            <w:pPr>
              <w:pStyle w:val="41"/>
              <w:keepNext w:val="0"/>
              <w:keepLines w:val="0"/>
              <w:pageBreakBefore w:val="0"/>
              <w:wordWrap/>
              <w:overflowPunct/>
              <w:topLinePunct w:val="0"/>
              <w:autoSpaceDE/>
              <w:autoSpaceDN/>
              <w:bidi w:val="0"/>
              <w:snapToGrid w:val="0"/>
              <w:spacing w:line="219"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不符合</w:t>
            </w:r>
          </w:p>
          <w:p w14:paraId="6E3973A5">
            <w:pPr>
              <w:pStyle w:val="41"/>
              <w:keepNext w:val="0"/>
              <w:keepLines w:val="0"/>
              <w:pageBreakBefore w:val="0"/>
              <w:wordWrap/>
              <w:overflowPunct/>
              <w:topLinePunct w:val="0"/>
              <w:autoSpaceDE/>
              <w:autoSpaceDN/>
              <w:bidi w:val="0"/>
              <w:snapToGrid w:val="0"/>
              <w:spacing w:line="218"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要求不</w:t>
            </w:r>
          </w:p>
          <w:p w14:paraId="568EFF34">
            <w:pPr>
              <w:pStyle w:val="41"/>
              <w:keepNext w:val="0"/>
              <w:keepLines w:val="0"/>
              <w:pageBreakBefore w:val="0"/>
              <w:wordWrap/>
              <w:overflowPunct/>
              <w:topLinePunct w:val="0"/>
              <w:autoSpaceDE/>
              <w:autoSpaceDN/>
              <w:bidi w:val="0"/>
              <w:snapToGrid w:val="0"/>
              <w:spacing w:line="219"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得分</w:t>
            </w:r>
          </w:p>
        </w:tc>
        <w:tc>
          <w:tcPr>
            <w:tcW w:w="331" w:type="pct"/>
            <w:tcBorders>
              <w:top w:val="single" w:color="000000" w:sz="4" w:space="0"/>
              <w:bottom w:val="single" w:color="000000" w:sz="4" w:space="0"/>
            </w:tcBorders>
            <w:noWrap w:val="0"/>
            <w:vAlign w:val="center"/>
          </w:tcPr>
          <w:p w14:paraId="634C97F3">
            <w:pPr>
              <w:keepNext w:val="0"/>
              <w:keepLines w:val="0"/>
              <w:pageBreakBefore w:val="0"/>
              <w:wordWrap/>
              <w:overflowPunct/>
              <w:topLinePunct w:val="0"/>
              <w:autoSpaceDE/>
              <w:autoSpaceDN/>
              <w:bidi w:val="0"/>
              <w:snapToGrid w:val="0"/>
              <w:spacing w:line="274" w:lineRule="auto"/>
              <w:ind w:left="0" w:leftChars="0" w:firstLine="0" w:firstLineChars="0"/>
              <w:jc w:val="center"/>
              <w:rPr>
                <w:rFonts w:ascii="Times New Roman" w:hAnsi="Times New Roman" w:eastAsia="宋体" w:cs="Times New Roman"/>
                <w:color w:val="auto"/>
                <w:spacing w:val="0"/>
                <w:position w:val="0"/>
                <w:sz w:val="21"/>
                <w:szCs w:val="21"/>
              </w:rPr>
            </w:pPr>
          </w:p>
          <w:p w14:paraId="39038823">
            <w:pPr>
              <w:keepNext w:val="0"/>
              <w:keepLines w:val="0"/>
              <w:pageBreakBefore w:val="0"/>
              <w:wordWrap/>
              <w:overflowPunct/>
              <w:topLinePunct w:val="0"/>
              <w:autoSpaceDE/>
              <w:autoSpaceDN/>
              <w:bidi w:val="0"/>
              <w:snapToGrid w:val="0"/>
              <w:spacing w:line="275" w:lineRule="auto"/>
              <w:ind w:left="0" w:leftChars="0" w:right="-199" w:rightChars="-71" w:firstLine="0" w:firstLineChars="0"/>
              <w:jc w:val="center"/>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1</w:t>
            </w:r>
          </w:p>
          <w:p w14:paraId="67CE66EE">
            <w:pPr>
              <w:pStyle w:val="41"/>
              <w:keepNext w:val="0"/>
              <w:keepLines w:val="0"/>
              <w:pageBreakBefore w:val="0"/>
              <w:wordWrap/>
              <w:overflowPunct/>
              <w:topLinePunct w:val="0"/>
              <w:autoSpaceDE/>
              <w:autoSpaceDN/>
              <w:bidi w:val="0"/>
              <w:snapToGrid w:val="0"/>
              <w:spacing w:line="184" w:lineRule="auto"/>
              <w:ind w:left="320"/>
              <w:jc w:val="center"/>
              <w:rPr>
                <w:rFonts w:ascii="Times New Roman" w:hAnsi="Times New Roman" w:eastAsia="宋体" w:cs="Times New Roman"/>
                <w:color w:val="auto"/>
                <w:spacing w:val="0"/>
                <w:position w:val="0"/>
                <w:sz w:val="21"/>
                <w:szCs w:val="21"/>
              </w:rPr>
            </w:pPr>
          </w:p>
        </w:tc>
      </w:tr>
      <w:tr w14:paraId="65DE7CA5">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rPr>
        <w:tc>
          <w:tcPr>
            <w:tcW w:w="538" w:type="pct"/>
            <w:vMerge w:val="continue"/>
            <w:tcBorders>
              <w:tl2br w:val="nil"/>
              <w:tr2bl w:val="nil"/>
            </w:tcBorders>
            <w:noWrap w:val="0"/>
            <w:vAlign w:val="center"/>
          </w:tcPr>
          <w:p w14:paraId="506AE26D">
            <w:pPr>
              <w:keepNext w:val="0"/>
              <w:keepLines w:val="0"/>
              <w:pageBreakBefore w:val="0"/>
              <w:wordWrap/>
              <w:overflowPunct/>
              <w:topLinePunct w:val="0"/>
              <w:autoSpaceDE/>
              <w:autoSpaceDN/>
              <w:bidi w:val="0"/>
              <w:snapToGrid w:val="0"/>
              <w:jc w:val="center"/>
              <w:rPr>
                <w:rFonts w:ascii="Times New Roman" w:hAnsi="Times New Roman"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2FA2C011">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lang w:val="en-US" w:eastAsia="zh-CN"/>
              </w:rPr>
              <w:t>1.2</w:t>
            </w:r>
            <w:r>
              <w:rPr>
                <w:rFonts w:ascii="Times New Roman" w:hAnsi="Times New Roman" w:eastAsia="宋体" w:cs="Times New Roman"/>
                <w:color w:val="auto"/>
                <w:spacing w:val="0"/>
                <w:position w:val="0"/>
                <w:sz w:val="21"/>
                <w:szCs w:val="21"/>
              </w:rPr>
              <w:t>井下消防供水水池应能服务井下所有作业地点，水池容积不小于200m³。</w:t>
            </w:r>
          </w:p>
        </w:tc>
        <w:tc>
          <w:tcPr>
            <w:tcW w:w="883" w:type="pct"/>
            <w:tcBorders>
              <w:top w:val="single" w:color="000000" w:sz="4" w:space="0"/>
              <w:bottom w:val="single" w:color="000000" w:sz="4" w:space="0"/>
            </w:tcBorders>
            <w:noWrap w:val="0"/>
            <w:vAlign w:val="center"/>
          </w:tcPr>
          <w:p w14:paraId="4F1FF132">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《金属非金属矿山安全规程》</w:t>
            </w:r>
          </w:p>
          <w:p w14:paraId="6EB24970">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第</w:t>
            </w:r>
            <w:r>
              <w:rPr>
                <w:rFonts w:ascii="Times New Roman" w:hAnsi="Times New Roman" w:eastAsia="宋体" w:cs="Times New Roman"/>
                <w:color w:val="auto"/>
                <w:spacing w:val="0"/>
                <w:position w:val="0"/>
                <w:sz w:val="21"/>
                <w:szCs w:val="21"/>
              </w:rPr>
              <w:fldChar w:fldCharType="begin"/>
            </w:r>
            <w:r>
              <w:rPr>
                <w:rFonts w:ascii="Times New Roman" w:hAnsi="Times New Roman" w:eastAsia="宋体" w:cs="Times New Roman"/>
                <w:color w:val="auto"/>
                <w:spacing w:val="0"/>
                <w:position w:val="0"/>
                <w:sz w:val="21"/>
                <w:szCs w:val="21"/>
              </w:rPr>
              <w:instrText xml:space="preserve"> HYPERLINK "6.9.1.5" </w:instrText>
            </w:r>
            <w:r>
              <w:rPr>
                <w:rFonts w:ascii="Times New Roman" w:hAnsi="Times New Roman" w:eastAsia="宋体" w:cs="Times New Roman"/>
                <w:color w:val="auto"/>
                <w:spacing w:val="0"/>
                <w:position w:val="0"/>
                <w:sz w:val="21"/>
                <w:szCs w:val="21"/>
              </w:rPr>
              <w:fldChar w:fldCharType="separate"/>
            </w:r>
            <w:r>
              <w:rPr>
                <w:rFonts w:ascii="Times New Roman" w:hAnsi="Times New Roman" w:eastAsia="宋体" w:cs="Times New Roman"/>
                <w:color w:val="auto"/>
                <w:spacing w:val="0"/>
                <w:position w:val="0"/>
                <w:sz w:val="21"/>
                <w:szCs w:val="21"/>
              </w:rPr>
              <w:t>6.9.1.5</w:t>
            </w:r>
            <w:r>
              <w:rPr>
                <w:rFonts w:ascii="Times New Roman" w:hAnsi="Times New Roman" w:eastAsia="宋体" w:cs="Times New Roman"/>
                <w:color w:val="auto"/>
                <w:spacing w:val="0"/>
                <w:position w:val="0"/>
                <w:sz w:val="21"/>
                <w:szCs w:val="21"/>
              </w:rPr>
              <w:fldChar w:fldCharType="end"/>
            </w:r>
            <w:r>
              <w:rPr>
                <w:rFonts w:ascii="Times New Roman" w:hAnsi="Times New Roman" w:eastAsia="宋体" w:cs="Times New Roman"/>
                <w:color w:val="auto"/>
                <w:spacing w:val="0"/>
                <w:position w:val="0"/>
                <w:sz w:val="21"/>
                <w:szCs w:val="21"/>
              </w:rPr>
              <w:t>条</w:t>
            </w:r>
          </w:p>
        </w:tc>
        <w:tc>
          <w:tcPr>
            <w:tcW w:w="413" w:type="pct"/>
            <w:tcBorders>
              <w:top w:val="single" w:color="000000" w:sz="4" w:space="0"/>
              <w:bottom w:val="single" w:color="000000" w:sz="4" w:space="0"/>
            </w:tcBorders>
            <w:noWrap w:val="0"/>
            <w:vAlign w:val="center"/>
          </w:tcPr>
          <w:p w14:paraId="49326576">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查现场</w:t>
            </w:r>
          </w:p>
          <w:p w14:paraId="72A9156F">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和资料</w:t>
            </w:r>
          </w:p>
        </w:tc>
        <w:tc>
          <w:tcPr>
            <w:tcW w:w="414" w:type="pct"/>
            <w:tcBorders>
              <w:top w:val="single" w:color="000000" w:sz="4" w:space="0"/>
              <w:bottom w:val="single" w:color="000000" w:sz="4" w:space="0"/>
            </w:tcBorders>
            <w:noWrap w:val="0"/>
            <w:vAlign w:val="center"/>
          </w:tcPr>
          <w:p w14:paraId="4562F7D1">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符合</w:t>
            </w:r>
          </w:p>
        </w:tc>
        <w:tc>
          <w:tcPr>
            <w:tcW w:w="378" w:type="pct"/>
            <w:tcBorders>
              <w:top w:val="single" w:color="000000" w:sz="4" w:space="0"/>
              <w:bottom w:val="single" w:color="000000" w:sz="4" w:space="0"/>
            </w:tcBorders>
            <w:noWrap w:val="0"/>
            <w:vAlign w:val="center"/>
          </w:tcPr>
          <w:p w14:paraId="10895172">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2</w:t>
            </w:r>
          </w:p>
        </w:tc>
        <w:tc>
          <w:tcPr>
            <w:tcW w:w="416" w:type="pct"/>
            <w:tcBorders>
              <w:top w:val="single" w:color="000000" w:sz="4" w:space="0"/>
              <w:bottom w:val="single" w:color="000000" w:sz="4" w:space="0"/>
            </w:tcBorders>
            <w:noWrap w:val="0"/>
            <w:vAlign w:val="center"/>
          </w:tcPr>
          <w:p w14:paraId="151144EE">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不符合</w:t>
            </w:r>
          </w:p>
          <w:p w14:paraId="2B6CED37">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要求不</w:t>
            </w:r>
          </w:p>
          <w:p w14:paraId="70944A10">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得分</w:t>
            </w:r>
          </w:p>
        </w:tc>
        <w:tc>
          <w:tcPr>
            <w:tcW w:w="331" w:type="pct"/>
            <w:tcBorders>
              <w:top w:val="single" w:color="000000" w:sz="4" w:space="0"/>
              <w:bottom w:val="single" w:color="000000" w:sz="4" w:space="0"/>
            </w:tcBorders>
            <w:noWrap w:val="0"/>
            <w:vAlign w:val="center"/>
          </w:tcPr>
          <w:p w14:paraId="3F073E4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2</w:t>
            </w:r>
          </w:p>
          <w:p w14:paraId="3674B82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tc>
      </w:tr>
      <w:tr w14:paraId="467B2FB3">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rPr>
        <w:tc>
          <w:tcPr>
            <w:tcW w:w="538" w:type="pct"/>
            <w:vMerge w:val="continue"/>
            <w:tcBorders>
              <w:tl2br w:val="nil"/>
              <w:tr2bl w:val="nil"/>
            </w:tcBorders>
            <w:noWrap w:val="0"/>
            <w:vAlign w:val="center"/>
          </w:tcPr>
          <w:p w14:paraId="215676D1">
            <w:pPr>
              <w:keepNext w:val="0"/>
              <w:keepLines w:val="0"/>
              <w:pageBreakBefore w:val="0"/>
              <w:wordWrap/>
              <w:overflowPunct/>
              <w:topLinePunct w:val="0"/>
              <w:autoSpaceDE/>
              <w:autoSpaceDN/>
              <w:bidi w:val="0"/>
              <w:snapToGrid w:val="0"/>
              <w:jc w:val="center"/>
              <w:rPr>
                <w:rFonts w:ascii="Times New Roman" w:hAnsi="Times New Roman"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2CA991B7">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1.3在下列地点或区域应配置灭火器：</w:t>
            </w:r>
          </w:p>
          <w:p w14:paraId="2EF8E254">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--有人员和设备通行的主要进风巷道、进风井井口建筑、主要通风机房和压入式辅助通风机房、风硐及暖风道；</w:t>
            </w:r>
          </w:p>
          <w:p w14:paraId="1BE683A5">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--人员提升竖井的马头门、井底车场；</w:t>
            </w:r>
          </w:p>
          <w:p w14:paraId="249583B6">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--变压器室、变配电所、电机车库、维修硐室、破碎硐室、带式输送机驱动站等主要机电设备硐室、油库和加油站、爆破器材库、</w:t>
            </w:r>
          </w:p>
          <w:p w14:paraId="41898011">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材料库、避灾硐室、休息或排班硐室等；</w:t>
            </w:r>
          </w:p>
          <w:p w14:paraId="04396916">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lang w:val="en-US" w:eastAsia="zh-CN"/>
              </w:rPr>
              <w:t>--内燃自行设备通行频繁 的斜坡道和巷道，灭火器 配置点间距不大于300m。</w:t>
            </w:r>
          </w:p>
        </w:tc>
        <w:tc>
          <w:tcPr>
            <w:tcW w:w="883" w:type="pct"/>
            <w:tcBorders>
              <w:top w:val="single" w:color="000000" w:sz="4" w:space="0"/>
              <w:bottom w:val="single" w:color="000000" w:sz="4" w:space="0"/>
            </w:tcBorders>
            <w:noWrap w:val="0"/>
            <w:vAlign w:val="center"/>
          </w:tcPr>
          <w:p w14:paraId="4F6395DA">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72B806AC">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《金属非金属矿山安全规程》</w:t>
            </w:r>
          </w:p>
          <w:p w14:paraId="2F83855F">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第</w:t>
            </w:r>
            <w:r>
              <w:rPr>
                <w:rFonts w:ascii="Times New Roman" w:hAnsi="Times New Roman" w:eastAsia="宋体" w:cs="Times New Roman"/>
                <w:color w:val="auto"/>
                <w:spacing w:val="0"/>
                <w:position w:val="0"/>
                <w:sz w:val="21"/>
                <w:szCs w:val="21"/>
              </w:rPr>
              <w:fldChar w:fldCharType="begin"/>
            </w:r>
            <w:r>
              <w:rPr>
                <w:rFonts w:ascii="Times New Roman" w:hAnsi="Times New Roman" w:eastAsia="宋体" w:cs="Times New Roman"/>
                <w:color w:val="auto"/>
                <w:spacing w:val="0"/>
                <w:position w:val="0"/>
                <w:sz w:val="21"/>
                <w:szCs w:val="21"/>
              </w:rPr>
              <w:instrText xml:space="preserve"> HYPERLINK "6.9.1.7" </w:instrText>
            </w:r>
            <w:r>
              <w:rPr>
                <w:rFonts w:ascii="Times New Roman" w:hAnsi="Times New Roman" w:eastAsia="宋体" w:cs="Times New Roman"/>
                <w:color w:val="auto"/>
                <w:spacing w:val="0"/>
                <w:position w:val="0"/>
                <w:sz w:val="21"/>
                <w:szCs w:val="21"/>
              </w:rPr>
              <w:fldChar w:fldCharType="separate"/>
            </w:r>
            <w:r>
              <w:rPr>
                <w:rFonts w:ascii="Times New Roman" w:hAnsi="Times New Roman" w:eastAsia="宋体" w:cs="Times New Roman"/>
                <w:color w:val="auto"/>
                <w:spacing w:val="0"/>
                <w:position w:val="0"/>
                <w:sz w:val="21"/>
                <w:szCs w:val="21"/>
              </w:rPr>
              <w:t>6.9.1.7</w:t>
            </w:r>
            <w:r>
              <w:rPr>
                <w:rFonts w:ascii="Times New Roman" w:hAnsi="Times New Roman" w:eastAsia="宋体" w:cs="Times New Roman"/>
                <w:color w:val="auto"/>
                <w:spacing w:val="0"/>
                <w:position w:val="0"/>
                <w:sz w:val="21"/>
                <w:szCs w:val="21"/>
              </w:rPr>
              <w:fldChar w:fldCharType="end"/>
            </w:r>
            <w:r>
              <w:rPr>
                <w:rFonts w:ascii="Times New Roman" w:hAnsi="Times New Roman" w:eastAsia="宋体" w:cs="Times New Roman"/>
                <w:color w:val="auto"/>
                <w:spacing w:val="0"/>
                <w:position w:val="0"/>
                <w:sz w:val="21"/>
                <w:szCs w:val="21"/>
              </w:rPr>
              <w:t>条</w:t>
            </w:r>
          </w:p>
        </w:tc>
        <w:tc>
          <w:tcPr>
            <w:tcW w:w="413" w:type="pct"/>
            <w:tcBorders>
              <w:top w:val="single" w:color="000000" w:sz="4" w:space="0"/>
              <w:bottom w:val="single" w:color="000000" w:sz="4" w:space="0"/>
            </w:tcBorders>
            <w:noWrap w:val="0"/>
            <w:vAlign w:val="center"/>
          </w:tcPr>
          <w:p w14:paraId="1C575221">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77D22463">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29248CB7">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583FCAE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75B9A9BC">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27A2F719">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符合</w:t>
            </w:r>
          </w:p>
        </w:tc>
        <w:tc>
          <w:tcPr>
            <w:tcW w:w="378" w:type="pct"/>
            <w:tcBorders>
              <w:top w:val="single" w:color="000000" w:sz="4" w:space="0"/>
              <w:bottom w:val="single" w:color="000000" w:sz="4" w:space="0"/>
            </w:tcBorders>
            <w:noWrap w:val="0"/>
            <w:vAlign w:val="center"/>
          </w:tcPr>
          <w:p w14:paraId="611864C3">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7D0BAA69">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1</w:t>
            </w:r>
          </w:p>
        </w:tc>
        <w:tc>
          <w:tcPr>
            <w:tcW w:w="416" w:type="pct"/>
            <w:tcBorders>
              <w:top w:val="single" w:color="000000" w:sz="4" w:space="0"/>
              <w:bottom w:val="single" w:color="000000" w:sz="4" w:space="0"/>
            </w:tcBorders>
            <w:noWrap w:val="0"/>
            <w:vAlign w:val="center"/>
          </w:tcPr>
          <w:p w14:paraId="327D1CC0">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49CDA94B">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不符合</w:t>
            </w:r>
          </w:p>
          <w:p w14:paraId="3C9B7139">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要求不</w:t>
            </w:r>
          </w:p>
          <w:p w14:paraId="53C2BEA1">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得分</w:t>
            </w:r>
          </w:p>
        </w:tc>
        <w:tc>
          <w:tcPr>
            <w:tcW w:w="331" w:type="pct"/>
            <w:tcBorders>
              <w:top w:val="single" w:color="000000" w:sz="4" w:space="0"/>
              <w:bottom w:val="single" w:color="000000" w:sz="4" w:space="0"/>
            </w:tcBorders>
            <w:noWrap w:val="0"/>
            <w:vAlign w:val="center"/>
          </w:tcPr>
          <w:p w14:paraId="6BA2D18F">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278BB235">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1</w:t>
            </w:r>
          </w:p>
        </w:tc>
      </w:tr>
      <w:tr w14:paraId="06EB886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rPr>
        <w:tc>
          <w:tcPr>
            <w:tcW w:w="538" w:type="pct"/>
            <w:vMerge w:val="continue"/>
            <w:tcBorders>
              <w:tl2br w:val="nil"/>
              <w:tr2bl w:val="nil"/>
            </w:tcBorders>
            <w:noWrap w:val="0"/>
            <w:vAlign w:val="center"/>
          </w:tcPr>
          <w:p w14:paraId="65A6AED1">
            <w:pPr>
              <w:keepNext w:val="0"/>
              <w:keepLines w:val="0"/>
              <w:pageBreakBefore w:val="0"/>
              <w:wordWrap/>
              <w:overflowPunct/>
              <w:topLinePunct w:val="0"/>
              <w:autoSpaceDE/>
              <w:autoSpaceDN/>
              <w:bidi w:val="0"/>
              <w:snapToGrid w:val="0"/>
              <w:jc w:val="center"/>
              <w:rPr>
                <w:rFonts w:ascii="Times New Roman" w:hAnsi="Times New Roman"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2D657263">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hint="default" w:ascii="Times New Roman" w:hAnsi="Times New Roman" w:eastAsia="宋体" w:cs="Times New Roman"/>
                <w:color w:val="auto"/>
                <w:spacing w:val="0"/>
                <w:position w:val="0"/>
                <w:sz w:val="21"/>
                <w:szCs w:val="21"/>
                <w:lang w:val="en-US"/>
              </w:rPr>
            </w:pPr>
            <w:r>
              <w:rPr>
                <w:rFonts w:hint="eastAsia" w:ascii="Times New Roman" w:hAnsi="Times New Roman" w:eastAsia="宋体" w:cs="Times New Roman"/>
                <w:color w:val="auto"/>
                <w:spacing w:val="0"/>
                <w:position w:val="0"/>
                <w:sz w:val="21"/>
                <w:szCs w:val="21"/>
                <w:lang w:val="en-US" w:eastAsia="zh-CN"/>
              </w:rPr>
              <w:t>1.4每个灭火器配置点的灭火器数量不少于2具，灭器应能扑灭150m范围内的初始</w:t>
            </w:r>
            <w:r>
              <w:rPr>
                <w:rFonts w:hint="eastAsia" w:ascii="Times New Roman" w:hAnsi="Times New Roman" w:cs="Times New Roman"/>
                <w:color w:val="auto"/>
                <w:spacing w:val="0"/>
                <w:position w:val="0"/>
                <w:sz w:val="21"/>
                <w:szCs w:val="21"/>
                <w:lang w:val="en-US" w:eastAsia="zh-CN"/>
              </w:rPr>
              <w:t>火灾</w:t>
            </w:r>
          </w:p>
        </w:tc>
        <w:tc>
          <w:tcPr>
            <w:tcW w:w="883" w:type="pct"/>
            <w:tcBorders>
              <w:top w:val="single" w:color="000000" w:sz="4" w:space="0"/>
              <w:bottom w:val="single" w:color="000000" w:sz="4" w:space="0"/>
            </w:tcBorders>
            <w:noWrap w:val="0"/>
            <w:vAlign w:val="center"/>
          </w:tcPr>
          <w:p w14:paraId="3A2CBEC1">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ascii="Times New Roman" w:hAnsi="Times New Roman" w:eastAsia="宋体" w:cs="Times New Roman"/>
                <w:color w:val="auto"/>
                <w:spacing w:val="0"/>
                <w:position w:val="0"/>
                <w:sz w:val="21"/>
                <w:szCs w:val="21"/>
              </w:rPr>
            </w:pPr>
          </w:p>
          <w:p w14:paraId="76F9173F">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《金属非金属矿山安全规程》</w:t>
            </w:r>
          </w:p>
          <w:p w14:paraId="2435421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第</w:t>
            </w:r>
            <w:r>
              <w:rPr>
                <w:rFonts w:ascii="Times New Roman" w:hAnsi="Times New Roman" w:eastAsia="宋体" w:cs="Times New Roman"/>
                <w:color w:val="auto"/>
                <w:spacing w:val="0"/>
                <w:position w:val="0"/>
                <w:sz w:val="21"/>
                <w:szCs w:val="21"/>
              </w:rPr>
              <w:fldChar w:fldCharType="begin"/>
            </w:r>
            <w:r>
              <w:rPr>
                <w:rFonts w:ascii="Times New Roman" w:hAnsi="Times New Roman" w:eastAsia="宋体" w:cs="Times New Roman"/>
                <w:color w:val="auto"/>
                <w:spacing w:val="0"/>
                <w:position w:val="0"/>
                <w:sz w:val="21"/>
                <w:szCs w:val="21"/>
              </w:rPr>
              <w:instrText xml:space="preserve"> HYPERLINK "6.9.1.8" </w:instrText>
            </w:r>
            <w:r>
              <w:rPr>
                <w:rFonts w:ascii="Times New Roman" w:hAnsi="Times New Roman" w:eastAsia="宋体" w:cs="Times New Roman"/>
                <w:color w:val="auto"/>
                <w:spacing w:val="0"/>
                <w:position w:val="0"/>
                <w:sz w:val="21"/>
                <w:szCs w:val="21"/>
              </w:rPr>
              <w:fldChar w:fldCharType="separate"/>
            </w:r>
            <w:r>
              <w:rPr>
                <w:rFonts w:ascii="Times New Roman" w:hAnsi="Times New Roman" w:eastAsia="宋体" w:cs="Times New Roman"/>
                <w:color w:val="auto"/>
                <w:spacing w:val="0"/>
                <w:position w:val="0"/>
                <w:sz w:val="21"/>
                <w:szCs w:val="21"/>
              </w:rPr>
              <w:t>6.9.1.8</w:t>
            </w:r>
            <w:r>
              <w:rPr>
                <w:rFonts w:ascii="Times New Roman" w:hAnsi="Times New Roman" w:eastAsia="宋体" w:cs="Times New Roman"/>
                <w:color w:val="auto"/>
                <w:spacing w:val="0"/>
                <w:position w:val="0"/>
                <w:sz w:val="21"/>
                <w:szCs w:val="21"/>
              </w:rPr>
              <w:fldChar w:fldCharType="end"/>
            </w:r>
            <w:r>
              <w:rPr>
                <w:rFonts w:ascii="Times New Roman" w:hAnsi="Times New Roman" w:eastAsia="宋体" w:cs="Times New Roman"/>
                <w:color w:val="auto"/>
                <w:spacing w:val="0"/>
                <w:position w:val="0"/>
                <w:sz w:val="21"/>
                <w:szCs w:val="21"/>
              </w:rPr>
              <w:t>条</w:t>
            </w:r>
          </w:p>
        </w:tc>
        <w:tc>
          <w:tcPr>
            <w:tcW w:w="413" w:type="pct"/>
            <w:tcBorders>
              <w:top w:val="single" w:color="000000" w:sz="4" w:space="0"/>
              <w:bottom w:val="single" w:color="000000" w:sz="4" w:space="0"/>
            </w:tcBorders>
            <w:noWrap w:val="0"/>
            <w:vAlign w:val="center"/>
          </w:tcPr>
          <w:p w14:paraId="35A269DA">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20BD88FA">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hint="eastAsia" w:ascii="Times New Roman" w:hAnsi="Times New Roman" w:cs="Times New Roman"/>
                <w:color w:val="auto"/>
                <w:spacing w:val="0"/>
                <w:position w:val="0"/>
                <w:sz w:val="21"/>
                <w:szCs w:val="21"/>
                <w:lang w:val="en-US" w:eastAsia="zh-CN"/>
              </w:rPr>
              <w:t>符合</w:t>
            </w:r>
          </w:p>
        </w:tc>
        <w:tc>
          <w:tcPr>
            <w:tcW w:w="378" w:type="pct"/>
            <w:tcBorders>
              <w:top w:val="single" w:color="000000" w:sz="4" w:space="0"/>
              <w:bottom w:val="single" w:color="000000" w:sz="4" w:space="0"/>
            </w:tcBorders>
            <w:noWrap w:val="0"/>
            <w:vAlign w:val="center"/>
          </w:tcPr>
          <w:p w14:paraId="45540E4C">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p w14:paraId="59143E99">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2</w:t>
            </w:r>
          </w:p>
        </w:tc>
        <w:tc>
          <w:tcPr>
            <w:tcW w:w="416" w:type="pct"/>
            <w:tcBorders>
              <w:top w:val="single" w:color="000000" w:sz="4" w:space="0"/>
              <w:bottom w:val="single" w:color="000000" w:sz="4" w:space="0"/>
            </w:tcBorders>
            <w:noWrap w:val="0"/>
            <w:vAlign w:val="center"/>
          </w:tcPr>
          <w:p w14:paraId="322D567D">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ascii="Times New Roman" w:hAnsi="Times New Roman" w:eastAsia="宋体" w:cs="Times New Roman"/>
                <w:color w:val="auto"/>
                <w:spacing w:val="0"/>
                <w:position w:val="0"/>
                <w:sz w:val="21"/>
                <w:szCs w:val="21"/>
              </w:rPr>
            </w:pPr>
          </w:p>
          <w:p w14:paraId="704EF007">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不符合</w:t>
            </w:r>
          </w:p>
          <w:p w14:paraId="34DC646B">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要求不</w:t>
            </w:r>
          </w:p>
          <w:p w14:paraId="34A3F255">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得分</w:t>
            </w:r>
          </w:p>
        </w:tc>
        <w:tc>
          <w:tcPr>
            <w:tcW w:w="331" w:type="pct"/>
            <w:tcBorders>
              <w:top w:val="single" w:color="000000" w:sz="4" w:space="0"/>
              <w:bottom w:val="single" w:color="000000" w:sz="4" w:space="0"/>
            </w:tcBorders>
            <w:noWrap w:val="0"/>
            <w:vAlign w:val="center"/>
          </w:tcPr>
          <w:p w14:paraId="75309FA2">
            <w:pPr>
              <w:pStyle w:val="41"/>
              <w:keepNext w:val="0"/>
              <w:keepLines w:val="0"/>
              <w:pageBreakBefore w:val="0"/>
              <w:wordWrap/>
              <w:overflowPunct/>
              <w:topLinePunct w:val="0"/>
              <w:autoSpaceDE/>
              <w:autoSpaceDN/>
              <w:bidi w:val="0"/>
              <w:snapToGrid w:val="0"/>
              <w:spacing w:line="215" w:lineRule="auto"/>
              <w:ind w:left="0" w:leftChars="0" w:firstLine="0" w:firstLineChars="0"/>
              <w:jc w:val="both"/>
              <w:rPr>
                <w:rFonts w:ascii="Times New Roman" w:hAnsi="Times New Roman" w:eastAsia="宋体" w:cs="Times New Roman"/>
                <w:color w:val="auto"/>
                <w:spacing w:val="0"/>
                <w:position w:val="0"/>
                <w:sz w:val="21"/>
                <w:szCs w:val="21"/>
              </w:rPr>
            </w:pPr>
          </w:p>
          <w:p w14:paraId="1E358963">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hint="eastAsia" w:ascii="Times New Roman" w:hAnsi="Times New Roman" w:eastAsia="宋体" w:cs="Times New Roman"/>
                <w:color w:val="auto"/>
                <w:spacing w:val="0"/>
                <w:position w:val="0"/>
                <w:sz w:val="21"/>
                <w:szCs w:val="21"/>
                <w:lang w:eastAsia="zh-CN"/>
              </w:rPr>
            </w:pPr>
            <w:r>
              <w:rPr>
                <w:rFonts w:hint="eastAsia" w:ascii="Times New Roman" w:hAnsi="Times New Roman" w:cs="Times New Roman"/>
                <w:color w:val="auto"/>
                <w:spacing w:val="0"/>
                <w:position w:val="0"/>
                <w:sz w:val="21"/>
                <w:szCs w:val="21"/>
                <w:lang w:val="en-US" w:eastAsia="zh-CN"/>
              </w:rPr>
              <w:t>2</w:t>
            </w:r>
          </w:p>
        </w:tc>
      </w:tr>
      <w:tr w14:paraId="4E171E16">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rPr>
        <w:tc>
          <w:tcPr>
            <w:tcW w:w="538" w:type="pct"/>
            <w:vMerge w:val="continue"/>
            <w:tcBorders>
              <w:tl2br w:val="nil"/>
              <w:tr2bl w:val="nil"/>
            </w:tcBorders>
            <w:noWrap w:val="0"/>
            <w:vAlign w:val="center"/>
          </w:tcPr>
          <w:p w14:paraId="3BCEFBEF">
            <w:pPr>
              <w:keepNext w:val="0"/>
              <w:keepLines w:val="0"/>
              <w:pageBreakBefore w:val="0"/>
              <w:wordWrap/>
              <w:overflowPunct/>
              <w:topLinePunct w:val="0"/>
              <w:autoSpaceDE/>
              <w:autoSpaceDN/>
              <w:bidi w:val="0"/>
              <w:snapToGrid w:val="0"/>
              <w:jc w:val="center"/>
              <w:rPr>
                <w:rFonts w:ascii="Times New Roman" w:hAnsi="Times New Roman"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3D9A0EB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lang w:val="en-US" w:eastAsia="zh-CN"/>
              </w:rPr>
              <w:t>1.5</w:t>
            </w:r>
            <w:r>
              <w:rPr>
                <w:rFonts w:ascii="Times New Roman" w:hAnsi="Times New Roman" w:eastAsia="宋体" w:cs="Times New Roman"/>
                <w:color w:val="auto"/>
                <w:spacing w:val="0"/>
                <w:position w:val="0"/>
                <w:sz w:val="21"/>
                <w:szCs w:val="21"/>
              </w:rPr>
              <w:t>矿山应建立动火制度，在井下和井口建筑物内进行焊接等明火作业，应制 防火措施，经矿山企业主要负责人批准后方可动火。在井筒内进行焊接时应派专人监护；在作业部位的下方应设置收集焊渣的设施；焊接完毕应严格检查清理。</w:t>
            </w:r>
          </w:p>
        </w:tc>
        <w:tc>
          <w:tcPr>
            <w:tcW w:w="883" w:type="pct"/>
            <w:tcBorders>
              <w:top w:val="single" w:color="000000" w:sz="4" w:space="0"/>
              <w:bottom w:val="single" w:color="000000" w:sz="4" w:space="0"/>
            </w:tcBorders>
            <w:noWrap w:val="0"/>
            <w:vAlign w:val="center"/>
          </w:tcPr>
          <w:p w14:paraId="4E9CD9D9">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《金属非金属矿山安全规程》</w:t>
            </w:r>
          </w:p>
          <w:p w14:paraId="7B8B1900">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第</w:t>
            </w:r>
            <w:r>
              <w:rPr>
                <w:rFonts w:ascii="Times New Roman" w:hAnsi="Times New Roman" w:eastAsia="宋体" w:cs="Times New Roman"/>
                <w:color w:val="auto"/>
                <w:spacing w:val="0"/>
                <w:position w:val="0"/>
                <w:sz w:val="21"/>
                <w:szCs w:val="21"/>
              </w:rPr>
              <w:fldChar w:fldCharType="begin"/>
            </w:r>
            <w:r>
              <w:rPr>
                <w:rFonts w:ascii="Times New Roman" w:hAnsi="Times New Roman" w:eastAsia="宋体" w:cs="Times New Roman"/>
                <w:color w:val="auto"/>
                <w:spacing w:val="0"/>
                <w:position w:val="0"/>
                <w:sz w:val="21"/>
                <w:szCs w:val="21"/>
              </w:rPr>
              <w:instrText xml:space="preserve"> HYPERLINK "6.9.1.19" </w:instrText>
            </w:r>
            <w:r>
              <w:rPr>
                <w:rFonts w:ascii="Times New Roman" w:hAnsi="Times New Roman" w:eastAsia="宋体" w:cs="Times New Roman"/>
                <w:color w:val="auto"/>
                <w:spacing w:val="0"/>
                <w:position w:val="0"/>
                <w:sz w:val="21"/>
                <w:szCs w:val="21"/>
              </w:rPr>
              <w:fldChar w:fldCharType="separate"/>
            </w:r>
            <w:r>
              <w:rPr>
                <w:rFonts w:ascii="Times New Roman" w:hAnsi="Times New Roman" w:eastAsia="宋体" w:cs="Times New Roman"/>
                <w:color w:val="auto"/>
                <w:spacing w:val="0"/>
                <w:position w:val="0"/>
                <w:sz w:val="21"/>
                <w:szCs w:val="21"/>
              </w:rPr>
              <w:t>6.9.1.19</w:t>
            </w:r>
            <w:r>
              <w:rPr>
                <w:rFonts w:ascii="Times New Roman" w:hAnsi="Times New Roman" w:eastAsia="宋体" w:cs="Times New Roman"/>
                <w:color w:val="auto"/>
                <w:spacing w:val="0"/>
                <w:position w:val="0"/>
                <w:sz w:val="21"/>
                <w:szCs w:val="21"/>
              </w:rPr>
              <w:fldChar w:fldCharType="end"/>
            </w:r>
            <w:r>
              <w:rPr>
                <w:rFonts w:ascii="Times New Roman" w:hAnsi="Times New Roman" w:eastAsia="宋体" w:cs="Times New Roman"/>
                <w:color w:val="auto"/>
                <w:spacing w:val="0"/>
                <w:position w:val="0"/>
                <w:sz w:val="21"/>
                <w:szCs w:val="21"/>
              </w:rPr>
              <w:t>条</w:t>
            </w:r>
          </w:p>
        </w:tc>
        <w:tc>
          <w:tcPr>
            <w:tcW w:w="413" w:type="pct"/>
            <w:tcBorders>
              <w:top w:val="single" w:color="000000" w:sz="4" w:space="0"/>
              <w:bottom w:val="single" w:color="000000" w:sz="4" w:space="0"/>
            </w:tcBorders>
            <w:noWrap w:val="0"/>
            <w:vAlign w:val="center"/>
          </w:tcPr>
          <w:p w14:paraId="3B7E927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01A0D5D3">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符合</w:t>
            </w:r>
          </w:p>
        </w:tc>
        <w:tc>
          <w:tcPr>
            <w:tcW w:w="378" w:type="pct"/>
            <w:tcBorders>
              <w:top w:val="single" w:color="000000" w:sz="4" w:space="0"/>
              <w:bottom w:val="single" w:color="000000" w:sz="4" w:space="0"/>
            </w:tcBorders>
            <w:noWrap w:val="0"/>
            <w:vAlign w:val="center"/>
          </w:tcPr>
          <w:p w14:paraId="1B10EB13">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2</w:t>
            </w:r>
          </w:p>
        </w:tc>
        <w:tc>
          <w:tcPr>
            <w:tcW w:w="416" w:type="pct"/>
            <w:tcBorders>
              <w:top w:val="single" w:color="000000" w:sz="4" w:space="0"/>
              <w:bottom w:val="single" w:color="000000" w:sz="4" w:space="0"/>
            </w:tcBorders>
            <w:noWrap w:val="0"/>
            <w:vAlign w:val="center"/>
          </w:tcPr>
          <w:p w14:paraId="1005609C">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不符合</w:t>
            </w:r>
          </w:p>
          <w:p w14:paraId="79B50679">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要求不</w:t>
            </w:r>
          </w:p>
          <w:p w14:paraId="0DAD382E">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得分</w:t>
            </w:r>
          </w:p>
        </w:tc>
        <w:tc>
          <w:tcPr>
            <w:tcW w:w="331" w:type="pct"/>
            <w:tcBorders>
              <w:top w:val="single" w:color="000000" w:sz="4" w:space="0"/>
              <w:bottom w:val="single" w:color="000000" w:sz="4" w:space="0"/>
            </w:tcBorders>
            <w:noWrap w:val="0"/>
            <w:vAlign w:val="center"/>
          </w:tcPr>
          <w:p w14:paraId="7DB73DA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hint="eastAsia" w:ascii="Times New Roman" w:hAnsi="Times New Roman" w:eastAsia="宋体" w:cs="Times New Roman"/>
                <w:color w:val="auto"/>
                <w:spacing w:val="0"/>
                <w:position w:val="0"/>
                <w:sz w:val="21"/>
                <w:szCs w:val="21"/>
                <w:lang w:eastAsia="zh-CN"/>
              </w:rPr>
            </w:pPr>
            <w:r>
              <w:rPr>
                <w:rFonts w:hint="eastAsia" w:ascii="Times New Roman" w:hAnsi="Times New Roman" w:cs="Times New Roman"/>
                <w:color w:val="auto"/>
                <w:spacing w:val="0"/>
                <w:position w:val="0"/>
                <w:sz w:val="21"/>
                <w:szCs w:val="21"/>
                <w:lang w:val="en-US" w:eastAsia="zh-CN"/>
              </w:rPr>
              <w:t>2</w:t>
            </w:r>
          </w:p>
        </w:tc>
      </w:tr>
      <w:tr w14:paraId="76D77E19">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rPr>
        <w:tc>
          <w:tcPr>
            <w:tcW w:w="538" w:type="pct"/>
            <w:vMerge w:val="continue"/>
            <w:tcBorders>
              <w:tl2br w:val="nil"/>
              <w:tr2bl w:val="nil"/>
            </w:tcBorders>
            <w:noWrap w:val="0"/>
            <w:vAlign w:val="center"/>
          </w:tcPr>
          <w:p w14:paraId="323A2A63">
            <w:pPr>
              <w:keepNext w:val="0"/>
              <w:keepLines w:val="0"/>
              <w:pageBreakBefore w:val="0"/>
              <w:wordWrap/>
              <w:overflowPunct/>
              <w:topLinePunct w:val="0"/>
              <w:autoSpaceDE/>
              <w:autoSpaceDN/>
              <w:bidi w:val="0"/>
              <w:snapToGrid w:val="0"/>
              <w:jc w:val="center"/>
              <w:rPr>
                <w:rFonts w:ascii="Times New Roman" w:hAnsi="Times New Roman" w:eastAsia="宋体" w:cs="Times New Roman"/>
                <w:color w:val="auto"/>
                <w:spacing w:val="0"/>
                <w:position w:val="0"/>
                <w:sz w:val="21"/>
                <w:szCs w:val="21"/>
              </w:rPr>
            </w:pPr>
          </w:p>
        </w:tc>
        <w:tc>
          <w:tcPr>
            <w:tcW w:w="1623" w:type="pct"/>
            <w:tcBorders>
              <w:top w:val="single" w:color="000000" w:sz="4" w:space="0"/>
              <w:bottom w:val="single" w:color="000000" w:sz="4" w:space="0"/>
            </w:tcBorders>
            <w:noWrap w:val="0"/>
            <w:vAlign w:val="center"/>
          </w:tcPr>
          <w:p w14:paraId="4AD8301E">
            <w:pPr>
              <w:pStyle w:val="41"/>
              <w:keepNext w:val="0"/>
              <w:keepLines w:val="0"/>
              <w:pageBreakBefore w:val="0"/>
              <w:wordWrap/>
              <w:overflowPunct/>
              <w:topLinePunct w:val="0"/>
              <w:autoSpaceDE/>
              <w:autoSpaceDN/>
              <w:bidi w:val="0"/>
              <w:snapToGrid w:val="0"/>
              <w:spacing w:line="219" w:lineRule="auto"/>
              <w:ind w:left="0" w:leftChars="0" w:firstLine="0" w:firstLineChars="0"/>
              <w:rPr>
                <w:rFonts w:ascii="Times New Roman" w:hAnsi="Times New Roman" w:eastAsia="宋体" w:cs="Times New Roman"/>
                <w:color w:val="auto"/>
                <w:spacing w:val="0"/>
                <w:position w:val="0"/>
                <w:sz w:val="21"/>
                <w:szCs w:val="21"/>
              </w:rPr>
            </w:pPr>
            <w:r>
              <w:rPr>
                <w:rFonts w:hint="eastAsia" w:ascii="Times New Roman" w:hAnsi="Times New Roman" w:eastAsia="宋体" w:cs="Times New Roman"/>
                <w:color w:val="auto"/>
                <w:spacing w:val="0"/>
                <w:position w:val="0"/>
                <w:sz w:val="21"/>
                <w:szCs w:val="21"/>
                <w:lang w:val="en-US" w:eastAsia="zh-CN"/>
              </w:rPr>
              <w:t>1.6</w:t>
            </w:r>
            <w:r>
              <w:rPr>
                <w:rFonts w:ascii="Times New Roman" w:hAnsi="Times New Roman" w:eastAsia="宋体" w:cs="Times New Roman"/>
                <w:color w:val="auto"/>
                <w:spacing w:val="0"/>
                <w:position w:val="0"/>
                <w:sz w:val="21"/>
                <w:szCs w:val="21"/>
              </w:rPr>
              <w:t>矿井发生火灾时，主通风机是否继续运转或反风，应根据矿井火灾应急预案和当时的具体情况，由矿山企业主要负责人决定。</w:t>
            </w:r>
          </w:p>
        </w:tc>
        <w:tc>
          <w:tcPr>
            <w:tcW w:w="883" w:type="pct"/>
            <w:tcBorders>
              <w:top w:val="single" w:color="000000" w:sz="4" w:space="0"/>
              <w:bottom w:val="single" w:color="000000" w:sz="4" w:space="0"/>
            </w:tcBorders>
            <w:noWrap w:val="0"/>
            <w:vAlign w:val="center"/>
          </w:tcPr>
          <w:p w14:paraId="1C344474">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《金属非金属矿山安全规程》</w:t>
            </w:r>
          </w:p>
          <w:p w14:paraId="6235CF68">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第</w:t>
            </w:r>
            <w:r>
              <w:rPr>
                <w:rFonts w:ascii="Times New Roman" w:hAnsi="Times New Roman" w:eastAsia="宋体" w:cs="Times New Roman"/>
                <w:color w:val="auto"/>
                <w:spacing w:val="0"/>
                <w:position w:val="0"/>
                <w:sz w:val="21"/>
                <w:szCs w:val="21"/>
              </w:rPr>
              <w:fldChar w:fldCharType="begin"/>
            </w:r>
            <w:r>
              <w:rPr>
                <w:rFonts w:ascii="Times New Roman" w:hAnsi="Times New Roman" w:eastAsia="宋体" w:cs="Times New Roman"/>
                <w:color w:val="auto"/>
                <w:spacing w:val="0"/>
                <w:position w:val="0"/>
                <w:sz w:val="21"/>
                <w:szCs w:val="21"/>
              </w:rPr>
              <w:instrText xml:space="preserve"> HYPERLINK "6.9.1.20" </w:instrText>
            </w:r>
            <w:r>
              <w:rPr>
                <w:rFonts w:ascii="Times New Roman" w:hAnsi="Times New Roman" w:eastAsia="宋体" w:cs="Times New Roman"/>
                <w:color w:val="auto"/>
                <w:spacing w:val="0"/>
                <w:position w:val="0"/>
                <w:sz w:val="21"/>
                <w:szCs w:val="21"/>
              </w:rPr>
              <w:fldChar w:fldCharType="separate"/>
            </w:r>
            <w:r>
              <w:rPr>
                <w:rFonts w:ascii="Times New Roman" w:hAnsi="Times New Roman" w:eastAsia="宋体" w:cs="Times New Roman"/>
                <w:color w:val="auto"/>
                <w:spacing w:val="0"/>
                <w:position w:val="0"/>
                <w:sz w:val="21"/>
                <w:szCs w:val="21"/>
              </w:rPr>
              <w:t>6.9.1.20</w:t>
            </w:r>
            <w:r>
              <w:rPr>
                <w:rFonts w:ascii="Times New Roman" w:hAnsi="Times New Roman" w:eastAsia="宋体" w:cs="Times New Roman"/>
                <w:color w:val="auto"/>
                <w:spacing w:val="0"/>
                <w:position w:val="0"/>
                <w:sz w:val="21"/>
                <w:szCs w:val="21"/>
              </w:rPr>
              <w:fldChar w:fldCharType="end"/>
            </w:r>
            <w:r>
              <w:rPr>
                <w:rFonts w:ascii="Times New Roman" w:hAnsi="Times New Roman" w:eastAsia="宋体" w:cs="Times New Roman"/>
                <w:color w:val="auto"/>
                <w:spacing w:val="0"/>
                <w:position w:val="0"/>
                <w:sz w:val="21"/>
                <w:szCs w:val="21"/>
              </w:rPr>
              <w:t>条</w:t>
            </w:r>
          </w:p>
        </w:tc>
        <w:tc>
          <w:tcPr>
            <w:tcW w:w="413" w:type="pct"/>
            <w:tcBorders>
              <w:top w:val="single" w:color="000000" w:sz="4" w:space="0"/>
              <w:bottom w:val="single" w:color="000000" w:sz="4" w:space="0"/>
            </w:tcBorders>
            <w:noWrap w:val="0"/>
            <w:vAlign w:val="center"/>
          </w:tcPr>
          <w:p w14:paraId="5ED3CCA1">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查现场</w:t>
            </w:r>
          </w:p>
        </w:tc>
        <w:tc>
          <w:tcPr>
            <w:tcW w:w="414" w:type="pct"/>
            <w:tcBorders>
              <w:top w:val="single" w:color="000000" w:sz="4" w:space="0"/>
              <w:bottom w:val="single" w:color="000000" w:sz="4" w:space="0"/>
            </w:tcBorders>
            <w:noWrap w:val="0"/>
            <w:vAlign w:val="center"/>
          </w:tcPr>
          <w:p w14:paraId="787B8514">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符合</w:t>
            </w:r>
          </w:p>
        </w:tc>
        <w:tc>
          <w:tcPr>
            <w:tcW w:w="378" w:type="pct"/>
            <w:tcBorders>
              <w:top w:val="single" w:color="000000" w:sz="4" w:space="0"/>
              <w:bottom w:val="single" w:color="000000" w:sz="4" w:space="0"/>
            </w:tcBorders>
            <w:noWrap w:val="0"/>
            <w:vAlign w:val="center"/>
          </w:tcPr>
          <w:p w14:paraId="72C3D48C">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2</w:t>
            </w:r>
          </w:p>
        </w:tc>
        <w:tc>
          <w:tcPr>
            <w:tcW w:w="416" w:type="pct"/>
            <w:tcBorders>
              <w:top w:val="single" w:color="000000" w:sz="4" w:space="0"/>
              <w:bottom w:val="single" w:color="000000" w:sz="4" w:space="0"/>
            </w:tcBorders>
            <w:noWrap w:val="0"/>
            <w:vAlign w:val="center"/>
          </w:tcPr>
          <w:p w14:paraId="3603068F">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不符合</w:t>
            </w:r>
          </w:p>
          <w:p w14:paraId="58310714">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要求不得分</w:t>
            </w:r>
          </w:p>
        </w:tc>
        <w:tc>
          <w:tcPr>
            <w:tcW w:w="331" w:type="pct"/>
            <w:tcBorders>
              <w:top w:val="single" w:color="000000" w:sz="4" w:space="0"/>
              <w:bottom w:val="single" w:color="000000" w:sz="4" w:space="0"/>
            </w:tcBorders>
            <w:noWrap w:val="0"/>
            <w:vAlign w:val="center"/>
          </w:tcPr>
          <w:p w14:paraId="0E66A763">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hint="eastAsia" w:ascii="Times New Roman" w:hAnsi="Times New Roman" w:eastAsia="宋体" w:cs="Times New Roman"/>
                <w:color w:val="auto"/>
                <w:spacing w:val="0"/>
                <w:position w:val="0"/>
                <w:sz w:val="21"/>
                <w:szCs w:val="21"/>
                <w:lang w:val="en-US" w:eastAsia="zh-CN"/>
              </w:rPr>
            </w:pPr>
          </w:p>
          <w:p w14:paraId="602CCCC2">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hint="eastAsia" w:ascii="Times New Roman" w:hAnsi="Times New Roman" w:eastAsia="宋体" w:cs="Times New Roman"/>
                <w:color w:val="auto"/>
                <w:spacing w:val="0"/>
                <w:position w:val="0"/>
                <w:sz w:val="21"/>
                <w:szCs w:val="21"/>
                <w:lang w:val="en-US" w:eastAsia="zh-CN"/>
              </w:rPr>
            </w:pPr>
            <w:r>
              <w:rPr>
                <w:rFonts w:hint="eastAsia" w:ascii="Times New Roman" w:hAnsi="Times New Roman" w:eastAsia="宋体" w:cs="Times New Roman"/>
                <w:color w:val="auto"/>
                <w:spacing w:val="0"/>
                <w:position w:val="0"/>
                <w:sz w:val="21"/>
                <w:szCs w:val="21"/>
                <w:lang w:val="en-US" w:eastAsia="zh-CN"/>
              </w:rPr>
              <w:t>2</w:t>
            </w:r>
          </w:p>
          <w:p w14:paraId="6F378E1E">
            <w:pPr>
              <w:pStyle w:val="41"/>
              <w:keepNext w:val="0"/>
              <w:keepLines w:val="0"/>
              <w:pageBreakBefore w:val="0"/>
              <w:wordWrap/>
              <w:overflowPunct/>
              <w:topLinePunct w:val="0"/>
              <w:autoSpaceDE/>
              <w:autoSpaceDN/>
              <w:bidi w:val="0"/>
              <w:snapToGrid w:val="0"/>
              <w:spacing w:line="215" w:lineRule="auto"/>
              <w:ind w:left="0" w:leftChars="0" w:firstLine="0" w:firstLineChars="0"/>
              <w:jc w:val="center"/>
              <w:rPr>
                <w:rFonts w:ascii="Times New Roman" w:hAnsi="Times New Roman" w:eastAsia="宋体" w:cs="Times New Roman"/>
                <w:color w:val="auto"/>
                <w:spacing w:val="0"/>
                <w:position w:val="0"/>
                <w:sz w:val="21"/>
                <w:szCs w:val="21"/>
              </w:rPr>
            </w:pPr>
          </w:p>
        </w:tc>
      </w:tr>
      <w:tr w14:paraId="3833CF55">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0" w:hRule="atLeast"/>
        </w:trPr>
        <w:tc>
          <w:tcPr>
            <w:tcW w:w="538" w:type="pct"/>
            <w:tcBorders>
              <w:top w:val="single" w:color="000000" w:sz="4" w:space="0"/>
            </w:tcBorders>
            <w:noWrap w:val="0"/>
            <w:vAlign w:val="center"/>
          </w:tcPr>
          <w:p w14:paraId="38957B35">
            <w:pPr>
              <w:pStyle w:val="41"/>
              <w:keepNext w:val="0"/>
              <w:keepLines w:val="0"/>
              <w:pageBreakBefore w:val="0"/>
              <w:wordWrap/>
              <w:overflowPunct/>
              <w:topLinePunct w:val="0"/>
              <w:autoSpaceDE/>
              <w:autoSpaceDN/>
              <w:bidi w:val="0"/>
              <w:snapToGrid w:val="0"/>
              <w:spacing w:line="289" w:lineRule="exact"/>
              <w:ind w:left="0" w:leftChars="0" w:firstLine="0" w:firstLineChars="0"/>
              <w:rPr>
                <w:rFonts w:ascii="Times New Roman" w:hAnsi="Times New Roman" w:eastAsia="宋体" w:cs="Times New Roman"/>
                <w:color w:val="auto"/>
                <w:spacing w:val="0"/>
                <w:position w:val="0"/>
                <w:sz w:val="21"/>
                <w:szCs w:val="21"/>
              </w:rPr>
            </w:pPr>
            <w:r>
              <w:rPr>
                <w:rFonts w:ascii="Times New Roman" w:hAnsi="Times New Roman" w:eastAsia="宋体" w:cs="Times New Roman"/>
                <w:color w:val="auto"/>
                <w:spacing w:val="0"/>
                <w:position w:val="0"/>
                <w:sz w:val="21"/>
                <w:szCs w:val="21"/>
              </w:rPr>
              <w:t>小计</w:t>
            </w:r>
          </w:p>
        </w:tc>
        <w:tc>
          <w:tcPr>
            <w:tcW w:w="1623" w:type="pct"/>
            <w:tcBorders>
              <w:top w:val="single" w:color="000000" w:sz="4" w:space="0"/>
            </w:tcBorders>
            <w:noWrap w:val="0"/>
            <w:vAlign w:val="center"/>
          </w:tcPr>
          <w:p w14:paraId="2DEC0784">
            <w:pPr>
              <w:keepNext w:val="0"/>
              <w:keepLines w:val="0"/>
              <w:pageBreakBefore w:val="0"/>
              <w:widowControl w:val="0"/>
              <w:kinsoku/>
              <w:wordWrap/>
              <w:overflowPunct/>
              <w:topLinePunct w:val="0"/>
              <w:autoSpaceDE/>
              <w:autoSpaceDN/>
              <w:bidi w:val="0"/>
              <w:adjustRightInd/>
              <w:snapToGrid w:val="0"/>
              <w:spacing w:line="240" w:lineRule="exact"/>
              <w:ind w:left="0" w:leftChars="0" w:firstLine="0" w:firstLineChars="0"/>
              <w:jc w:val="center"/>
              <w:textAlignment w:val="auto"/>
              <w:rPr>
                <w:rFonts w:hint="eastAsia" w:ascii="Times New Roman" w:hAnsi="Times New Roman" w:eastAsia="宋体" w:cs="Times New Roman"/>
                <w:color w:val="auto"/>
                <w:spacing w:val="0"/>
                <w:kern w:val="2"/>
                <w:position w:val="0"/>
                <w:sz w:val="21"/>
                <w:szCs w:val="21"/>
                <w:lang w:val="en-US" w:eastAsia="zh-CN" w:bidi="ar-SA"/>
              </w:rPr>
            </w:pPr>
            <w:r>
              <w:rPr>
                <w:rFonts w:hint="eastAsia" w:ascii="Times New Roman" w:hAnsi="Times New Roman" w:cs="Times New Roman"/>
                <w:color w:val="auto"/>
                <w:spacing w:val="0"/>
                <w:kern w:val="2"/>
                <w:position w:val="0"/>
                <w:sz w:val="21"/>
                <w:szCs w:val="21"/>
                <w:lang w:val="en-US" w:eastAsia="zh-CN" w:bidi="ar-SA"/>
              </w:rPr>
              <w:t>1</w:t>
            </w:r>
            <w:r>
              <w:rPr>
                <w:rFonts w:hint="eastAsia" w:ascii="Times New Roman" w:hAnsi="Times New Roman" w:eastAsia="宋体" w:cs="Times New Roman"/>
                <w:color w:val="auto"/>
                <w:spacing w:val="0"/>
                <w:kern w:val="2"/>
                <w:position w:val="0"/>
                <w:sz w:val="21"/>
                <w:szCs w:val="21"/>
                <w:lang w:val="en-US" w:eastAsia="en-US" w:bidi="ar-SA"/>
              </w:rPr>
              <w:t>0分</w:t>
            </w:r>
          </w:p>
        </w:tc>
        <w:tc>
          <w:tcPr>
            <w:tcW w:w="883" w:type="pct"/>
            <w:tcBorders>
              <w:top w:val="single" w:color="000000" w:sz="4" w:space="0"/>
            </w:tcBorders>
            <w:noWrap w:val="0"/>
            <w:vAlign w:val="center"/>
          </w:tcPr>
          <w:p w14:paraId="09F1ECE6">
            <w:pPr>
              <w:keepNext w:val="0"/>
              <w:keepLines w:val="0"/>
              <w:pageBreakBefore w:val="0"/>
              <w:widowControl w:val="0"/>
              <w:kinsoku/>
              <w:wordWrap/>
              <w:overflowPunct/>
              <w:topLinePunct w:val="0"/>
              <w:autoSpaceDE/>
              <w:autoSpaceDN/>
              <w:bidi w:val="0"/>
              <w:adjustRightInd/>
              <w:snapToGrid w:val="0"/>
              <w:spacing w:line="240" w:lineRule="exact"/>
              <w:ind w:left="0" w:leftChars="0" w:firstLine="0" w:firstLineChars="0"/>
              <w:jc w:val="center"/>
              <w:textAlignment w:val="auto"/>
              <w:rPr>
                <w:rFonts w:hint="eastAsia" w:ascii="Times New Roman" w:hAnsi="Times New Roman" w:eastAsia="宋体" w:cs="Times New Roman"/>
                <w:color w:val="auto"/>
                <w:spacing w:val="0"/>
                <w:kern w:val="2"/>
                <w:position w:val="0"/>
                <w:sz w:val="21"/>
                <w:szCs w:val="21"/>
                <w:lang w:val="en-US" w:eastAsia="zh-CN" w:bidi="ar-SA"/>
              </w:rPr>
            </w:pPr>
          </w:p>
        </w:tc>
        <w:tc>
          <w:tcPr>
            <w:tcW w:w="413" w:type="pct"/>
            <w:tcBorders>
              <w:top w:val="single" w:color="000000" w:sz="4" w:space="0"/>
            </w:tcBorders>
            <w:noWrap w:val="0"/>
            <w:vAlign w:val="center"/>
          </w:tcPr>
          <w:p w14:paraId="5EF9C989">
            <w:pPr>
              <w:keepNext w:val="0"/>
              <w:keepLines w:val="0"/>
              <w:pageBreakBefore w:val="0"/>
              <w:widowControl w:val="0"/>
              <w:kinsoku/>
              <w:wordWrap/>
              <w:overflowPunct/>
              <w:topLinePunct w:val="0"/>
              <w:autoSpaceDE/>
              <w:autoSpaceDN/>
              <w:bidi w:val="0"/>
              <w:adjustRightInd/>
              <w:snapToGrid w:val="0"/>
              <w:spacing w:line="240" w:lineRule="exact"/>
              <w:ind w:left="0" w:leftChars="0" w:firstLine="0" w:firstLineChars="0"/>
              <w:jc w:val="center"/>
              <w:textAlignment w:val="auto"/>
              <w:rPr>
                <w:rFonts w:hint="eastAsia" w:ascii="Times New Roman" w:hAnsi="Times New Roman" w:eastAsia="宋体" w:cs="Times New Roman"/>
                <w:color w:val="auto"/>
                <w:spacing w:val="0"/>
                <w:kern w:val="2"/>
                <w:position w:val="0"/>
                <w:sz w:val="21"/>
                <w:szCs w:val="21"/>
                <w:lang w:val="en-US" w:eastAsia="zh-CN" w:bidi="ar-SA"/>
              </w:rPr>
            </w:pPr>
          </w:p>
        </w:tc>
        <w:tc>
          <w:tcPr>
            <w:tcW w:w="414" w:type="pct"/>
            <w:tcBorders>
              <w:top w:val="single" w:color="000000" w:sz="4" w:space="0"/>
            </w:tcBorders>
            <w:noWrap w:val="0"/>
            <w:vAlign w:val="center"/>
          </w:tcPr>
          <w:p w14:paraId="2F9D2C54">
            <w:pPr>
              <w:keepNext w:val="0"/>
              <w:keepLines w:val="0"/>
              <w:pageBreakBefore w:val="0"/>
              <w:widowControl w:val="0"/>
              <w:kinsoku/>
              <w:wordWrap/>
              <w:overflowPunct/>
              <w:topLinePunct w:val="0"/>
              <w:autoSpaceDE/>
              <w:autoSpaceDN/>
              <w:bidi w:val="0"/>
              <w:adjustRightInd/>
              <w:snapToGrid w:val="0"/>
              <w:spacing w:line="240" w:lineRule="exact"/>
              <w:ind w:left="0" w:leftChars="0" w:firstLine="0" w:firstLineChars="0"/>
              <w:jc w:val="center"/>
              <w:textAlignment w:val="auto"/>
              <w:rPr>
                <w:rFonts w:hint="eastAsia" w:ascii="Times New Roman" w:hAnsi="Times New Roman" w:eastAsia="宋体" w:cs="Times New Roman"/>
                <w:color w:val="auto"/>
                <w:spacing w:val="0"/>
                <w:kern w:val="2"/>
                <w:position w:val="0"/>
                <w:sz w:val="21"/>
                <w:szCs w:val="21"/>
                <w:lang w:val="en-US" w:eastAsia="zh-CN" w:bidi="ar-SA"/>
              </w:rPr>
            </w:pPr>
          </w:p>
        </w:tc>
        <w:tc>
          <w:tcPr>
            <w:tcW w:w="378" w:type="pct"/>
            <w:tcBorders>
              <w:top w:val="single" w:color="000000" w:sz="4" w:space="0"/>
            </w:tcBorders>
            <w:noWrap w:val="0"/>
            <w:vAlign w:val="center"/>
          </w:tcPr>
          <w:p w14:paraId="77AE48AD">
            <w:pPr>
              <w:keepNext w:val="0"/>
              <w:keepLines w:val="0"/>
              <w:pageBreakBefore w:val="0"/>
              <w:widowControl w:val="0"/>
              <w:kinsoku/>
              <w:wordWrap/>
              <w:overflowPunct/>
              <w:topLinePunct w:val="0"/>
              <w:autoSpaceDE/>
              <w:autoSpaceDN/>
              <w:bidi w:val="0"/>
              <w:adjustRightInd/>
              <w:snapToGrid w:val="0"/>
              <w:spacing w:line="240" w:lineRule="exact"/>
              <w:ind w:left="0" w:leftChars="0" w:firstLine="0" w:firstLineChars="0"/>
              <w:jc w:val="center"/>
              <w:textAlignment w:val="auto"/>
              <w:rPr>
                <w:rFonts w:hint="default" w:ascii="Times New Roman" w:hAnsi="Times New Roman" w:eastAsia="宋体" w:cs="Times New Roman"/>
                <w:color w:val="auto"/>
                <w:spacing w:val="0"/>
                <w:kern w:val="2"/>
                <w:position w:val="0"/>
                <w:sz w:val="21"/>
                <w:szCs w:val="21"/>
                <w:lang w:val="en-US" w:eastAsia="zh-CN" w:bidi="ar-SA"/>
              </w:rPr>
            </w:pPr>
            <w:r>
              <w:rPr>
                <w:rFonts w:hint="eastAsia" w:ascii="Times New Roman" w:hAnsi="Times New Roman" w:eastAsia="宋体" w:cs="Times New Roman"/>
                <w:color w:val="auto"/>
                <w:spacing w:val="0"/>
                <w:kern w:val="2"/>
                <w:position w:val="0"/>
                <w:sz w:val="21"/>
                <w:szCs w:val="21"/>
                <w:lang w:val="en-US" w:eastAsia="zh-CN" w:bidi="ar-SA"/>
              </w:rPr>
              <w:t>10</w:t>
            </w:r>
          </w:p>
        </w:tc>
        <w:tc>
          <w:tcPr>
            <w:tcW w:w="416" w:type="pct"/>
            <w:tcBorders>
              <w:top w:val="single" w:color="000000" w:sz="4" w:space="0"/>
            </w:tcBorders>
            <w:noWrap w:val="0"/>
            <w:vAlign w:val="center"/>
          </w:tcPr>
          <w:p w14:paraId="753C8CD2">
            <w:pPr>
              <w:keepNext w:val="0"/>
              <w:keepLines w:val="0"/>
              <w:pageBreakBefore w:val="0"/>
              <w:widowControl w:val="0"/>
              <w:kinsoku/>
              <w:wordWrap/>
              <w:overflowPunct/>
              <w:topLinePunct w:val="0"/>
              <w:autoSpaceDE/>
              <w:autoSpaceDN/>
              <w:bidi w:val="0"/>
              <w:adjustRightInd/>
              <w:snapToGrid w:val="0"/>
              <w:spacing w:line="240" w:lineRule="exact"/>
              <w:ind w:left="0" w:leftChars="0" w:firstLine="0" w:firstLineChars="0"/>
              <w:jc w:val="center"/>
              <w:textAlignment w:val="auto"/>
              <w:rPr>
                <w:rFonts w:hint="eastAsia" w:ascii="Times New Roman" w:hAnsi="Times New Roman" w:eastAsia="宋体" w:cs="Times New Roman"/>
                <w:color w:val="auto"/>
                <w:spacing w:val="0"/>
                <w:kern w:val="2"/>
                <w:position w:val="0"/>
                <w:sz w:val="21"/>
                <w:szCs w:val="21"/>
                <w:lang w:val="en-US" w:eastAsia="zh-CN" w:bidi="ar-SA"/>
              </w:rPr>
            </w:pPr>
          </w:p>
        </w:tc>
        <w:tc>
          <w:tcPr>
            <w:tcW w:w="331" w:type="pct"/>
            <w:tcBorders>
              <w:top w:val="single" w:color="000000" w:sz="4" w:space="0"/>
            </w:tcBorders>
            <w:noWrap w:val="0"/>
            <w:vAlign w:val="center"/>
          </w:tcPr>
          <w:p w14:paraId="5D3A8DDA">
            <w:pPr>
              <w:keepNext w:val="0"/>
              <w:keepLines w:val="0"/>
              <w:pageBreakBefore w:val="0"/>
              <w:widowControl w:val="0"/>
              <w:kinsoku/>
              <w:wordWrap/>
              <w:overflowPunct/>
              <w:topLinePunct w:val="0"/>
              <w:autoSpaceDE/>
              <w:autoSpaceDN/>
              <w:bidi w:val="0"/>
              <w:adjustRightInd/>
              <w:snapToGrid w:val="0"/>
              <w:spacing w:line="240" w:lineRule="exact"/>
              <w:ind w:left="0" w:leftChars="0" w:firstLine="0" w:firstLineChars="0"/>
              <w:jc w:val="center"/>
              <w:textAlignment w:val="auto"/>
              <w:rPr>
                <w:rFonts w:hint="default" w:ascii="Times New Roman" w:hAnsi="Times New Roman" w:eastAsia="宋体" w:cs="Times New Roman"/>
                <w:color w:val="auto"/>
                <w:spacing w:val="0"/>
                <w:kern w:val="2"/>
                <w:position w:val="0"/>
                <w:sz w:val="21"/>
                <w:szCs w:val="21"/>
                <w:lang w:val="en-US" w:eastAsia="zh-CN" w:bidi="ar-SA"/>
              </w:rPr>
            </w:pPr>
            <w:r>
              <w:rPr>
                <w:rFonts w:hint="eastAsia" w:ascii="Times New Roman" w:hAnsi="Times New Roman" w:cs="Times New Roman"/>
                <w:color w:val="auto"/>
                <w:spacing w:val="0"/>
                <w:kern w:val="2"/>
                <w:position w:val="0"/>
                <w:sz w:val="21"/>
                <w:szCs w:val="21"/>
                <w:lang w:val="en-US" w:eastAsia="zh-CN" w:bidi="ar-SA"/>
              </w:rPr>
              <w:t>10</w:t>
            </w:r>
          </w:p>
        </w:tc>
      </w:tr>
    </w:tbl>
    <w:p w14:paraId="7A08EFAA">
      <w:pPr>
        <w:pStyle w:val="5"/>
        <w:bidi w:val="0"/>
        <w:rPr>
          <w:rFonts w:hint="eastAsia"/>
          <w:color w:val="auto"/>
          <w:lang w:val="en-US" w:eastAsia="zh-CN"/>
        </w:rPr>
      </w:pPr>
      <w:bookmarkStart w:id="916" w:name="_Toc10814"/>
      <w:bookmarkStart w:id="917" w:name="_Toc3678"/>
      <w:bookmarkStart w:id="918" w:name="_Toc5173"/>
      <w:bookmarkStart w:id="919" w:name="_Toc25523"/>
      <w:r>
        <w:rPr>
          <w:rFonts w:hint="eastAsia"/>
          <w:color w:val="auto"/>
          <w:lang w:val="en-US" w:eastAsia="zh-CN"/>
        </w:rPr>
        <w:t>5.8.2 单元评价小结</w:t>
      </w:r>
      <w:bookmarkEnd w:id="916"/>
      <w:bookmarkEnd w:id="917"/>
      <w:bookmarkEnd w:id="918"/>
      <w:bookmarkEnd w:id="919"/>
    </w:p>
    <w:p w14:paraId="0DD7B0A4">
      <w:pPr>
        <w:bidi w:val="0"/>
        <w:rPr>
          <w:rFonts w:hint="eastAsia"/>
          <w:color w:val="auto"/>
          <w:lang w:val="en-US" w:eastAsia="zh-CN"/>
        </w:rPr>
      </w:pPr>
      <w:r>
        <w:rPr>
          <w:rFonts w:hint="eastAsia"/>
          <w:color w:val="auto"/>
          <w:lang w:val="en-US" w:eastAsia="zh-CN"/>
        </w:rPr>
        <w:t>运用安全检查表对井下防灭火系统进行评价，井下防灭火单元总分20分，应得分10分，扣分0分，实得分10分，得分率为100%。井下防灭火单元符合安全要求。</w:t>
      </w:r>
    </w:p>
    <w:p w14:paraId="353700A7">
      <w:pPr>
        <w:pStyle w:val="4"/>
        <w:bidi w:val="0"/>
        <w:rPr>
          <w:rFonts w:hint="eastAsia"/>
          <w:color w:val="auto"/>
          <w:lang w:val="en-US" w:eastAsia="zh-CN"/>
        </w:rPr>
      </w:pPr>
      <w:bookmarkStart w:id="920" w:name="_Toc5069"/>
      <w:bookmarkStart w:id="921" w:name="_Toc3887"/>
      <w:bookmarkStart w:id="922" w:name="_Toc28108"/>
      <w:bookmarkStart w:id="923" w:name="_Toc26504"/>
      <w:bookmarkStart w:id="924" w:name="_Toc23134"/>
      <w:bookmarkStart w:id="925" w:name="_Toc20843"/>
      <w:bookmarkStart w:id="926" w:name="_Toc25281"/>
      <w:bookmarkStart w:id="927" w:name="_Toc5343"/>
      <w:bookmarkStart w:id="928" w:name="_Toc3507"/>
      <w:r>
        <w:rPr>
          <w:rFonts w:hint="eastAsia"/>
          <w:color w:val="auto"/>
          <w:lang w:val="en-US" w:eastAsia="zh-CN"/>
        </w:rPr>
        <w:t>5.9 废石场单元</w:t>
      </w:r>
      <w:bookmarkEnd w:id="920"/>
      <w:bookmarkEnd w:id="921"/>
      <w:bookmarkEnd w:id="922"/>
      <w:bookmarkEnd w:id="923"/>
      <w:bookmarkEnd w:id="924"/>
      <w:bookmarkEnd w:id="925"/>
      <w:bookmarkEnd w:id="926"/>
      <w:bookmarkEnd w:id="927"/>
      <w:bookmarkEnd w:id="928"/>
    </w:p>
    <w:p w14:paraId="1E6C22C2">
      <w:pPr>
        <w:pStyle w:val="5"/>
        <w:bidi w:val="0"/>
        <w:rPr>
          <w:rFonts w:hint="eastAsia"/>
          <w:color w:val="auto"/>
          <w:lang w:val="en-US" w:eastAsia="zh-CN"/>
        </w:rPr>
      </w:pPr>
      <w:bookmarkStart w:id="929" w:name="_Toc18366"/>
      <w:bookmarkStart w:id="930" w:name="_Toc22328"/>
      <w:bookmarkStart w:id="931" w:name="_Toc9537"/>
      <w:bookmarkStart w:id="932" w:name="_Toc2117"/>
      <w:r>
        <w:rPr>
          <w:rFonts w:hint="eastAsia"/>
          <w:color w:val="auto"/>
          <w:lang w:val="en-US" w:eastAsia="zh-CN"/>
        </w:rPr>
        <w:t>5.9.1 安全检查表评价</w:t>
      </w:r>
      <w:bookmarkEnd w:id="929"/>
      <w:bookmarkEnd w:id="930"/>
      <w:bookmarkEnd w:id="931"/>
      <w:bookmarkEnd w:id="932"/>
    </w:p>
    <w:p w14:paraId="0D628389">
      <w:pPr>
        <w:bidi w:val="0"/>
        <w:rPr>
          <w:rFonts w:hint="eastAsia"/>
          <w:color w:val="auto"/>
          <w:lang w:val="en-US" w:eastAsia="zh-CN"/>
        </w:rPr>
      </w:pPr>
      <w:r>
        <w:rPr>
          <w:rFonts w:hint="eastAsia"/>
          <w:color w:val="auto"/>
          <w:lang w:val="en-US" w:eastAsia="zh-CN"/>
        </w:rPr>
        <w:t>采用安全检查表法对矿山废石场单元进行分析评价，见表5.9-1。</w:t>
      </w:r>
    </w:p>
    <w:p w14:paraId="08213853">
      <w:pPr>
        <w:bidi w:val="0"/>
        <w:jc w:val="center"/>
        <w:rPr>
          <w:rFonts w:hint="eastAsia"/>
          <w:color w:val="auto"/>
        </w:rPr>
      </w:pPr>
      <w:r>
        <w:rPr>
          <w:rFonts w:hint="eastAsia"/>
          <w:color w:val="auto"/>
        </w:rPr>
        <w:t>表 5</w:t>
      </w:r>
      <w:r>
        <w:rPr>
          <w:rFonts w:hint="eastAsia"/>
          <w:color w:val="auto"/>
          <w:lang w:val="en-US" w:eastAsia="zh-CN"/>
        </w:rPr>
        <w:t>.9-1</w:t>
      </w:r>
      <w:r>
        <w:rPr>
          <w:rFonts w:hint="eastAsia"/>
          <w:color w:val="auto"/>
        </w:rPr>
        <w:t xml:space="preserve"> 废石场单元安全检查表</w:t>
      </w:r>
    </w:p>
    <w:tbl>
      <w:tblPr>
        <w:tblStyle w:val="18"/>
        <w:tblW w:w="9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2954"/>
        <w:gridCol w:w="1620"/>
        <w:gridCol w:w="1031"/>
        <w:gridCol w:w="877"/>
        <w:gridCol w:w="683"/>
        <w:gridCol w:w="914"/>
        <w:gridCol w:w="513"/>
      </w:tblGrid>
      <w:tr w14:paraId="4F89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32" w:type="dxa"/>
            <w:noWrap w:val="0"/>
            <w:vAlign w:val="center"/>
          </w:tcPr>
          <w:p w14:paraId="2576E17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检查</w:t>
            </w:r>
          </w:p>
          <w:p w14:paraId="28CA65F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项目</w:t>
            </w:r>
          </w:p>
        </w:tc>
        <w:tc>
          <w:tcPr>
            <w:tcW w:w="2954" w:type="dxa"/>
            <w:noWrap w:val="0"/>
            <w:vAlign w:val="center"/>
          </w:tcPr>
          <w:p w14:paraId="70C8BE2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检查内容</w:t>
            </w:r>
          </w:p>
        </w:tc>
        <w:tc>
          <w:tcPr>
            <w:tcW w:w="1620" w:type="dxa"/>
            <w:noWrap w:val="0"/>
            <w:vAlign w:val="center"/>
          </w:tcPr>
          <w:p w14:paraId="5164D37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检查依据</w:t>
            </w:r>
          </w:p>
        </w:tc>
        <w:tc>
          <w:tcPr>
            <w:tcW w:w="1031" w:type="dxa"/>
            <w:noWrap w:val="0"/>
            <w:vAlign w:val="center"/>
          </w:tcPr>
          <w:p w14:paraId="45BDF5E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检查方法及地点</w:t>
            </w:r>
          </w:p>
        </w:tc>
        <w:tc>
          <w:tcPr>
            <w:tcW w:w="877" w:type="dxa"/>
            <w:noWrap w:val="0"/>
            <w:vAlign w:val="center"/>
          </w:tcPr>
          <w:p w14:paraId="52AC585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检查记录</w:t>
            </w:r>
          </w:p>
        </w:tc>
        <w:tc>
          <w:tcPr>
            <w:tcW w:w="683" w:type="dxa"/>
            <w:noWrap w:val="0"/>
            <w:vAlign w:val="center"/>
          </w:tcPr>
          <w:p w14:paraId="6522BAB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标准分值</w:t>
            </w:r>
          </w:p>
        </w:tc>
        <w:tc>
          <w:tcPr>
            <w:tcW w:w="914" w:type="dxa"/>
            <w:noWrap w:val="0"/>
            <w:vAlign w:val="center"/>
          </w:tcPr>
          <w:p w14:paraId="0A8714C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评分</w:t>
            </w:r>
          </w:p>
          <w:p w14:paraId="0BEC163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标准</w:t>
            </w:r>
          </w:p>
        </w:tc>
        <w:tc>
          <w:tcPr>
            <w:tcW w:w="513" w:type="dxa"/>
            <w:noWrap w:val="0"/>
            <w:vAlign w:val="center"/>
          </w:tcPr>
          <w:p w14:paraId="666D0AB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检查结果</w:t>
            </w:r>
          </w:p>
        </w:tc>
      </w:tr>
      <w:tr w14:paraId="1304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32" w:type="dxa"/>
            <w:vMerge w:val="restart"/>
            <w:noWrap w:val="0"/>
            <w:vAlign w:val="center"/>
          </w:tcPr>
          <w:p w14:paraId="49340F3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p w14:paraId="5509B8C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排土场</w:t>
            </w:r>
          </w:p>
          <w:p w14:paraId="6D363DD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安全</w:t>
            </w:r>
          </w:p>
          <w:p w14:paraId="5434574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设施</w:t>
            </w:r>
          </w:p>
        </w:tc>
        <w:tc>
          <w:tcPr>
            <w:tcW w:w="2954" w:type="dxa"/>
            <w:noWrap w:val="0"/>
            <w:vAlign w:val="center"/>
          </w:tcPr>
          <w:p w14:paraId="2013D3E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1.1排土场应由有资质的单位设计。</w:t>
            </w:r>
          </w:p>
        </w:tc>
        <w:tc>
          <w:tcPr>
            <w:tcW w:w="1620" w:type="dxa"/>
            <w:noWrap w:val="0"/>
            <w:vAlign w:val="center"/>
          </w:tcPr>
          <w:p w14:paraId="483A5E3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041AA8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查文本</w:t>
            </w:r>
          </w:p>
        </w:tc>
        <w:tc>
          <w:tcPr>
            <w:tcW w:w="877" w:type="dxa"/>
            <w:noWrap w:val="0"/>
            <w:vAlign w:val="center"/>
          </w:tcPr>
          <w:p w14:paraId="343353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符合要求</w:t>
            </w:r>
          </w:p>
        </w:tc>
        <w:tc>
          <w:tcPr>
            <w:tcW w:w="683" w:type="dxa"/>
            <w:noWrap w:val="0"/>
            <w:vAlign w:val="center"/>
          </w:tcPr>
          <w:p w14:paraId="4FC3B6B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2B21761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7C2706B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r>
      <w:tr w14:paraId="2166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32" w:type="dxa"/>
            <w:vMerge w:val="continue"/>
            <w:noWrap w:val="0"/>
            <w:vAlign w:val="center"/>
          </w:tcPr>
          <w:p w14:paraId="65393381">
            <w:pPr>
              <w:spacing w:line="300" w:lineRule="exact"/>
              <w:jc w:val="center"/>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600783A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1..2汽车排废时，排土卸载平台边缘，是否有固定的挡车设施。</w:t>
            </w:r>
          </w:p>
        </w:tc>
        <w:tc>
          <w:tcPr>
            <w:tcW w:w="1620" w:type="dxa"/>
            <w:noWrap w:val="0"/>
            <w:vAlign w:val="center"/>
          </w:tcPr>
          <w:p w14:paraId="131A838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01176B6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2B9D8A7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符合要求</w:t>
            </w:r>
          </w:p>
        </w:tc>
        <w:tc>
          <w:tcPr>
            <w:tcW w:w="683" w:type="dxa"/>
            <w:noWrap w:val="0"/>
            <w:vAlign w:val="center"/>
          </w:tcPr>
          <w:p w14:paraId="4876E53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31AD9B6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602ABB3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1</w:t>
            </w:r>
          </w:p>
        </w:tc>
      </w:tr>
      <w:tr w14:paraId="141F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732" w:type="dxa"/>
            <w:vMerge w:val="continue"/>
            <w:noWrap w:val="0"/>
            <w:vAlign w:val="center"/>
          </w:tcPr>
          <w:p w14:paraId="16EEA266">
            <w:pPr>
              <w:spacing w:line="300" w:lineRule="exact"/>
              <w:jc w:val="center"/>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4EF993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lang w:val="en-US" w:eastAsia="zh-CN"/>
              </w:rPr>
              <w:t>排土场应设拦挡设施，堆置高度大于120m的沟谷型排土场应在底部设置挡石坝。</w:t>
            </w:r>
          </w:p>
        </w:tc>
        <w:tc>
          <w:tcPr>
            <w:tcW w:w="1620" w:type="dxa"/>
            <w:noWrap w:val="0"/>
            <w:vAlign w:val="center"/>
          </w:tcPr>
          <w:p w14:paraId="02A445E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2F0B76F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122FA5D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无此项</w:t>
            </w:r>
          </w:p>
        </w:tc>
        <w:tc>
          <w:tcPr>
            <w:tcW w:w="683" w:type="dxa"/>
            <w:noWrap w:val="0"/>
            <w:vAlign w:val="center"/>
          </w:tcPr>
          <w:p w14:paraId="3C952C5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418D735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57FF817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3E5A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732" w:type="dxa"/>
            <w:vMerge w:val="restart"/>
            <w:noWrap w:val="0"/>
            <w:vAlign w:val="center"/>
          </w:tcPr>
          <w:p w14:paraId="1735FFC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w:t>
            </w:r>
          </w:p>
          <w:p w14:paraId="7C9119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排土场</w:t>
            </w:r>
          </w:p>
          <w:p w14:paraId="226EF04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安全</w:t>
            </w:r>
          </w:p>
          <w:p w14:paraId="63F040F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管理</w:t>
            </w:r>
          </w:p>
        </w:tc>
        <w:tc>
          <w:tcPr>
            <w:tcW w:w="2954" w:type="dxa"/>
            <w:noWrap w:val="0"/>
            <w:vAlign w:val="center"/>
          </w:tcPr>
          <w:p w14:paraId="1D8F121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2.1高台阶排土（废石排弃）场，应设专人观测和管理，发现危险征兆及时处理。</w:t>
            </w:r>
          </w:p>
        </w:tc>
        <w:tc>
          <w:tcPr>
            <w:tcW w:w="1620" w:type="dxa"/>
            <w:noWrap w:val="0"/>
            <w:vAlign w:val="center"/>
          </w:tcPr>
          <w:p w14:paraId="1903E57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4ED1B04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查文本</w:t>
            </w:r>
          </w:p>
        </w:tc>
        <w:tc>
          <w:tcPr>
            <w:tcW w:w="877" w:type="dxa"/>
            <w:noWrap w:val="0"/>
            <w:vAlign w:val="center"/>
          </w:tcPr>
          <w:p w14:paraId="2A9E325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无此项</w:t>
            </w:r>
          </w:p>
        </w:tc>
        <w:tc>
          <w:tcPr>
            <w:tcW w:w="683" w:type="dxa"/>
            <w:noWrap w:val="0"/>
            <w:vAlign w:val="center"/>
          </w:tcPr>
          <w:p w14:paraId="3DCB066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429FDD2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35EFCD7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cs="Times New Roman"/>
                <w:b w:val="0"/>
                <w:bCs w:val="0"/>
                <w:color w:val="auto"/>
                <w:spacing w:val="0"/>
                <w:w w:val="100"/>
                <w:sz w:val="21"/>
                <w:szCs w:val="21"/>
                <w:lang w:val="en-US" w:eastAsia="zh-CN"/>
              </w:rPr>
              <w:t>-</w:t>
            </w:r>
          </w:p>
        </w:tc>
      </w:tr>
      <w:tr w14:paraId="0FED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32" w:type="dxa"/>
            <w:vMerge w:val="continue"/>
            <w:noWrap w:val="0"/>
            <w:vAlign w:val="center"/>
          </w:tcPr>
          <w:p w14:paraId="77297F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69979FC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2.2进行排弃作业时，应划定危险范围，并设立警示标志，危险区域严禁人员入内。</w:t>
            </w:r>
          </w:p>
        </w:tc>
        <w:tc>
          <w:tcPr>
            <w:tcW w:w="1620" w:type="dxa"/>
            <w:noWrap w:val="0"/>
            <w:vAlign w:val="center"/>
          </w:tcPr>
          <w:p w14:paraId="3CCBA00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354DEBF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0F15F52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default" w:ascii="Times New Roman" w:hAnsi="Times New Roman" w:eastAsia="宋体" w:cs="Times New Roman"/>
                <w:b w:val="0"/>
                <w:bCs w:val="0"/>
                <w:color w:val="auto"/>
                <w:spacing w:val="0"/>
                <w:w w:val="100"/>
                <w:sz w:val="21"/>
                <w:szCs w:val="21"/>
              </w:rPr>
              <w:t>警示标志</w:t>
            </w:r>
            <w:r>
              <w:rPr>
                <w:rFonts w:hint="eastAsia" w:ascii="Times New Roman" w:hAnsi="Times New Roman" w:eastAsia="宋体" w:cs="Times New Roman"/>
                <w:b w:val="0"/>
                <w:bCs w:val="0"/>
                <w:color w:val="auto"/>
                <w:spacing w:val="0"/>
                <w:w w:val="100"/>
                <w:sz w:val="21"/>
                <w:szCs w:val="21"/>
                <w:lang w:val="en-US" w:eastAsia="zh-CN"/>
              </w:rPr>
              <w:t>不完善</w:t>
            </w:r>
          </w:p>
        </w:tc>
        <w:tc>
          <w:tcPr>
            <w:tcW w:w="683" w:type="dxa"/>
            <w:noWrap w:val="0"/>
            <w:vAlign w:val="center"/>
          </w:tcPr>
          <w:p w14:paraId="6528E93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6FDA46F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2BB5E25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eastAsia="zh-CN"/>
              </w:rPr>
            </w:pPr>
            <w:r>
              <w:rPr>
                <w:rFonts w:hint="default" w:ascii="Times New Roman" w:hAnsi="Times New Roman" w:eastAsia="宋体" w:cs="Times New Roman"/>
                <w:b w:val="0"/>
                <w:bCs w:val="0"/>
                <w:color w:val="auto"/>
                <w:spacing w:val="0"/>
                <w:w w:val="100"/>
                <w:sz w:val="21"/>
                <w:szCs w:val="21"/>
                <w:lang w:val="en-US" w:eastAsia="zh-CN"/>
              </w:rPr>
              <w:t>0</w:t>
            </w:r>
          </w:p>
        </w:tc>
      </w:tr>
      <w:tr w14:paraId="74D3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732" w:type="dxa"/>
            <w:vMerge w:val="continue"/>
            <w:noWrap w:val="0"/>
            <w:vAlign w:val="center"/>
          </w:tcPr>
          <w:p w14:paraId="3A0F802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1425DDD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2.3废石排弃场应不影响采矿场、工业场地（厂区）、居民点、铁路、道路、耕种区、水域、隧道的安全。</w:t>
            </w:r>
          </w:p>
        </w:tc>
        <w:tc>
          <w:tcPr>
            <w:tcW w:w="1620" w:type="dxa"/>
            <w:noWrap w:val="0"/>
            <w:vAlign w:val="center"/>
          </w:tcPr>
          <w:p w14:paraId="5726C05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7755BA3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2846951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对外界无影响</w:t>
            </w:r>
          </w:p>
        </w:tc>
        <w:tc>
          <w:tcPr>
            <w:tcW w:w="683" w:type="dxa"/>
            <w:noWrap w:val="0"/>
            <w:vAlign w:val="center"/>
          </w:tcPr>
          <w:p w14:paraId="6F1A370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16A7892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68EFA0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r>
      <w:tr w14:paraId="7407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732" w:type="dxa"/>
            <w:vMerge w:val="continue"/>
            <w:noWrap w:val="0"/>
            <w:vAlign w:val="center"/>
          </w:tcPr>
          <w:p w14:paraId="55B4D02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315B17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2.4废石排弃场的阶段及总堆置高度、阶段边坡角、最终边帮角、平台宽度、相邻阶段同时作业的超前堆置高度，均应符合设计要求。</w:t>
            </w:r>
          </w:p>
        </w:tc>
        <w:tc>
          <w:tcPr>
            <w:tcW w:w="1620" w:type="dxa"/>
            <w:noWrap w:val="0"/>
            <w:vAlign w:val="center"/>
          </w:tcPr>
          <w:p w14:paraId="35373F0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2F7E081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26026F4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未堆置最终境界</w:t>
            </w:r>
          </w:p>
        </w:tc>
        <w:tc>
          <w:tcPr>
            <w:tcW w:w="683" w:type="dxa"/>
            <w:noWrap w:val="0"/>
            <w:vAlign w:val="center"/>
          </w:tcPr>
          <w:p w14:paraId="5D17BBC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w:t>
            </w:r>
          </w:p>
        </w:tc>
        <w:tc>
          <w:tcPr>
            <w:tcW w:w="914" w:type="dxa"/>
            <w:noWrap w:val="0"/>
            <w:vAlign w:val="center"/>
          </w:tcPr>
          <w:p w14:paraId="3022D33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64B54AC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w:t>
            </w:r>
          </w:p>
        </w:tc>
      </w:tr>
      <w:tr w14:paraId="14F8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32" w:type="dxa"/>
            <w:vMerge w:val="continue"/>
            <w:noWrap w:val="0"/>
            <w:vAlign w:val="center"/>
          </w:tcPr>
          <w:p w14:paraId="4F9A00A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4F39629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2.5废石排弃场应有截流、防洪、排水设施和防泥石流的措施，截、排洪设施等是否符合规范要求。</w:t>
            </w:r>
          </w:p>
        </w:tc>
        <w:tc>
          <w:tcPr>
            <w:tcW w:w="1620" w:type="dxa"/>
            <w:noWrap w:val="0"/>
            <w:vAlign w:val="center"/>
          </w:tcPr>
          <w:p w14:paraId="68EF7AF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099539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26C7ED4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符合</w:t>
            </w:r>
          </w:p>
        </w:tc>
        <w:tc>
          <w:tcPr>
            <w:tcW w:w="683" w:type="dxa"/>
            <w:noWrap w:val="0"/>
            <w:vAlign w:val="center"/>
          </w:tcPr>
          <w:p w14:paraId="7209BA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w:t>
            </w:r>
          </w:p>
        </w:tc>
        <w:tc>
          <w:tcPr>
            <w:tcW w:w="914" w:type="dxa"/>
            <w:noWrap w:val="0"/>
            <w:vAlign w:val="center"/>
          </w:tcPr>
          <w:p w14:paraId="40DAA06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55E314B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w:t>
            </w:r>
          </w:p>
        </w:tc>
      </w:tr>
      <w:tr w14:paraId="4E6D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noWrap w:val="0"/>
            <w:vAlign w:val="center"/>
          </w:tcPr>
          <w:p w14:paraId="410EBA84">
            <w:pPr>
              <w:spacing w:line="300" w:lineRule="exact"/>
              <w:jc w:val="center"/>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4BAA587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2.6排土场设立相应的管理机构，建立、健全排土场管理、维护和检查制度，编制排土场作业规程。</w:t>
            </w:r>
          </w:p>
        </w:tc>
        <w:tc>
          <w:tcPr>
            <w:tcW w:w="1620" w:type="dxa"/>
            <w:noWrap w:val="0"/>
            <w:vAlign w:val="center"/>
          </w:tcPr>
          <w:p w14:paraId="783349F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321954B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查文本</w:t>
            </w:r>
          </w:p>
        </w:tc>
        <w:tc>
          <w:tcPr>
            <w:tcW w:w="877" w:type="dxa"/>
            <w:noWrap w:val="0"/>
            <w:vAlign w:val="center"/>
          </w:tcPr>
          <w:p w14:paraId="35D193D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eastAsia" w:ascii="Times New Roman" w:hAnsi="Times New Roman" w:eastAsia="宋体" w:cs="Times New Roman"/>
                <w:b w:val="0"/>
                <w:bCs w:val="0"/>
                <w:color w:val="auto"/>
                <w:spacing w:val="0"/>
                <w:w w:val="100"/>
                <w:sz w:val="21"/>
                <w:szCs w:val="21"/>
                <w:lang w:val="en-US" w:eastAsia="zh-CN"/>
              </w:rPr>
              <w:t>不</w:t>
            </w:r>
            <w:r>
              <w:rPr>
                <w:rFonts w:hint="default" w:ascii="Times New Roman" w:hAnsi="Times New Roman" w:eastAsia="宋体" w:cs="Times New Roman"/>
                <w:b w:val="0"/>
                <w:bCs w:val="0"/>
                <w:color w:val="auto"/>
                <w:spacing w:val="0"/>
                <w:w w:val="100"/>
                <w:sz w:val="21"/>
                <w:szCs w:val="21"/>
              </w:rPr>
              <w:t>符合</w:t>
            </w:r>
          </w:p>
        </w:tc>
        <w:tc>
          <w:tcPr>
            <w:tcW w:w="683" w:type="dxa"/>
            <w:noWrap w:val="0"/>
            <w:vAlign w:val="center"/>
          </w:tcPr>
          <w:p w14:paraId="36D6269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w:t>
            </w:r>
          </w:p>
        </w:tc>
        <w:tc>
          <w:tcPr>
            <w:tcW w:w="914" w:type="dxa"/>
            <w:noWrap w:val="0"/>
            <w:vAlign w:val="center"/>
          </w:tcPr>
          <w:p w14:paraId="2EE4AF5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47ABBAF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2</w:t>
            </w:r>
          </w:p>
        </w:tc>
      </w:tr>
      <w:tr w14:paraId="7608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732" w:type="dxa"/>
            <w:vMerge w:val="restart"/>
            <w:noWrap w:val="0"/>
            <w:vAlign w:val="center"/>
          </w:tcPr>
          <w:p w14:paraId="696614B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w:t>
            </w:r>
          </w:p>
          <w:p w14:paraId="2F4FB42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设计与评价</w:t>
            </w:r>
          </w:p>
        </w:tc>
        <w:tc>
          <w:tcPr>
            <w:tcW w:w="2954" w:type="dxa"/>
            <w:noWrap w:val="0"/>
            <w:vAlign w:val="center"/>
          </w:tcPr>
          <w:p w14:paraId="3DBAD52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3.1排土场条件发生变化时，出现工程地质或水文地质问题，应由有资质的单位重新设计，并采取相应措施。</w:t>
            </w:r>
          </w:p>
        </w:tc>
        <w:tc>
          <w:tcPr>
            <w:tcW w:w="1620" w:type="dxa"/>
            <w:noWrap w:val="0"/>
            <w:vAlign w:val="center"/>
          </w:tcPr>
          <w:p w14:paraId="09F5188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247A798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68D0883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无此现象</w:t>
            </w:r>
          </w:p>
        </w:tc>
        <w:tc>
          <w:tcPr>
            <w:tcW w:w="683" w:type="dxa"/>
            <w:noWrap w:val="0"/>
            <w:vAlign w:val="center"/>
          </w:tcPr>
          <w:p w14:paraId="2496E1E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4739B1E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76A17D7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6A5F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732" w:type="dxa"/>
            <w:vMerge w:val="continue"/>
            <w:noWrap w:val="0"/>
            <w:vAlign w:val="center"/>
          </w:tcPr>
          <w:p w14:paraId="1E6D878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34D776D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3.2处于地震烈度高于6度地区的排土场，应制定相应的防震和抗震的应急预案。</w:t>
            </w:r>
          </w:p>
        </w:tc>
        <w:tc>
          <w:tcPr>
            <w:tcW w:w="1620" w:type="dxa"/>
            <w:noWrap w:val="0"/>
            <w:vAlign w:val="center"/>
          </w:tcPr>
          <w:p w14:paraId="036C8E2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3FCCFD0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查文本</w:t>
            </w:r>
          </w:p>
        </w:tc>
        <w:tc>
          <w:tcPr>
            <w:tcW w:w="877" w:type="dxa"/>
            <w:noWrap w:val="0"/>
            <w:vAlign w:val="center"/>
          </w:tcPr>
          <w:p w14:paraId="56A8CDA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地震烈度6°</w:t>
            </w:r>
          </w:p>
        </w:tc>
        <w:tc>
          <w:tcPr>
            <w:tcW w:w="683" w:type="dxa"/>
            <w:noWrap w:val="0"/>
            <w:vAlign w:val="center"/>
          </w:tcPr>
          <w:p w14:paraId="11BC5F3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4427BE9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37DCB65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68E0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732" w:type="dxa"/>
            <w:vMerge w:val="continue"/>
            <w:noWrap w:val="0"/>
            <w:vAlign w:val="center"/>
          </w:tcPr>
          <w:p w14:paraId="020A51D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0B4D166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3.3未经设计或技术论证，不应在排土场内回收低品位矿石、捡石材或其它活动。</w:t>
            </w:r>
          </w:p>
        </w:tc>
        <w:tc>
          <w:tcPr>
            <w:tcW w:w="1620" w:type="dxa"/>
            <w:noWrap w:val="0"/>
            <w:vAlign w:val="center"/>
          </w:tcPr>
          <w:p w14:paraId="36139E9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31176E5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noWrap w:val="0"/>
            <w:vAlign w:val="center"/>
          </w:tcPr>
          <w:p w14:paraId="4CF39B3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综合利用</w:t>
            </w:r>
          </w:p>
        </w:tc>
        <w:tc>
          <w:tcPr>
            <w:tcW w:w="683" w:type="dxa"/>
            <w:noWrap w:val="0"/>
            <w:vAlign w:val="center"/>
          </w:tcPr>
          <w:p w14:paraId="700B587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7D159F2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2397DE8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r>
      <w:tr w14:paraId="285C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noWrap w:val="0"/>
            <w:vAlign w:val="center"/>
          </w:tcPr>
          <w:p w14:paraId="435B2C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1751986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3.4建立排土场监测系统，定期进行监测。</w:t>
            </w:r>
          </w:p>
        </w:tc>
        <w:tc>
          <w:tcPr>
            <w:tcW w:w="1620" w:type="dxa"/>
            <w:noWrap w:val="0"/>
            <w:vAlign w:val="center"/>
          </w:tcPr>
          <w:p w14:paraId="599E77C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44AC4C3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查现场</w:t>
            </w:r>
          </w:p>
        </w:tc>
        <w:tc>
          <w:tcPr>
            <w:tcW w:w="877" w:type="dxa"/>
            <w:vMerge w:val="restart"/>
            <w:noWrap w:val="0"/>
            <w:vAlign w:val="center"/>
          </w:tcPr>
          <w:p w14:paraId="41DC6C3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rPr>
            </w:pPr>
            <w:r>
              <w:rPr>
                <w:rFonts w:hint="eastAsia" w:ascii="Times New Roman" w:hAnsi="Times New Roman" w:eastAsia="宋体" w:cs="Times New Roman"/>
                <w:b w:val="0"/>
                <w:bCs w:val="0"/>
                <w:color w:val="auto"/>
                <w:spacing w:val="0"/>
                <w:w w:val="100"/>
                <w:sz w:val="21"/>
                <w:szCs w:val="21"/>
                <w:lang w:val="en-US" w:eastAsia="zh-CN"/>
              </w:rPr>
              <w:t>废石大多用于当地建筑用料，只有极少部分堆存。无关项</w:t>
            </w:r>
          </w:p>
        </w:tc>
        <w:tc>
          <w:tcPr>
            <w:tcW w:w="683" w:type="dxa"/>
            <w:noWrap w:val="0"/>
            <w:vAlign w:val="center"/>
          </w:tcPr>
          <w:p w14:paraId="5A14A6F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611B5B9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w:t>
            </w:r>
          </w:p>
          <w:p w14:paraId="6E9AE7B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不得分</w:t>
            </w:r>
          </w:p>
        </w:tc>
        <w:tc>
          <w:tcPr>
            <w:tcW w:w="513" w:type="dxa"/>
            <w:noWrap w:val="0"/>
            <w:vAlign w:val="center"/>
          </w:tcPr>
          <w:p w14:paraId="2ADBC81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686B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vMerge w:val="continue"/>
            <w:noWrap w:val="0"/>
            <w:vAlign w:val="center"/>
          </w:tcPr>
          <w:p w14:paraId="5C34ECA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5B5C72E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3.5排土场每5年由有资质条件的中介机构进行一次检测和稳定分析。</w:t>
            </w:r>
          </w:p>
        </w:tc>
        <w:tc>
          <w:tcPr>
            <w:tcW w:w="1620" w:type="dxa"/>
            <w:noWrap w:val="0"/>
            <w:vAlign w:val="center"/>
          </w:tcPr>
          <w:p w14:paraId="1C0D27A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6E0A028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查文本</w:t>
            </w:r>
          </w:p>
        </w:tc>
        <w:tc>
          <w:tcPr>
            <w:tcW w:w="877" w:type="dxa"/>
            <w:vMerge w:val="continue"/>
            <w:noWrap w:val="0"/>
            <w:vAlign w:val="center"/>
          </w:tcPr>
          <w:p w14:paraId="23EB328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rPr>
            </w:pPr>
          </w:p>
        </w:tc>
        <w:tc>
          <w:tcPr>
            <w:tcW w:w="683" w:type="dxa"/>
            <w:noWrap w:val="0"/>
            <w:vAlign w:val="center"/>
          </w:tcPr>
          <w:p w14:paraId="034631A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42A9336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114FDCB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1163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732" w:type="dxa"/>
            <w:vMerge w:val="continue"/>
            <w:noWrap w:val="0"/>
            <w:vAlign w:val="center"/>
          </w:tcPr>
          <w:p w14:paraId="54F6750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0D88558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3.6排土场服务年限结束时，编制排土场关闭报告。</w:t>
            </w:r>
          </w:p>
        </w:tc>
        <w:tc>
          <w:tcPr>
            <w:tcW w:w="1620" w:type="dxa"/>
            <w:noWrap w:val="0"/>
            <w:vAlign w:val="center"/>
          </w:tcPr>
          <w:p w14:paraId="6771FF4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0A57388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w:t>
            </w:r>
          </w:p>
          <w:p w14:paraId="42311A5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文本</w:t>
            </w:r>
          </w:p>
        </w:tc>
        <w:tc>
          <w:tcPr>
            <w:tcW w:w="877" w:type="dxa"/>
            <w:vMerge w:val="restart"/>
            <w:noWrap w:val="0"/>
            <w:vAlign w:val="center"/>
          </w:tcPr>
          <w:p w14:paraId="44CA3A6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无此三项</w:t>
            </w:r>
          </w:p>
        </w:tc>
        <w:tc>
          <w:tcPr>
            <w:tcW w:w="683" w:type="dxa"/>
            <w:noWrap w:val="0"/>
            <w:vAlign w:val="center"/>
          </w:tcPr>
          <w:p w14:paraId="75259BD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5D90B44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77B7204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27AE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732" w:type="dxa"/>
            <w:vMerge w:val="continue"/>
            <w:noWrap w:val="0"/>
            <w:vAlign w:val="center"/>
          </w:tcPr>
          <w:p w14:paraId="34B6C99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32E9508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3.7排土场关闭前由中介机构进行安全稳定性评价，并报省级以上安监局审查。</w:t>
            </w:r>
          </w:p>
        </w:tc>
        <w:tc>
          <w:tcPr>
            <w:tcW w:w="1620" w:type="dxa"/>
            <w:noWrap w:val="0"/>
            <w:vAlign w:val="center"/>
          </w:tcPr>
          <w:p w14:paraId="0AB242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52E7B8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查文本</w:t>
            </w:r>
          </w:p>
        </w:tc>
        <w:tc>
          <w:tcPr>
            <w:tcW w:w="877" w:type="dxa"/>
            <w:vMerge w:val="continue"/>
            <w:noWrap w:val="0"/>
            <w:vAlign w:val="center"/>
          </w:tcPr>
          <w:p w14:paraId="1759308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683" w:type="dxa"/>
            <w:noWrap w:val="0"/>
            <w:vAlign w:val="center"/>
          </w:tcPr>
          <w:p w14:paraId="69D3FB6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70392AE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72E80D0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03B7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732" w:type="dxa"/>
            <w:vMerge w:val="continue"/>
            <w:noWrap w:val="0"/>
            <w:vAlign w:val="center"/>
          </w:tcPr>
          <w:p w14:paraId="7C6E43C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2954" w:type="dxa"/>
            <w:noWrap w:val="0"/>
            <w:vAlign w:val="center"/>
          </w:tcPr>
          <w:p w14:paraId="2107F9A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3.8关闭后重新启用或改作他用应经过可行性设计论证，并报当地安监局审查批准；</w:t>
            </w:r>
          </w:p>
        </w:tc>
        <w:tc>
          <w:tcPr>
            <w:tcW w:w="1620" w:type="dxa"/>
            <w:noWrap w:val="0"/>
            <w:vAlign w:val="center"/>
          </w:tcPr>
          <w:p w14:paraId="51C4075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《金属非金属矿山排土场安全生产规则》</w:t>
            </w:r>
          </w:p>
        </w:tc>
        <w:tc>
          <w:tcPr>
            <w:tcW w:w="1031" w:type="dxa"/>
            <w:noWrap w:val="0"/>
            <w:vAlign w:val="center"/>
          </w:tcPr>
          <w:p w14:paraId="49C9D83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查文本</w:t>
            </w:r>
          </w:p>
        </w:tc>
        <w:tc>
          <w:tcPr>
            <w:tcW w:w="877" w:type="dxa"/>
            <w:vMerge w:val="continue"/>
            <w:noWrap w:val="0"/>
            <w:vAlign w:val="center"/>
          </w:tcPr>
          <w:p w14:paraId="078A355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683" w:type="dxa"/>
            <w:noWrap w:val="0"/>
            <w:vAlign w:val="center"/>
          </w:tcPr>
          <w:p w14:paraId="3DF36A6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1</w:t>
            </w:r>
          </w:p>
        </w:tc>
        <w:tc>
          <w:tcPr>
            <w:tcW w:w="914" w:type="dxa"/>
            <w:noWrap w:val="0"/>
            <w:vAlign w:val="center"/>
          </w:tcPr>
          <w:p w14:paraId="4629EAF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不符合不得分</w:t>
            </w:r>
          </w:p>
        </w:tc>
        <w:tc>
          <w:tcPr>
            <w:tcW w:w="513" w:type="dxa"/>
            <w:noWrap w:val="0"/>
            <w:vAlign w:val="center"/>
          </w:tcPr>
          <w:p w14:paraId="54FC25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eastAsia" w:ascii="Times New Roman" w:hAnsi="Times New Roman" w:eastAsia="宋体" w:cs="Times New Roman"/>
                <w:b w:val="0"/>
                <w:bCs w:val="0"/>
                <w:color w:val="auto"/>
                <w:spacing w:val="0"/>
                <w:w w:val="100"/>
                <w:sz w:val="21"/>
                <w:szCs w:val="21"/>
                <w:lang w:val="en-US" w:eastAsia="zh-CN"/>
              </w:rPr>
              <w:t>-</w:t>
            </w:r>
          </w:p>
        </w:tc>
      </w:tr>
      <w:tr w14:paraId="00F6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32" w:type="dxa"/>
            <w:noWrap w:val="0"/>
            <w:vAlign w:val="center"/>
          </w:tcPr>
          <w:p w14:paraId="4B90241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小计</w:t>
            </w:r>
          </w:p>
        </w:tc>
        <w:tc>
          <w:tcPr>
            <w:tcW w:w="6482" w:type="dxa"/>
            <w:gridSpan w:val="4"/>
            <w:noWrap w:val="0"/>
            <w:vAlign w:val="center"/>
          </w:tcPr>
          <w:p w14:paraId="7D4F647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r>
              <w:rPr>
                <w:rFonts w:hint="default" w:ascii="Times New Roman" w:hAnsi="Times New Roman" w:eastAsia="宋体" w:cs="Times New Roman"/>
                <w:b w:val="0"/>
                <w:bCs w:val="0"/>
                <w:color w:val="auto"/>
                <w:spacing w:val="0"/>
                <w:w w:val="100"/>
                <w:sz w:val="21"/>
                <w:szCs w:val="21"/>
              </w:rPr>
              <w:t>20</w:t>
            </w:r>
          </w:p>
        </w:tc>
        <w:tc>
          <w:tcPr>
            <w:tcW w:w="683" w:type="dxa"/>
            <w:noWrap w:val="0"/>
            <w:vAlign w:val="center"/>
          </w:tcPr>
          <w:p w14:paraId="1A73F3A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w w:val="100"/>
                <w:sz w:val="21"/>
                <w:szCs w:val="21"/>
                <w:lang w:eastAsia="zh-CN"/>
              </w:rPr>
            </w:pPr>
            <w:r>
              <w:rPr>
                <w:rFonts w:hint="default" w:ascii="Times New Roman" w:hAnsi="Times New Roman" w:eastAsia="宋体" w:cs="Times New Roman"/>
                <w:b w:val="0"/>
                <w:bCs w:val="0"/>
                <w:color w:val="auto"/>
                <w:spacing w:val="0"/>
                <w:w w:val="100"/>
                <w:sz w:val="21"/>
                <w:szCs w:val="21"/>
              </w:rPr>
              <w:t>1</w:t>
            </w:r>
            <w:r>
              <w:rPr>
                <w:rFonts w:hint="eastAsia" w:ascii="Times New Roman" w:hAnsi="Times New Roman" w:cs="Times New Roman"/>
                <w:b w:val="0"/>
                <w:bCs w:val="0"/>
                <w:color w:val="auto"/>
                <w:spacing w:val="0"/>
                <w:w w:val="100"/>
                <w:sz w:val="21"/>
                <w:szCs w:val="21"/>
                <w:lang w:val="en-US" w:eastAsia="zh-CN"/>
              </w:rPr>
              <w:t>1</w:t>
            </w:r>
          </w:p>
        </w:tc>
        <w:tc>
          <w:tcPr>
            <w:tcW w:w="914" w:type="dxa"/>
            <w:noWrap w:val="0"/>
            <w:vAlign w:val="center"/>
          </w:tcPr>
          <w:p w14:paraId="2126325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rPr>
            </w:pPr>
          </w:p>
        </w:tc>
        <w:tc>
          <w:tcPr>
            <w:tcW w:w="513" w:type="dxa"/>
            <w:noWrap w:val="0"/>
            <w:vAlign w:val="center"/>
          </w:tcPr>
          <w:p w14:paraId="3E2FE36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w w:val="100"/>
                <w:sz w:val="21"/>
                <w:szCs w:val="21"/>
                <w:lang w:val="en-US" w:eastAsia="zh-CN"/>
              </w:rPr>
            </w:pPr>
            <w:r>
              <w:rPr>
                <w:rFonts w:hint="eastAsia" w:ascii="Times New Roman" w:hAnsi="Times New Roman" w:eastAsia="宋体" w:cs="Times New Roman"/>
                <w:b w:val="0"/>
                <w:bCs w:val="0"/>
                <w:color w:val="auto"/>
                <w:spacing w:val="0"/>
                <w:w w:val="100"/>
                <w:sz w:val="21"/>
                <w:szCs w:val="21"/>
                <w:lang w:val="en-US" w:eastAsia="zh-CN"/>
              </w:rPr>
              <w:t>1</w:t>
            </w:r>
            <w:r>
              <w:rPr>
                <w:rFonts w:hint="eastAsia" w:ascii="Times New Roman" w:hAnsi="Times New Roman" w:cs="Times New Roman"/>
                <w:b w:val="0"/>
                <w:bCs w:val="0"/>
                <w:color w:val="auto"/>
                <w:spacing w:val="0"/>
                <w:w w:val="100"/>
                <w:sz w:val="21"/>
                <w:szCs w:val="21"/>
                <w:lang w:val="en-US" w:eastAsia="zh-CN"/>
              </w:rPr>
              <w:t>0</w:t>
            </w:r>
          </w:p>
        </w:tc>
      </w:tr>
    </w:tbl>
    <w:p w14:paraId="30F7A599">
      <w:pPr>
        <w:pStyle w:val="5"/>
        <w:bidi w:val="0"/>
        <w:rPr>
          <w:rFonts w:hint="eastAsia"/>
          <w:color w:val="auto"/>
          <w:lang w:val="en-US" w:eastAsia="zh-CN"/>
        </w:rPr>
      </w:pPr>
      <w:bookmarkStart w:id="933" w:name="_Toc21216"/>
      <w:bookmarkStart w:id="934" w:name="_Toc15145"/>
      <w:bookmarkStart w:id="935" w:name="_Toc12654"/>
      <w:bookmarkStart w:id="936" w:name="_Toc17266"/>
      <w:r>
        <w:rPr>
          <w:rFonts w:hint="eastAsia"/>
          <w:color w:val="auto"/>
          <w:lang w:val="en-US" w:eastAsia="zh-CN"/>
        </w:rPr>
        <w:t>5.9.2 单元评价小结</w:t>
      </w:r>
      <w:bookmarkEnd w:id="933"/>
      <w:bookmarkEnd w:id="934"/>
      <w:bookmarkEnd w:id="935"/>
      <w:bookmarkEnd w:id="936"/>
    </w:p>
    <w:p w14:paraId="7CBE1D8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snapToGrid/>
          <w:color w:val="auto"/>
          <w:kern w:val="2"/>
          <w:sz w:val="28"/>
          <w:szCs w:val="28"/>
          <w:lang w:val="en-US" w:eastAsia="zh-CN" w:bidi="ar-SA"/>
        </w:rPr>
      </w:pPr>
      <w:r>
        <w:rPr>
          <w:rFonts w:hint="eastAsia" w:ascii="宋体" w:hAnsi="宋体" w:eastAsia="宋体" w:cs="宋体"/>
          <w:snapToGrid/>
          <w:color w:val="auto"/>
          <w:kern w:val="2"/>
          <w:sz w:val="28"/>
          <w:szCs w:val="28"/>
          <w:lang w:val="en-US" w:eastAsia="zh-CN" w:bidi="ar-SA"/>
        </w:rPr>
        <w:t>运用安全检查表对矿山废石场进行评价，排土场单元总分20分，</w:t>
      </w:r>
      <w:r>
        <w:rPr>
          <w:rFonts w:hint="eastAsia" w:cs="宋体"/>
          <w:snapToGrid/>
          <w:color w:val="auto"/>
          <w:kern w:val="2"/>
          <w:sz w:val="28"/>
          <w:szCs w:val="28"/>
          <w:lang w:val="en-US" w:eastAsia="zh-CN" w:bidi="ar-SA"/>
        </w:rPr>
        <w:t>无关项9分，</w:t>
      </w:r>
      <w:r>
        <w:rPr>
          <w:rFonts w:hint="eastAsia" w:ascii="宋体" w:hAnsi="宋体" w:eastAsia="宋体" w:cs="宋体"/>
          <w:snapToGrid/>
          <w:color w:val="auto"/>
          <w:kern w:val="2"/>
          <w:sz w:val="28"/>
          <w:szCs w:val="28"/>
          <w:lang w:val="en-US" w:eastAsia="zh-CN" w:bidi="ar-SA"/>
        </w:rPr>
        <w:t>应得分1</w:t>
      </w:r>
      <w:r>
        <w:rPr>
          <w:rFonts w:hint="eastAsia" w:cs="宋体"/>
          <w:snapToGrid/>
          <w:color w:val="auto"/>
          <w:kern w:val="2"/>
          <w:sz w:val="28"/>
          <w:szCs w:val="28"/>
          <w:lang w:val="en-US" w:eastAsia="zh-CN" w:bidi="ar-SA"/>
        </w:rPr>
        <w:t>1</w:t>
      </w:r>
      <w:r>
        <w:rPr>
          <w:rFonts w:hint="eastAsia" w:ascii="宋体" w:hAnsi="宋体" w:eastAsia="宋体" w:cs="宋体"/>
          <w:snapToGrid/>
          <w:color w:val="auto"/>
          <w:kern w:val="2"/>
          <w:sz w:val="28"/>
          <w:szCs w:val="28"/>
          <w:lang w:val="en-US" w:eastAsia="zh-CN" w:bidi="ar-SA"/>
        </w:rPr>
        <w:t>分，扣分</w:t>
      </w:r>
      <w:r>
        <w:rPr>
          <w:rFonts w:hint="eastAsia" w:cs="宋体"/>
          <w:snapToGrid/>
          <w:color w:val="auto"/>
          <w:kern w:val="2"/>
          <w:sz w:val="28"/>
          <w:szCs w:val="28"/>
          <w:lang w:val="en-US" w:eastAsia="zh-CN" w:bidi="ar-SA"/>
        </w:rPr>
        <w:t>1</w:t>
      </w:r>
      <w:r>
        <w:rPr>
          <w:rFonts w:hint="eastAsia" w:ascii="宋体" w:hAnsi="宋体" w:eastAsia="宋体" w:cs="宋体"/>
          <w:snapToGrid/>
          <w:color w:val="auto"/>
          <w:kern w:val="2"/>
          <w:sz w:val="28"/>
          <w:szCs w:val="28"/>
          <w:lang w:val="en-US" w:eastAsia="zh-CN" w:bidi="ar-SA"/>
        </w:rPr>
        <w:t>分，实得分</w:t>
      </w:r>
      <w:r>
        <w:rPr>
          <w:rFonts w:hint="eastAsia" w:cs="宋体"/>
          <w:snapToGrid/>
          <w:color w:val="auto"/>
          <w:kern w:val="2"/>
          <w:sz w:val="28"/>
          <w:szCs w:val="28"/>
          <w:lang w:val="en-US" w:eastAsia="zh-CN" w:bidi="ar-SA"/>
        </w:rPr>
        <w:t>10</w:t>
      </w:r>
      <w:r>
        <w:rPr>
          <w:rFonts w:hint="eastAsia" w:ascii="宋体" w:hAnsi="宋体" w:eastAsia="宋体" w:cs="宋体"/>
          <w:snapToGrid/>
          <w:color w:val="auto"/>
          <w:kern w:val="2"/>
          <w:sz w:val="28"/>
          <w:szCs w:val="28"/>
          <w:lang w:val="en-US" w:eastAsia="zh-CN" w:bidi="ar-SA"/>
        </w:rPr>
        <w:t>分，得分率为</w:t>
      </w:r>
      <w:r>
        <w:rPr>
          <w:rFonts w:hint="eastAsia" w:cs="宋体"/>
          <w:snapToGrid/>
          <w:color w:val="auto"/>
          <w:kern w:val="2"/>
          <w:sz w:val="28"/>
          <w:szCs w:val="28"/>
          <w:lang w:val="en-US" w:eastAsia="zh-CN" w:bidi="ar-SA"/>
        </w:rPr>
        <w:t>90.91</w:t>
      </w:r>
      <w:r>
        <w:rPr>
          <w:rFonts w:hint="eastAsia" w:ascii="宋体" w:hAnsi="宋体" w:eastAsia="宋体" w:cs="宋体"/>
          <w:snapToGrid/>
          <w:color w:val="auto"/>
          <w:kern w:val="2"/>
          <w:sz w:val="28"/>
          <w:szCs w:val="28"/>
          <w:lang w:val="en-US" w:eastAsia="zh-CN" w:bidi="ar-SA"/>
        </w:rPr>
        <w:t>%。废石场单元符合安全要求。</w:t>
      </w:r>
    </w:p>
    <w:p w14:paraId="71FE039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snapToGrid/>
          <w:color w:val="auto"/>
          <w:kern w:val="2"/>
          <w:sz w:val="28"/>
          <w:szCs w:val="28"/>
          <w:lang w:val="en-US" w:eastAsia="zh-CN" w:bidi="ar-SA"/>
        </w:rPr>
      </w:pPr>
      <w:r>
        <w:rPr>
          <w:rFonts w:hint="eastAsia" w:ascii="宋体" w:hAnsi="宋体" w:eastAsia="宋体" w:cs="宋体"/>
          <w:snapToGrid/>
          <w:color w:val="auto"/>
          <w:kern w:val="2"/>
          <w:sz w:val="28"/>
          <w:szCs w:val="28"/>
          <w:lang w:val="en-US" w:eastAsia="zh-CN" w:bidi="ar-SA"/>
        </w:rPr>
        <w:t>存在问题</w:t>
      </w:r>
    </w:p>
    <w:p w14:paraId="0CD0BD6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b w:val="0"/>
          <w:snapToGrid/>
          <w:color w:val="auto"/>
          <w:kern w:val="2"/>
          <w:sz w:val="28"/>
          <w:szCs w:val="28"/>
          <w:lang w:val="en-US" w:eastAsia="zh-CN" w:bidi="ar-SA"/>
        </w:rPr>
      </w:pPr>
      <w:r>
        <w:rPr>
          <w:rFonts w:hint="eastAsia" w:ascii="宋体" w:hAnsi="宋体" w:eastAsia="宋体" w:cs="宋体"/>
          <w:snapToGrid/>
          <w:color w:val="auto"/>
          <w:kern w:val="2"/>
          <w:sz w:val="28"/>
          <w:szCs w:val="28"/>
          <w:lang w:val="en-US" w:eastAsia="zh-CN" w:bidi="ar-SA"/>
        </w:rPr>
        <w:t>1）废石场安全警示标志不完善。</w:t>
      </w:r>
    </w:p>
    <w:p w14:paraId="723A9D2E">
      <w:pPr>
        <w:spacing w:line="14" w:lineRule="auto"/>
        <w:rPr>
          <w:rFonts w:ascii="Arial"/>
          <w:color w:val="auto"/>
          <w:sz w:val="2"/>
        </w:rPr>
      </w:pPr>
    </w:p>
    <w:p w14:paraId="7F15AAB7">
      <w:pPr>
        <w:pStyle w:val="4"/>
        <w:bidi w:val="0"/>
        <w:rPr>
          <w:rFonts w:hint="eastAsia"/>
          <w:color w:val="auto"/>
          <w:lang w:val="en-US" w:eastAsia="zh-CN"/>
        </w:rPr>
      </w:pPr>
      <w:bookmarkStart w:id="937" w:name="_Toc18623"/>
      <w:bookmarkStart w:id="938" w:name="_Toc4575"/>
      <w:bookmarkStart w:id="939" w:name="_Toc10114"/>
      <w:bookmarkStart w:id="940" w:name="_Toc6229"/>
      <w:bookmarkStart w:id="941" w:name="_Toc2222"/>
      <w:bookmarkStart w:id="942" w:name="_Toc24477"/>
      <w:bookmarkStart w:id="943" w:name="_Toc26421"/>
      <w:bookmarkStart w:id="944" w:name="_Toc13433"/>
      <w:bookmarkStart w:id="945" w:name="_Toc11544"/>
      <w:r>
        <w:rPr>
          <w:rFonts w:hint="eastAsia"/>
          <w:color w:val="auto"/>
          <w:lang w:val="en-US" w:eastAsia="zh-CN"/>
        </w:rPr>
        <w:t>5.10 供气单元</w:t>
      </w:r>
      <w:bookmarkEnd w:id="937"/>
      <w:bookmarkEnd w:id="938"/>
      <w:bookmarkEnd w:id="939"/>
      <w:bookmarkEnd w:id="940"/>
      <w:bookmarkEnd w:id="941"/>
      <w:bookmarkEnd w:id="942"/>
      <w:bookmarkEnd w:id="943"/>
      <w:bookmarkEnd w:id="944"/>
      <w:bookmarkEnd w:id="945"/>
    </w:p>
    <w:p w14:paraId="4A76BA3A">
      <w:pPr>
        <w:pStyle w:val="5"/>
        <w:bidi w:val="0"/>
        <w:rPr>
          <w:rFonts w:hint="eastAsia"/>
          <w:color w:val="auto"/>
          <w:lang w:val="en-US" w:eastAsia="zh-CN"/>
        </w:rPr>
      </w:pPr>
      <w:bookmarkStart w:id="946" w:name="_Toc14297"/>
      <w:bookmarkStart w:id="947" w:name="_Toc26481"/>
      <w:bookmarkStart w:id="948" w:name="_Toc18651"/>
      <w:bookmarkStart w:id="949" w:name="_Toc15187"/>
      <w:r>
        <w:rPr>
          <w:rFonts w:hint="eastAsia"/>
          <w:color w:val="auto"/>
          <w:lang w:val="en-US" w:eastAsia="zh-CN"/>
        </w:rPr>
        <w:t>5.10.1 安全检查表分析法评价</w:t>
      </w:r>
      <w:bookmarkEnd w:id="946"/>
      <w:bookmarkEnd w:id="947"/>
      <w:bookmarkEnd w:id="948"/>
      <w:bookmarkEnd w:id="949"/>
    </w:p>
    <w:p w14:paraId="7D10A379">
      <w:pPr>
        <w:bidi w:val="0"/>
        <w:rPr>
          <w:rFonts w:hint="eastAsia"/>
          <w:color w:val="auto"/>
          <w:lang w:val="en-US" w:eastAsia="zh-CN"/>
        </w:rPr>
      </w:pPr>
      <w:r>
        <w:rPr>
          <w:rFonts w:hint="eastAsia"/>
          <w:color w:val="auto"/>
          <w:lang w:val="en-US" w:eastAsia="zh-CN"/>
        </w:rPr>
        <w:t>采用安全检查表分析法对供气单元进行分析评价，见表5.10-1。</w:t>
      </w:r>
    </w:p>
    <w:p w14:paraId="1EA8EC91">
      <w:pPr>
        <w:bidi w:val="0"/>
        <w:jc w:val="center"/>
        <w:rPr>
          <w:rFonts w:hint="eastAsia"/>
          <w:color w:val="auto"/>
          <w:lang w:val="en-US" w:eastAsia="zh-CN"/>
        </w:rPr>
      </w:pPr>
      <w:r>
        <w:rPr>
          <w:rFonts w:hint="eastAsia"/>
          <w:color w:val="auto"/>
          <w:lang w:val="en-US" w:eastAsia="zh-CN"/>
        </w:rPr>
        <w:t>表 5.10-1  供气单元安全检查表</w:t>
      </w:r>
    </w:p>
    <w:tbl>
      <w:tblPr>
        <w:tblStyle w:val="18"/>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092"/>
        <w:gridCol w:w="731"/>
        <w:gridCol w:w="1055"/>
        <w:gridCol w:w="758"/>
        <w:gridCol w:w="683"/>
        <w:gridCol w:w="1266"/>
        <w:gridCol w:w="777"/>
      </w:tblGrid>
      <w:tr w14:paraId="4B63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833" w:type="dxa"/>
            <w:noWrap w:val="0"/>
            <w:vAlign w:val="center"/>
          </w:tcPr>
          <w:p w14:paraId="1A90CD7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w:t>
            </w:r>
          </w:p>
          <w:p w14:paraId="00E5230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项目</w:t>
            </w:r>
          </w:p>
        </w:tc>
        <w:tc>
          <w:tcPr>
            <w:tcW w:w="3092" w:type="dxa"/>
            <w:noWrap w:val="0"/>
            <w:vAlign w:val="center"/>
          </w:tcPr>
          <w:p w14:paraId="106ED36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检查内容</w:t>
            </w:r>
          </w:p>
        </w:tc>
        <w:tc>
          <w:tcPr>
            <w:tcW w:w="731" w:type="dxa"/>
            <w:noWrap w:val="0"/>
            <w:vAlign w:val="center"/>
          </w:tcPr>
          <w:p w14:paraId="0C4707C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检查依据</w:t>
            </w:r>
          </w:p>
        </w:tc>
        <w:tc>
          <w:tcPr>
            <w:tcW w:w="1055" w:type="dxa"/>
            <w:noWrap w:val="0"/>
            <w:vAlign w:val="center"/>
          </w:tcPr>
          <w:p w14:paraId="13B184E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w:t>
            </w:r>
          </w:p>
          <w:p w14:paraId="5289749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方法及地点</w:t>
            </w:r>
          </w:p>
        </w:tc>
        <w:tc>
          <w:tcPr>
            <w:tcW w:w="758" w:type="dxa"/>
            <w:noWrap w:val="0"/>
            <w:vAlign w:val="center"/>
          </w:tcPr>
          <w:p w14:paraId="06F3800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检查记录</w:t>
            </w:r>
          </w:p>
        </w:tc>
        <w:tc>
          <w:tcPr>
            <w:tcW w:w="683" w:type="dxa"/>
            <w:noWrap w:val="0"/>
            <w:vAlign w:val="center"/>
          </w:tcPr>
          <w:p w14:paraId="42A9BD9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标准分值</w:t>
            </w:r>
          </w:p>
        </w:tc>
        <w:tc>
          <w:tcPr>
            <w:tcW w:w="1266" w:type="dxa"/>
            <w:noWrap w:val="0"/>
            <w:vAlign w:val="center"/>
          </w:tcPr>
          <w:p w14:paraId="2984C46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评分标准</w:t>
            </w:r>
          </w:p>
        </w:tc>
        <w:tc>
          <w:tcPr>
            <w:tcW w:w="777" w:type="dxa"/>
            <w:noWrap w:val="0"/>
            <w:vAlign w:val="center"/>
          </w:tcPr>
          <w:p w14:paraId="415FCBD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检查结果</w:t>
            </w:r>
          </w:p>
        </w:tc>
      </w:tr>
      <w:tr w14:paraId="554D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33" w:type="dxa"/>
            <w:vMerge w:val="restart"/>
            <w:noWrap w:val="0"/>
            <w:vAlign w:val="center"/>
          </w:tcPr>
          <w:p w14:paraId="4FA2C39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w:t>
            </w:r>
          </w:p>
          <w:p w14:paraId="579B453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供气</w:t>
            </w:r>
          </w:p>
          <w:p w14:paraId="22AE2B3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安全</w:t>
            </w:r>
          </w:p>
          <w:p w14:paraId="46A9F64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15分</w:t>
            </w:r>
          </w:p>
          <w:p w14:paraId="38BF43A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092" w:type="dxa"/>
            <w:noWrap w:val="0"/>
            <w:vAlign w:val="center"/>
          </w:tcPr>
          <w:p w14:paraId="491CCEA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1、空压机的各级排气温度要设温度表监视，不得超过规定。排气温度，单缸不得超过190℃．双缸不得超过160℃．水冷式的空压机冷却水不得中断，出水温度不超过40℃，并应有断水保护或断水信号。</w:t>
            </w:r>
          </w:p>
        </w:tc>
        <w:tc>
          <w:tcPr>
            <w:tcW w:w="731" w:type="dxa"/>
            <w:vMerge w:val="restart"/>
            <w:noWrap w:val="0"/>
            <w:vAlign w:val="center"/>
          </w:tcPr>
          <w:p w14:paraId="6FEFE24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《金属非金属矿山在用空气压缩机安全检验规范第1部分：固定式空气压缩机》</w:t>
            </w:r>
          </w:p>
        </w:tc>
        <w:tc>
          <w:tcPr>
            <w:tcW w:w="1055" w:type="dxa"/>
            <w:noWrap w:val="0"/>
            <w:vAlign w:val="center"/>
          </w:tcPr>
          <w:p w14:paraId="4C849A1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758" w:type="dxa"/>
            <w:noWrap w:val="0"/>
            <w:vAlign w:val="center"/>
          </w:tcPr>
          <w:p w14:paraId="32BFD7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83" w:type="dxa"/>
            <w:noWrap w:val="0"/>
            <w:vAlign w:val="center"/>
          </w:tcPr>
          <w:p w14:paraId="586522F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1266" w:type="dxa"/>
            <w:noWrap w:val="0"/>
            <w:vAlign w:val="center"/>
          </w:tcPr>
          <w:p w14:paraId="66FD6F5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不符合要求不得分</w:t>
            </w:r>
          </w:p>
        </w:tc>
        <w:tc>
          <w:tcPr>
            <w:tcW w:w="777" w:type="dxa"/>
            <w:noWrap w:val="0"/>
            <w:vAlign w:val="center"/>
          </w:tcPr>
          <w:p w14:paraId="5DBEC82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r>
      <w:tr w14:paraId="0156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33" w:type="dxa"/>
            <w:vMerge w:val="continue"/>
            <w:noWrap w:val="0"/>
            <w:vAlign w:val="center"/>
          </w:tcPr>
          <w:p w14:paraId="50E9237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092" w:type="dxa"/>
            <w:noWrap w:val="0"/>
            <w:vAlign w:val="center"/>
          </w:tcPr>
          <w:p w14:paraId="1BD6DCA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2、汽缸要使用专用的润滑油，其闪点不得低于215℃。</w:t>
            </w:r>
          </w:p>
        </w:tc>
        <w:tc>
          <w:tcPr>
            <w:tcW w:w="731" w:type="dxa"/>
            <w:vMerge w:val="continue"/>
            <w:noWrap w:val="0"/>
            <w:vAlign w:val="center"/>
          </w:tcPr>
          <w:p w14:paraId="31CCC36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0F8B8D0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758" w:type="dxa"/>
            <w:noWrap w:val="0"/>
            <w:vAlign w:val="center"/>
          </w:tcPr>
          <w:p w14:paraId="4BDC3DD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83" w:type="dxa"/>
            <w:noWrap w:val="0"/>
            <w:vAlign w:val="center"/>
          </w:tcPr>
          <w:p w14:paraId="5356408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1266" w:type="dxa"/>
            <w:noWrap w:val="0"/>
            <w:vAlign w:val="center"/>
          </w:tcPr>
          <w:p w14:paraId="595D37F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不符合要求不得分</w:t>
            </w:r>
          </w:p>
        </w:tc>
        <w:tc>
          <w:tcPr>
            <w:tcW w:w="777" w:type="dxa"/>
            <w:noWrap w:val="0"/>
            <w:vAlign w:val="center"/>
          </w:tcPr>
          <w:p w14:paraId="18FB40A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r>
      <w:tr w14:paraId="4567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33" w:type="dxa"/>
            <w:vMerge w:val="continue"/>
            <w:noWrap w:val="0"/>
            <w:vAlign w:val="center"/>
          </w:tcPr>
          <w:p w14:paraId="2B05111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092" w:type="dxa"/>
            <w:noWrap w:val="0"/>
            <w:vAlign w:val="center"/>
          </w:tcPr>
          <w:p w14:paraId="0EC70A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3、空压机和储气罐的安全阀必须动作可靠，压力表指示准确。</w:t>
            </w:r>
          </w:p>
        </w:tc>
        <w:tc>
          <w:tcPr>
            <w:tcW w:w="731" w:type="dxa"/>
            <w:vMerge w:val="continue"/>
            <w:noWrap w:val="0"/>
            <w:vAlign w:val="center"/>
          </w:tcPr>
          <w:p w14:paraId="51159A5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1E24C21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p w14:paraId="06B4E66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有关资料</w:t>
            </w:r>
          </w:p>
        </w:tc>
        <w:tc>
          <w:tcPr>
            <w:tcW w:w="758" w:type="dxa"/>
            <w:noWrap w:val="0"/>
            <w:vAlign w:val="center"/>
          </w:tcPr>
          <w:p w14:paraId="782793F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83" w:type="dxa"/>
            <w:noWrap w:val="0"/>
            <w:vAlign w:val="center"/>
          </w:tcPr>
          <w:p w14:paraId="6E6FD16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1266" w:type="dxa"/>
            <w:noWrap w:val="0"/>
            <w:vAlign w:val="center"/>
          </w:tcPr>
          <w:p w14:paraId="711F9A6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不符合要求不得分</w:t>
            </w:r>
          </w:p>
        </w:tc>
        <w:tc>
          <w:tcPr>
            <w:tcW w:w="777" w:type="dxa"/>
            <w:noWrap w:val="0"/>
            <w:vAlign w:val="center"/>
          </w:tcPr>
          <w:p w14:paraId="74134D8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r>
      <w:tr w14:paraId="16DE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3" w:type="dxa"/>
            <w:vMerge w:val="continue"/>
            <w:noWrap w:val="0"/>
            <w:vAlign w:val="center"/>
          </w:tcPr>
          <w:p w14:paraId="0837AC9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092" w:type="dxa"/>
            <w:noWrap w:val="0"/>
            <w:vAlign w:val="center"/>
          </w:tcPr>
          <w:p w14:paraId="2E54035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4、风阀须加强维护，定期清洗积炭．消除漏气。</w:t>
            </w:r>
          </w:p>
        </w:tc>
        <w:tc>
          <w:tcPr>
            <w:tcW w:w="731" w:type="dxa"/>
            <w:vMerge w:val="continue"/>
            <w:noWrap w:val="0"/>
            <w:vAlign w:val="center"/>
          </w:tcPr>
          <w:p w14:paraId="0B8087C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6C6E27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758" w:type="dxa"/>
            <w:noWrap w:val="0"/>
            <w:vAlign w:val="center"/>
          </w:tcPr>
          <w:p w14:paraId="56D57CD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符合</w:t>
            </w:r>
          </w:p>
        </w:tc>
        <w:tc>
          <w:tcPr>
            <w:tcW w:w="683" w:type="dxa"/>
            <w:noWrap w:val="0"/>
            <w:vAlign w:val="center"/>
          </w:tcPr>
          <w:p w14:paraId="2FD2A9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1266" w:type="dxa"/>
            <w:noWrap w:val="0"/>
            <w:vAlign w:val="center"/>
          </w:tcPr>
          <w:p w14:paraId="76D3CC25">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不符合要求不得分</w:t>
            </w:r>
          </w:p>
        </w:tc>
        <w:tc>
          <w:tcPr>
            <w:tcW w:w="777" w:type="dxa"/>
            <w:noWrap w:val="0"/>
            <w:vAlign w:val="center"/>
          </w:tcPr>
          <w:p w14:paraId="46648B3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lang w:val="en-US" w:eastAsia="zh-CN"/>
              </w:rPr>
              <w:t>3</w:t>
            </w:r>
          </w:p>
        </w:tc>
      </w:tr>
      <w:tr w14:paraId="4168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33" w:type="dxa"/>
            <w:vMerge w:val="continue"/>
            <w:noWrap w:val="0"/>
            <w:vAlign w:val="center"/>
          </w:tcPr>
          <w:p w14:paraId="044E221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092" w:type="dxa"/>
            <w:noWrap w:val="0"/>
            <w:vAlign w:val="center"/>
          </w:tcPr>
          <w:p w14:paraId="622D4AB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5、空压机和储气罐内的油垢要定期清除。</w:t>
            </w:r>
          </w:p>
        </w:tc>
        <w:tc>
          <w:tcPr>
            <w:tcW w:w="731" w:type="dxa"/>
            <w:vMerge w:val="continue"/>
            <w:noWrap w:val="0"/>
            <w:vAlign w:val="center"/>
          </w:tcPr>
          <w:p w14:paraId="3B187BD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278B912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758" w:type="dxa"/>
            <w:noWrap w:val="0"/>
            <w:vAlign w:val="center"/>
          </w:tcPr>
          <w:p w14:paraId="10FEDFB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w:t>
            </w:r>
          </w:p>
        </w:tc>
        <w:tc>
          <w:tcPr>
            <w:tcW w:w="683" w:type="dxa"/>
            <w:noWrap w:val="0"/>
            <w:vAlign w:val="center"/>
          </w:tcPr>
          <w:p w14:paraId="04788A9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3</w:t>
            </w:r>
          </w:p>
        </w:tc>
        <w:tc>
          <w:tcPr>
            <w:tcW w:w="1266" w:type="dxa"/>
            <w:noWrap w:val="0"/>
            <w:vAlign w:val="center"/>
          </w:tcPr>
          <w:p w14:paraId="4A3DA4B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不符合要求不得分</w:t>
            </w:r>
          </w:p>
        </w:tc>
        <w:tc>
          <w:tcPr>
            <w:tcW w:w="777" w:type="dxa"/>
            <w:noWrap w:val="0"/>
            <w:vAlign w:val="center"/>
          </w:tcPr>
          <w:p w14:paraId="7AD81A3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0"/>
                <w:sz w:val="21"/>
                <w:szCs w:val="21"/>
                <w:lang w:val="en-US" w:eastAsia="zh-CN"/>
              </w:rPr>
            </w:pPr>
            <w:r>
              <w:rPr>
                <w:rFonts w:hint="eastAsia" w:ascii="Times New Roman" w:hAnsi="Times New Roman" w:eastAsia="宋体" w:cs="Times New Roman"/>
                <w:b w:val="0"/>
                <w:bCs w:val="0"/>
                <w:color w:val="auto"/>
                <w:spacing w:val="0"/>
                <w:sz w:val="21"/>
                <w:szCs w:val="21"/>
                <w:lang w:val="en-US" w:eastAsia="zh-CN"/>
              </w:rPr>
              <w:t>3</w:t>
            </w:r>
          </w:p>
        </w:tc>
      </w:tr>
      <w:tr w14:paraId="7FB5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3" w:type="dxa"/>
            <w:noWrap w:val="0"/>
            <w:vAlign w:val="center"/>
          </w:tcPr>
          <w:p w14:paraId="44D0683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w:t>
            </w:r>
          </w:p>
          <w:p w14:paraId="20AF992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检测</w:t>
            </w:r>
          </w:p>
          <w:p w14:paraId="18BB441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5分</w:t>
            </w:r>
          </w:p>
        </w:tc>
        <w:tc>
          <w:tcPr>
            <w:tcW w:w="3092" w:type="dxa"/>
            <w:noWrap w:val="0"/>
            <w:vAlign w:val="center"/>
          </w:tcPr>
          <w:p w14:paraId="0EFC121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有检测合格的报告。</w:t>
            </w:r>
          </w:p>
        </w:tc>
        <w:tc>
          <w:tcPr>
            <w:tcW w:w="731" w:type="dxa"/>
            <w:vMerge w:val="continue"/>
            <w:noWrap w:val="0"/>
            <w:vAlign w:val="center"/>
          </w:tcPr>
          <w:p w14:paraId="14398EB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66CF921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查检测报告</w:t>
            </w:r>
          </w:p>
        </w:tc>
        <w:tc>
          <w:tcPr>
            <w:tcW w:w="758" w:type="dxa"/>
            <w:noWrap w:val="0"/>
            <w:vAlign w:val="center"/>
          </w:tcPr>
          <w:p w14:paraId="5B2A55F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p w14:paraId="0E73F8A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检测合格</w:t>
            </w:r>
          </w:p>
        </w:tc>
        <w:tc>
          <w:tcPr>
            <w:tcW w:w="683" w:type="dxa"/>
            <w:noWrap w:val="0"/>
            <w:vAlign w:val="center"/>
          </w:tcPr>
          <w:p w14:paraId="243B37A2">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w:t>
            </w:r>
          </w:p>
        </w:tc>
        <w:tc>
          <w:tcPr>
            <w:tcW w:w="1266" w:type="dxa"/>
            <w:noWrap w:val="0"/>
            <w:vAlign w:val="center"/>
          </w:tcPr>
          <w:p w14:paraId="36A04F6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不符合要求不得分</w:t>
            </w:r>
          </w:p>
        </w:tc>
        <w:tc>
          <w:tcPr>
            <w:tcW w:w="777" w:type="dxa"/>
            <w:noWrap w:val="0"/>
            <w:vAlign w:val="center"/>
          </w:tcPr>
          <w:p w14:paraId="4F8FEAB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5</w:t>
            </w:r>
          </w:p>
        </w:tc>
      </w:tr>
      <w:tr w14:paraId="5CCC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833" w:type="dxa"/>
            <w:vMerge w:val="restart"/>
            <w:noWrap w:val="0"/>
            <w:vAlign w:val="center"/>
          </w:tcPr>
          <w:p w14:paraId="45FA36D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3、安全附件</w:t>
            </w:r>
          </w:p>
        </w:tc>
        <w:tc>
          <w:tcPr>
            <w:tcW w:w="3092" w:type="dxa"/>
            <w:noWrap w:val="0"/>
            <w:vAlign w:val="center"/>
          </w:tcPr>
          <w:p w14:paraId="57F8DE7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出口总管上要装同径的快速释放阀</w:t>
            </w:r>
          </w:p>
        </w:tc>
        <w:tc>
          <w:tcPr>
            <w:tcW w:w="731" w:type="dxa"/>
            <w:vMerge w:val="restart"/>
            <w:noWrap w:val="0"/>
            <w:vAlign w:val="center"/>
          </w:tcPr>
          <w:p w14:paraId="0754A51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7C7E578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758" w:type="dxa"/>
            <w:noWrap w:val="0"/>
            <w:vAlign w:val="center"/>
          </w:tcPr>
          <w:p w14:paraId="6333BF3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安装了</w:t>
            </w:r>
            <w:r>
              <w:rPr>
                <w:rFonts w:hint="default" w:ascii="Times New Roman" w:hAnsi="Times New Roman" w:eastAsia="宋体" w:cs="Times New Roman"/>
                <w:b w:val="0"/>
                <w:bCs w:val="0"/>
                <w:color w:val="auto"/>
                <w:spacing w:val="0"/>
                <w:sz w:val="21"/>
                <w:szCs w:val="21"/>
              </w:rPr>
              <w:t>快速释放阀</w:t>
            </w:r>
          </w:p>
        </w:tc>
        <w:tc>
          <w:tcPr>
            <w:tcW w:w="683" w:type="dxa"/>
            <w:noWrap w:val="0"/>
            <w:vAlign w:val="center"/>
          </w:tcPr>
          <w:p w14:paraId="3F301AA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w:t>
            </w:r>
          </w:p>
        </w:tc>
        <w:tc>
          <w:tcPr>
            <w:tcW w:w="1266" w:type="dxa"/>
            <w:noWrap w:val="0"/>
            <w:vAlign w:val="center"/>
          </w:tcPr>
          <w:p w14:paraId="573A688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w:t>
            </w:r>
          </w:p>
        </w:tc>
        <w:tc>
          <w:tcPr>
            <w:tcW w:w="777" w:type="dxa"/>
            <w:noWrap w:val="0"/>
            <w:vAlign w:val="center"/>
          </w:tcPr>
          <w:p w14:paraId="283681A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符合</w:t>
            </w:r>
          </w:p>
        </w:tc>
      </w:tr>
      <w:tr w14:paraId="38D5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33" w:type="dxa"/>
            <w:vMerge w:val="continue"/>
            <w:noWrap w:val="0"/>
            <w:vAlign w:val="center"/>
          </w:tcPr>
          <w:p w14:paraId="1FBE115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3092" w:type="dxa"/>
            <w:noWrap w:val="0"/>
            <w:vAlign w:val="center"/>
          </w:tcPr>
          <w:p w14:paraId="7241430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宋体" w:cs="Times New Roman"/>
                <w:b w:val="0"/>
                <w:bCs w:val="0"/>
                <w:color w:val="auto"/>
                <w:spacing w:val="0"/>
                <w:sz w:val="21"/>
                <w:szCs w:val="21"/>
                <w:lang w:val="en-US" w:eastAsia="zh-CN"/>
              </w:rPr>
            </w:pPr>
            <w:r>
              <w:rPr>
                <w:rFonts w:hint="default" w:ascii="Times New Roman" w:hAnsi="Times New Roman" w:eastAsia="宋体" w:cs="Times New Roman"/>
                <w:b w:val="0"/>
                <w:bCs w:val="0"/>
                <w:color w:val="auto"/>
                <w:spacing w:val="0"/>
                <w:sz w:val="21"/>
                <w:szCs w:val="21"/>
                <w:lang w:val="en-US" w:eastAsia="zh-CN"/>
              </w:rPr>
              <w:t>地面</w:t>
            </w:r>
            <w:r>
              <w:rPr>
                <w:rFonts w:hint="default" w:ascii="Times New Roman" w:hAnsi="Times New Roman" w:eastAsia="宋体" w:cs="Times New Roman"/>
                <w:b w:val="0"/>
                <w:bCs w:val="0"/>
                <w:color w:val="auto"/>
                <w:spacing w:val="0"/>
                <w:sz w:val="21"/>
                <w:szCs w:val="21"/>
              </w:rPr>
              <w:t>储气罐</w:t>
            </w:r>
            <w:r>
              <w:rPr>
                <w:rFonts w:hint="default" w:ascii="Times New Roman" w:hAnsi="Times New Roman" w:eastAsia="宋体" w:cs="Times New Roman"/>
                <w:b w:val="0"/>
                <w:bCs w:val="0"/>
                <w:color w:val="auto"/>
                <w:spacing w:val="0"/>
                <w:sz w:val="21"/>
                <w:szCs w:val="21"/>
                <w:lang w:val="en-US" w:eastAsia="zh-CN"/>
              </w:rPr>
              <w:t>应设室外阴凉处</w:t>
            </w:r>
          </w:p>
        </w:tc>
        <w:tc>
          <w:tcPr>
            <w:tcW w:w="731" w:type="dxa"/>
            <w:vMerge w:val="continue"/>
            <w:noWrap w:val="0"/>
            <w:vAlign w:val="center"/>
          </w:tcPr>
          <w:p w14:paraId="3C60C6A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49F65E4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查现场</w:t>
            </w:r>
          </w:p>
        </w:tc>
        <w:tc>
          <w:tcPr>
            <w:tcW w:w="758" w:type="dxa"/>
            <w:noWrap w:val="0"/>
            <w:vAlign w:val="center"/>
          </w:tcPr>
          <w:p w14:paraId="663AFA3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eastAsia="zh-CN"/>
              </w:rPr>
            </w:pPr>
            <w:r>
              <w:rPr>
                <w:rFonts w:hint="default" w:ascii="Times New Roman" w:hAnsi="Times New Roman" w:eastAsia="宋体" w:cs="Times New Roman"/>
                <w:b w:val="0"/>
                <w:bCs w:val="0"/>
                <w:color w:val="auto"/>
                <w:spacing w:val="0"/>
                <w:sz w:val="21"/>
                <w:szCs w:val="21"/>
                <w:lang w:val="en-US" w:eastAsia="zh-CN"/>
              </w:rPr>
              <w:t>有</w:t>
            </w:r>
            <w:r>
              <w:rPr>
                <w:rFonts w:hint="default" w:ascii="Times New Roman" w:hAnsi="Times New Roman" w:eastAsia="宋体" w:cs="Times New Roman"/>
                <w:b w:val="0"/>
                <w:bCs w:val="0"/>
                <w:color w:val="auto"/>
                <w:spacing w:val="0"/>
                <w:sz w:val="21"/>
                <w:szCs w:val="21"/>
              </w:rPr>
              <w:t>遮阳</w:t>
            </w:r>
            <w:r>
              <w:rPr>
                <w:rFonts w:hint="default" w:ascii="Times New Roman" w:hAnsi="Times New Roman" w:eastAsia="宋体" w:cs="Times New Roman"/>
                <w:b w:val="0"/>
                <w:bCs w:val="0"/>
                <w:color w:val="auto"/>
                <w:spacing w:val="0"/>
                <w:sz w:val="21"/>
                <w:szCs w:val="21"/>
                <w:lang w:val="en-US" w:eastAsia="zh-CN"/>
              </w:rPr>
              <w:t>物</w:t>
            </w:r>
          </w:p>
        </w:tc>
        <w:tc>
          <w:tcPr>
            <w:tcW w:w="683" w:type="dxa"/>
            <w:noWrap w:val="0"/>
            <w:vAlign w:val="center"/>
          </w:tcPr>
          <w:p w14:paraId="61D5637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sz w:val="21"/>
                <w:szCs w:val="21"/>
                <w:lang w:val="en-US" w:eastAsia="zh-CN"/>
              </w:rPr>
              <w:t>/</w:t>
            </w:r>
          </w:p>
        </w:tc>
        <w:tc>
          <w:tcPr>
            <w:tcW w:w="1266" w:type="dxa"/>
            <w:noWrap w:val="0"/>
            <w:vAlign w:val="center"/>
          </w:tcPr>
          <w:p w14:paraId="73E610D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sz w:val="21"/>
                <w:szCs w:val="21"/>
                <w:lang w:val="en-US" w:eastAsia="zh-CN"/>
              </w:rPr>
              <w:t>/</w:t>
            </w:r>
          </w:p>
        </w:tc>
        <w:tc>
          <w:tcPr>
            <w:tcW w:w="777" w:type="dxa"/>
            <w:noWrap w:val="0"/>
            <w:vAlign w:val="center"/>
          </w:tcPr>
          <w:p w14:paraId="684C7C2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kern w:val="2"/>
                <w:sz w:val="21"/>
                <w:szCs w:val="21"/>
                <w:lang w:val="en-US" w:eastAsia="zh-CN" w:bidi="ar-SA"/>
              </w:rPr>
            </w:pPr>
            <w:r>
              <w:rPr>
                <w:rFonts w:hint="default" w:ascii="Times New Roman" w:hAnsi="Times New Roman" w:eastAsia="宋体" w:cs="Times New Roman"/>
                <w:b w:val="0"/>
                <w:bCs w:val="0"/>
                <w:color w:val="auto"/>
                <w:spacing w:val="0"/>
                <w:sz w:val="21"/>
                <w:szCs w:val="21"/>
                <w:lang w:val="en-US" w:eastAsia="zh-CN"/>
              </w:rPr>
              <w:t>符合</w:t>
            </w:r>
          </w:p>
        </w:tc>
      </w:tr>
      <w:tr w14:paraId="6E8F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33" w:type="dxa"/>
            <w:noWrap w:val="0"/>
            <w:vAlign w:val="center"/>
          </w:tcPr>
          <w:p w14:paraId="158EB2C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小计</w:t>
            </w:r>
          </w:p>
        </w:tc>
        <w:tc>
          <w:tcPr>
            <w:tcW w:w="3092" w:type="dxa"/>
            <w:noWrap w:val="0"/>
            <w:vAlign w:val="center"/>
          </w:tcPr>
          <w:p w14:paraId="1AC30FC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20分</w:t>
            </w:r>
          </w:p>
        </w:tc>
        <w:tc>
          <w:tcPr>
            <w:tcW w:w="731" w:type="dxa"/>
            <w:noWrap w:val="0"/>
            <w:vAlign w:val="center"/>
          </w:tcPr>
          <w:p w14:paraId="75B22A2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1055" w:type="dxa"/>
            <w:noWrap w:val="0"/>
            <w:vAlign w:val="center"/>
          </w:tcPr>
          <w:p w14:paraId="7BD2C0A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758" w:type="dxa"/>
            <w:noWrap w:val="0"/>
            <w:vAlign w:val="center"/>
          </w:tcPr>
          <w:p w14:paraId="34CB57B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p>
        </w:tc>
        <w:tc>
          <w:tcPr>
            <w:tcW w:w="683" w:type="dxa"/>
            <w:noWrap w:val="0"/>
            <w:vAlign w:val="center"/>
          </w:tcPr>
          <w:p w14:paraId="017F69C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rPr>
            </w:pPr>
            <w:r>
              <w:rPr>
                <w:rFonts w:hint="default" w:ascii="Times New Roman" w:hAnsi="Times New Roman" w:eastAsia="宋体" w:cs="Times New Roman"/>
                <w:b w:val="0"/>
                <w:bCs w:val="0"/>
                <w:color w:val="auto"/>
                <w:spacing w:val="0"/>
                <w:sz w:val="21"/>
                <w:szCs w:val="21"/>
              </w:rPr>
              <w:t>20</w:t>
            </w:r>
          </w:p>
        </w:tc>
        <w:tc>
          <w:tcPr>
            <w:tcW w:w="1266" w:type="dxa"/>
            <w:noWrap w:val="0"/>
            <w:vAlign w:val="center"/>
          </w:tcPr>
          <w:p w14:paraId="0A7B7B64">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cs="Times New Roman"/>
                <w:b w:val="0"/>
                <w:bCs w:val="0"/>
                <w:color w:val="auto"/>
                <w:spacing w:val="0"/>
                <w:sz w:val="21"/>
                <w:szCs w:val="21"/>
                <w:lang w:val="en-US" w:eastAsia="zh-CN"/>
              </w:rPr>
              <w:t>100</w:t>
            </w:r>
          </w:p>
        </w:tc>
        <w:tc>
          <w:tcPr>
            <w:tcW w:w="777" w:type="dxa"/>
            <w:noWrap w:val="0"/>
            <w:vAlign w:val="center"/>
          </w:tcPr>
          <w:p w14:paraId="7C0E31C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b w:val="0"/>
                <w:bCs w:val="0"/>
                <w:color w:val="auto"/>
                <w:spacing w:val="0"/>
                <w:sz w:val="21"/>
                <w:szCs w:val="21"/>
                <w:lang w:val="en-US" w:eastAsia="zh-CN"/>
              </w:rPr>
            </w:pPr>
            <w:r>
              <w:rPr>
                <w:rFonts w:hint="eastAsia" w:ascii="Times New Roman" w:hAnsi="Times New Roman" w:cs="Times New Roman"/>
                <w:b w:val="0"/>
                <w:bCs w:val="0"/>
                <w:color w:val="auto"/>
                <w:spacing w:val="0"/>
                <w:sz w:val="21"/>
                <w:szCs w:val="21"/>
                <w:lang w:val="en-US" w:eastAsia="zh-CN"/>
              </w:rPr>
              <w:t>20</w:t>
            </w:r>
          </w:p>
        </w:tc>
      </w:tr>
    </w:tbl>
    <w:p w14:paraId="5EF851C7">
      <w:pPr>
        <w:pStyle w:val="5"/>
        <w:bidi w:val="0"/>
        <w:rPr>
          <w:rFonts w:hint="eastAsia"/>
          <w:color w:val="auto"/>
          <w:lang w:val="en-US" w:eastAsia="zh-CN"/>
        </w:rPr>
      </w:pPr>
      <w:r>
        <w:rPr>
          <w:rFonts w:hint="eastAsia"/>
          <w:color w:val="auto"/>
          <w:lang w:val="en-US" w:eastAsia="zh-CN"/>
        </w:rPr>
        <w:t>5.10.2 单元评价小结</w:t>
      </w:r>
    </w:p>
    <w:p w14:paraId="639CDFCD">
      <w:pPr>
        <w:bidi w:val="0"/>
        <w:rPr>
          <w:rFonts w:hint="eastAsia"/>
          <w:color w:val="auto"/>
          <w:lang w:val="en-US" w:eastAsia="zh-CN"/>
        </w:rPr>
      </w:pPr>
      <w:r>
        <w:rPr>
          <w:rFonts w:hint="eastAsia"/>
          <w:color w:val="auto"/>
          <w:lang w:val="en-US" w:eastAsia="zh-CN"/>
        </w:rPr>
        <w:t>运用安全检查表对供气系统进行评价，供气单元总分20分，应得分20分，扣分0分，实得分20分，得分率为100%。矿山已有地表集中供气空压机站，现有空压机满足矿山最大供气要求，空压机均已检测合格，供气设施满足要求，单元符合安全要求。</w:t>
      </w:r>
    </w:p>
    <w:p w14:paraId="0891A594">
      <w:pPr>
        <w:pStyle w:val="4"/>
        <w:bidi w:val="0"/>
        <w:rPr>
          <w:rFonts w:hint="eastAsia"/>
          <w:color w:val="auto"/>
          <w:lang w:val="en-US" w:eastAsia="zh-CN"/>
        </w:rPr>
      </w:pPr>
      <w:bookmarkStart w:id="950" w:name="_Toc12347"/>
      <w:bookmarkStart w:id="951" w:name="_Toc2068"/>
      <w:bookmarkStart w:id="952" w:name="_Toc25442"/>
      <w:bookmarkStart w:id="953" w:name="_Toc3726"/>
      <w:bookmarkStart w:id="954" w:name="_Toc26091"/>
      <w:bookmarkStart w:id="955" w:name="_Toc1184"/>
      <w:bookmarkStart w:id="956" w:name="_Toc26612"/>
      <w:bookmarkStart w:id="957" w:name="_Toc32464"/>
      <w:bookmarkStart w:id="958" w:name="_Toc11686"/>
      <w:r>
        <w:rPr>
          <w:rFonts w:hint="eastAsia"/>
          <w:color w:val="auto"/>
          <w:lang w:val="en-US" w:eastAsia="zh-CN"/>
        </w:rPr>
        <w:t>5.11 安全避险“六大系统”单元</w:t>
      </w:r>
      <w:bookmarkEnd w:id="950"/>
      <w:bookmarkEnd w:id="951"/>
      <w:bookmarkEnd w:id="952"/>
      <w:bookmarkEnd w:id="953"/>
      <w:bookmarkEnd w:id="954"/>
      <w:bookmarkEnd w:id="955"/>
      <w:bookmarkEnd w:id="956"/>
      <w:bookmarkEnd w:id="957"/>
      <w:bookmarkEnd w:id="958"/>
    </w:p>
    <w:p w14:paraId="2E21B359">
      <w:pPr>
        <w:pStyle w:val="5"/>
        <w:bidi w:val="0"/>
        <w:rPr>
          <w:rFonts w:hint="eastAsia"/>
          <w:color w:val="auto"/>
          <w:lang w:val="en-US" w:eastAsia="zh-CN"/>
        </w:rPr>
      </w:pPr>
      <w:bookmarkStart w:id="959" w:name="_Toc24226"/>
      <w:bookmarkStart w:id="960" w:name="_Toc23012"/>
      <w:bookmarkStart w:id="961" w:name="_Toc16917"/>
      <w:bookmarkStart w:id="962" w:name="_Toc6610"/>
      <w:r>
        <w:rPr>
          <w:rFonts w:hint="eastAsia"/>
          <w:color w:val="auto"/>
          <w:lang w:val="en-US" w:eastAsia="zh-CN"/>
        </w:rPr>
        <w:t>5.11.1 安全检查表分析法评价</w:t>
      </w:r>
      <w:bookmarkEnd w:id="959"/>
      <w:bookmarkEnd w:id="960"/>
      <w:bookmarkEnd w:id="961"/>
      <w:bookmarkEnd w:id="962"/>
    </w:p>
    <w:p w14:paraId="35141EFF">
      <w:pPr>
        <w:bidi w:val="0"/>
        <w:rPr>
          <w:rFonts w:hint="eastAsia"/>
          <w:color w:val="auto"/>
          <w:lang w:val="en-US" w:eastAsia="zh-CN"/>
        </w:rPr>
      </w:pPr>
      <w:r>
        <w:rPr>
          <w:rFonts w:hint="eastAsia"/>
          <w:color w:val="auto"/>
          <w:lang w:val="en-US" w:eastAsia="zh-CN"/>
        </w:rPr>
        <w:t>安全避险“六大系统”单元安全检查表分析见表5.11-11。</w:t>
      </w:r>
    </w:p>
    <w:p w14:paraId="06E76BED">
      <w:pPr>
        <w:bidi w:val="0"/>
        <w:jc w:val="center"/>
        <w:rPr>
          <w:rFonts w:hint="eastAsia"/>
          <w:color w:val="auto"/>
          <w:lang w:val="en-US" w:eastAsia="zh-CN"/>
        </w:rPr>
      </w:pPr>
      <w:r>
        <w:rPr>
          <w:rFonts w:hint="eastAsia"/>
          <w:color w:val="auto"/>
          <w:lang w:val="en-US" w:eastAsia="zh-CN"/>
        </w:rPr>
        <w:t>表 5.11-1 安全避险“六大系统”单元安全检查</w:t>
      </w:r>
    </w:p>
    <w:tbl>
      <w:tblPr>
        <w:tblStyle w:val="18"/>
        <w:tblW w:w="50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7"/>
        <w:gridCol w:w="4186"/>
        <w:gridCol w:w="2486"/>
        <w:gridCol w:w="866"/>
        <w:gridCol w:w="899"/>
      </w:tblGrid>
      <w:tr w14:paraId="4DE4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417" w:type="pct"/>
            <w:noWrap w:val="0"/>
            <w:vAlign w:val="center"/>
          </w:tcPr>
          <w:p w14:paraId="773A22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检查</w:t>
            </w:r>
          </w:p>
          <w:p w14:paraId="0C66DFD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w:t>
            </w:r>
          </w:p>
        </w:tc>
        <w:tc>
          <w:tcPr>
            <w:tcW w:w="2273" w:type="pct"/>
            <w:noWrap w:val="0"/>
            <w:vAlign w:val="center"/>
          </w:tcPr>
          <w:p w14:paraId="1814B04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检查内容</w:t>
            </w:r>
          </w:p>
        </w:tc>
        <w:tc>
          <w:tcPr>
            <w:tcW w:w="1350" w:type="pct"/>
            <w:noWrap w:val="0"/>
            <w:vAlign w:val="center"/>
          </w:tcPr>
          <w:p w14:paraId="70E5F28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检查依据</w:t>
            </w:r>
          </w:p>
        </w:tc>
        <w:tc>
          <w:tcPr>
            <w:tcW w:w="470" w:type="pct"/>
            <w:noWrap w:val="0"/>
            <w:vAlign w:val="center"/>
          </w:tcPr>
          <w:p w14:paraId="0A390B2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检查记录</w:t>
            </w:r>
          </w:p>
        </w:tc>
        <w:tc>
          <w:tcPr>
            <w:tcW w:w="488" w:type="pct"/>
            <w:noWrap w:val="0"/>
            <w:vAlign w:val="center"/>
          </w:tcPr>
          <w:p w14:paraId="5EE071B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检查</w:t>
            </w:r>
          </w:p>
          <w:p w14:paraId="4A155F0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结果</w:t>
            </w:r>
          </w:p>
        </w:tc>
      </w:tr>
      <w:tr w14:paraId="6DD2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417" w:type="pct"/>
            <w:vMerge w:val="restart"/>
            <w:noWrap w:val="0"/>
            <w:vAlign w:val="center"/>
          </w:tcPr>
          <w:p w14:paraId="4E21921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p w14:paraId="407C566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1、一般规定</w:t>
            </w:r>
          </w:p>
          <w:p w14:paraId="74FD9FE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7C3C8AB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1.1 按要求建设</w:t>
            </w:r>
            <w:r>
              <w:rPr>
                <w:rFonts w:hint="eastAsia" w:ascii="Times New Roman" w:hAnsi="Times New Roman" w:eastAsia="宋体" w:cs="Times New Roman"/>
                <w:b w:val="0"/>
                <w:bCs w:val="0"/>
                <w:color w:val="auto"/>
                <w:sz w:val="21"/>
                <w:szCs w:val="21"/>
              </w:rPr>
              <w:t>“</w:t>
            </w:r>
            <w:r>
              <w:rPr>
                <w:rFonts w:hint="default" w:ascii="Times New Roman" w:hAnsi="Times New Roman" w:eastAsia="宋体" w:cs="Times New Roman"/>
                <w:b w:val="0"/>
                <w:bCs w:val="0"/>
                <w:color w:val="auto"/>
                <w:sz w:val="21"/>
                <w:szCs w:val="21"/>
              </w:rPr>
              <w:t>六大系统</w:t>
            </w:r>
            <w:r>
              <w:rPr>
                <w:rFonts w:hint="eastAsia" w:ascii="Times New Roman" w:hAnsi="Times New Roman" w:eastAsia="宋体" w:cs="Times New Roman"/>
                <w:b w:val="0"/>
                <w:bCs w:val="0"/>
                <w:color w:val="auto"/>
                <w:sz w:val="21"/>
                <w:szCs w:val="21"/>
              </w:rPr>
              <w:t>”</w:t>
            </w:r>
          </w:p>
        </w:tc>
        <w:tc>
          <w:tcPr>
            <w:tcW w:w="1350" w:type="pct"/>
            <w:vMerge w:val="restart"/>
            <w:noWrap w:val="0"/>
            <w:vAlign w:val="center"/>
          </w:tcPr>
          <w:p w14:paraId="17A0075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《关于切实加强金属非金属地下矿山安全避险六大系统建设的通知》安监总管一[2011]108 号</w:t>
            </w:r>
          </w:p>
        </w:tc>
        <w:tc>
          <w:tcPr>
            <w:tcW w:w="470" w:type="pct"/>
            <w:noWrap w:val="0"/>
            <w:vAlign w:val="center"/>
          </w:tcPr>
          <w:p w14:paraId="6095532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已建立</w:t>
            </w:r>
          </w:p>
        </w:tc>
        <w:tc>
          <w:tcPr>
            <w:tcW w:w="488" w:type="pct"/>
            <w:noWrap w:val="0"/>
            <w:vAlign w:val="center"/>
          </w:tcPr>
          <w:p w14:paraId="5605D7B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414C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417" w:type="pct"/>
            <w:vMerge w:val="continue"/>
            <w:noWrap w:val="0"/>
            <w:vAlign w:val="center"/>
          </w:tcPr>
          <w:p w14:paraId="119B730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422E1B8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 六大系统应进行设计</w:t>
            </w:r>
          </w:p>
        </w:tc>
        <w:tc>
          <w:tcPr>
            <w:tcW w:w="1350" w:type="pct"/>
            <w:vMerge w:val="continue"/>
            <w:noWrap w:val="0"/>
            <w:vAlign w:val="center"/>
          </w:tcPr>
          <w:p w14:paraId="764EFB1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470" w:type="pct"/>
            <w:noWrap w:val="0"/>
            <w:vAlign w:val="center"/>
          </w:tcPr>
          <w:p w14:paraId="32D7E43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有专门设计</w:t>
            </w:r>
          </w:p>
        </w:tc>
        <w:tc>
          <w:tcPr>
            <w:tcW w:w="488" w:type="pct"/>
            <w:noWrap w:val="0"/>
            <w:vAlign w:val="center"/>
          </w:tcPr>
          <w:p w14:paraId="1D9409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72CC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417" w:type="pct"/>
            <w:vMerge w:val="continue"/>
            <w:noWrap w:val="0"/>
            <w:vAlign w:val="center"/>
          </w:tcPr>
          <w:p w14:paraId="52D636D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1DF07CC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1.3 六大系统设备应取得矿用产品安全标志</w:t>
            </w:r>
          </w:p>
        </w:tc>
        <w:tc>
          <w:tcPr>
            <w:tcW w:w="1350" w:type="pct"/>
            <w:vMerge w:val="continue"/>
            <w:noWrap w:val="0"/>
            <w:vAlign w:val="center"/>
          </w:tcPr>
          <w:p w14:paraId="756B307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470" w:type="pct"/>
            <w:noWrap w:val="0"/>
            <w:vAlign w:val="center"/>
          </w:tcPr>
          <w:p w14:paraId="2EE9E2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取得</w:t>
            </w:r>
          </w:p>
        </w:tc>
        <w:tc>
          <w:tcPr>
            <w:tcW w:w="488" w:type="pct"/>
            <w:noWrap w:val="0"/>
            <w:vAlign w:val="center"/>
          </w:tcPr>
          <w:p w14:paraId="70FED3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4693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jc w:val="center"/>
        </w:trPr>
        <w:tc>
          <w:tcPr>
            <w:tcW w:w="417" w:type="pct"/>
            <w:vMerge w:val="continue"/>
            <w:noWrap w:val="0"/>
            <w:vAlign w:val="center"/>
          </w:tcPr>
          <w:p w14:paraId="57FB8A0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2FBE25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1.4 六大系统安装完毕，经验收合格便投入使用</w:t>
            </w:r>
          </w:p>
        </w:tc>
        <w:tc>
          <w:tcPr>
            <w:tcW w:w="1350" w:type="pct"/>
            <w:vMerge w:val="continue"/>
            <w:noWrap w:val="0"/>
            <w:vAlign w:val="center"/>
          </w:tcPr>
          <w:p w14:paraId="1A5154A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470" w:type="pct"/>
            <w:noWrap w:val="0"/>
            <w:vAlign w:val="center"/>
          </w:tcPr>
          <w:p w14:paraId="5ED483B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经验收合格后投用</w:t>
            </w:r>
          </w:p>
        </w:tc>
        <w:tc>
          <w:tcPr>
            <w:tcW w:w="488" w:type="pct"/>
            <w:noWrap w:val="0"/>
            <w:vAlign w:val="center"/>
          </w:tcPr>
          <w:p w14:paraId="667DB0A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2323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jc w:val="center"/>
        </w:trPr>
        <w:tc>
          <w:tcPr>
            <w:tcW w:w="417" w:type="pct"/>
            <w:vMerge w:val="continue"/>
            <w:noWrap w:val="0"/>
            <w:vAlign w:val="center"/>
          </w:tcPr>
          <w:p w14:paraId="4904EAC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006A5D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 主机安装在地面，双机备份</w:t>
            </w:r>
          </w:p>
        </w:tc>
        <w:tc>
          <w:tcPr>
            <w:tcW w:w="1350" w:type="pct"/>
            <w:vMerge w:val="continue"/>
            <w:noWrap w:val="0"/>
            <w:vAlign w:val="center"/>
          </w:tcPr>
          <w:p w14:paraId="5EE0EF2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470" w:type="pct"/>
            <w:noWrap w:val="0"/>
            <w:vAlign w:val="center"/>
          </w:tcPr>
          <w:p w14:paraId="3FCE806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符合规定</w:t>
            </w:r>
          </w:p>
        </w:tc>
        <w:tc>
          <w:tcPr>
            <w:tcW w:w="488" w:type="pct"/>
            <w:noWrap w:val="0"/>
            <w:vAlign w:val="center"/>
          </w:tcPr>
          <w:p w14:paraId="5C1491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015E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jc w:val="center"/>
        </w:trPr>
        <w:tc>
          <w:tcPr>
            <w:tcW w:w="417" w:type="pct"/>
            <w:vMerge w:val="continue"/>
            <w:noWrap w:val="0"/>
            <w:vAlign w:val="center"/>
          </w:tcPr>
          <w:p w14:paraId="405A9EF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42574BF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1.6 主机及分站的备用电源能保证连续工作2h以上</w:t>
            </w:r>
          </w:p>
        </w:tc>
        <w:tc>
          <w:tcPr>
            <w:tcW w:w="1350" w:type="pct"/>
            <w:vMerge w:val="continue"/>
            <w:noWrap w:val="0"/>
            <w:vAlign w:val="center"/>
          </w:tcPr>
          <w:p w14:paraId="1350048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470" w:type="pct"/>
            <w:noWrap w:val="0"/>
            <w:vAlign w:val="center"/>
          </w:tcPr>
          <w:p w14:paraId="1A2989E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备用电源符合要求</w:t>
            </w:r>
          </w:p>
        </w:tc>
        <w:tc>
          <w:tcPr>
            <w:tcW w:w="488" w:type="pct"/>
            <w:noWrap w:val="0"/>
            <w:vAlign w:val="center"/>
          </w:tcPr>
          <w:p w14:paraId="127570C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6BF1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3ACAFEC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28E6AFC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1.7 指定人员负责六大系统的日常检查与维护记录</w:t>
            </w:r>
          </w:p>
        </w:tc>
        <w:tc>
          <w:tcPr>
            <w:tcW w:w="1350" w:type="pct"/>
            <w:vMerge w:val="continue"/>
            <w:noWrap w:val="0"/>
            <w:vAlign w:val="center"/>
          </w:tcPr>
          <w:p w14:paraId="292AFA6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470" w:type="pct"/>
            <w:noWrap w:val="0"/>
            <w:vAlign w:val="center"/>
          </w:tcPr>
          <w:p w14:paraId="6F8D703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有专人负责检查与维护</w:t>
            </w:r>
          </w:p>
        </w:tc>
        <w:tc>
          <w:tcPr>
            <w:tcW w:w="488" w:type="pct"/>
            <w:noWrap w:val="0"/>
            <w:vAlign w:val="center"/>
          </w:tcPr>
          <w:p w14:paraId="75B6D9F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13A0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jc w:val="center"/>
        </w:trPr>
        <w:tc>
          <w:tcPr>
            <w:tcW w:w="417" w:type="pct"/>
            <w:vMerge w:val="continue"/>
            <w:noWrap w:val="0"/>
            <w:vAlign w:val="center"/>
          </w:tcPr>
          <w:p w14:paraId="5A3CB012">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6F336BE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1.8 六大系统布置图，根据实际情况的变化及时更新</w:t>
            </w:r>
          </w:p>
        </w:tc>
        <w:tc>
          <w:tcPr>
            <w:tcW w:w="1350" w:type="pct"/>
            <w:vMerge w:val="continue"/>
            <w:noWrap w:val="0"/>
            <w:vAlign w:val="center"/>
          </w:tcPr>
          <w:p w14:paraId="7D32A5B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470" w:type="pct"/>
            <w:noWrap w:val="0"/>
            <w:vAlign w:val="center"/>
          </w:tcPr>
          <w:p w14:paraId="235F6BA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基本做到及时更新</w:t>
            </w:r>
          </w:p>
        </w:tc>
        <w:tc>
          <w:tcPr>
            <w:tcW w:w="488" w:type="pct"/>
            <w:noWrap w:val="0"/>
            <w:vAlign w:val="center"/>
          </w:tcPr>
          <w:p w14:paraId="58D528D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19EF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2" w:hRule="atLeast"/>
          <w:jc w:val="center"/>
        </w:trPr>
        <w:tc>
          <w:tcPr>
            <w:tcW w:w="417" w:type="pct"/>
            <w:vMerge w:val="restart"/>
            <w:noWrap w:val="0"/>
            <w:vAlign w:val="center"/>
          </w:tcPr>
          <w:p w14:paraId="2BAD1FA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2、监测监控系统</w:t>
            </w:r>
          </w:p>
        </w:tc>
        <w:tc>
          <w:tcPr>
            <w:tcW w:w="2273" w:type="pct"/>
            <w:noWrap w:val="0"/>
            <w:vAlign w:val="center"/>
          </w:tcPr>
          <w:p w14:paraId="12E58DA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2.1 监控中心设备有可靠的防雷和接地保护装置</w:t>
            </w:r>
          </w:p>
        </w:tc>
        <w:tc>
          <w:tcPr>
            <w:tcW w:w="1350" w:type="pct"/>
            <w:noWrap w:val="0"/>
            <w:vAlign w:val="center"/>
          </w:tcPr>
          <w:p w14:paraId="5068705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《金属非金属地下矿山监测监控系统建设规范》AQ2031-2011</w:t>
            </w:r>
          </w:p>
          <w:p w14:paraId="6B3984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第4.4条</w:t>
            </w:r>
          </w:p>
        </w:tc>
        <w:tc>
          <w:tcPr>
            <w:tcW w:w="470" w:type="pct"/>
            <w:noWrap w:val="0"/>
            <w:vAlign w:val="center"/>
          </w:tcPr>
          <w:p w14:paraId="1FA6AC3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符合要求</w:t>
            </w:r>
          </w:p>
        </w:tc>
        <w:tc>
          <w:tcPr>
            <w:tcW w:w="488" w:type="pct"/>
            <w:noWrap w:val="0"/>
            <w:vAlign w:val="center"/>
          </w:tcPr>
          <w:p w14:paraId="0837C65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3039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2" w:hRule="atLeast"/>
          <w:jc w:val="center"/>
        </w:trPr>
        <w:tc>
          <w:tcPr>
            <w:tcW w:w="417" w:type="pct"/>
            <w:vMerge w:val="continue"/>
            <w:noWrap w:val="0"/>
            <w:vAlign w:val="center"/>
          </w:tcPr>
          <w:p w14:paraId="610612B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3636E2F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2.2 配置足够的便携式气体检测报警仪</w:t>
            </w:r>
          </w:p>
        </w:tc>
        <w:tc>
          <w:tcPr>
            <w:tcW w:w="1350" w:type="pct"/>
            <w:noWrap w:val="0"/>
            <w:vAlign w:val="center"/>
          </w:tcPr>
          <w:p w14:paraId="3034AFB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《金属非金属地下矿山监测监控系统建设规范》AQ2031-2011</w:t>
            </w:r>
          </w:p>
          <w:p w14:paraId="0975F4F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第5.1条</w:t>
            </w:r>
          </w:p>
        </w:tc>
        <w:tc>
          <w:tcPr>
            <w:tcW w:w="470" w:type="pct"/>
            <w:noWrap w:val="0"/>
            <w:vAlign w:val="center"/>
          </w:tcPr>
          <w:p w14:paraId="1669A40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已</w:t>
            </w:r>
            <w:r>
              <w:rPr>
                <w:rFonts w:hint="default" w:ascii="Times New Roman" w:hAnsi="Times New Roman" w:eastAsia="宋体" w:cs="Times New Roman"/>
                <w:b w:val="0"/>
                <w:bCs w:val="0"/>
                <w:color w:val="auto"/>
                <w:sz w:val="21"/>
                <w:szCs w:val="21"/>
              </w:rPr>
              <w:t>做到</w:t>
            </w:r>
          </w:p>
        </w:tc>
        <w:tc>
          <w:tcPr>
            <w:tcW w:w="488" w:type="pct"/>
            <w:noWrap w:val="0"/>
            <w:vAlign w:val="center"/>
          </w:tcPr>
          <w:p w14:paraId="5247791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349B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2" w:hRule="atLeast"/>
          <w:jc w:val="center"/>
        </w:trPr>
        <w:tc>
          <w:tcPr>
            <w:tcW w:w="417" w:type="pct"/>
            <w:vMerge w:val="continue"/>
            <w:noWrap w:val="0"/>
            <w:vAlign w:val="center"/>
          </w:tcPr>
          <w:p w14:paraId="49425B17">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441D1CB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2.3 井下总回风巷、各个生产中段和分段的回风巷应设置风速传感器</w:t>
            </w:r>
          </w:p>
        </w:tc>
        <w:tc>
          <w:tcPr>
            <w:tcW w:w="1350" w:type="pct"/>
            <w:noWrap w:val="0"/>
            <w:vAlign w:val="center"/>
          </w:tcPr>
          <w:p w14:paraId="113F6EE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《金属非金属地下矿山监测监控系统建设规范》AQ2031-2011</w:t>
            </w:r>
          </w:p>
          <w:p w14:paraId="6FCDA6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第6.1条</w:t>
            </w:r>
          </w:p>
        </w:tc>
        <w:tc>
          <w:tcPr>
            <w:tcW w:w="470" w:type="pct"/>
            <w:noWrap w:val="0"/>
            <w:vAlign w:val="center"/>
          </w:tcPr>
          <w:p w14:paraId="33E6A1B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已设置</w:t>
            </w:r>
          </w:p>
        </w:tc>
        <w:tc>
          <w:tcPr>
            <w:tcW w:w="488" w:type="pct"/>
            <w:noWrap w:val="0"/>
            <w:vAlign w:val="center"/>
          </w:tcPr>
          <w:p w14:paraId="582F031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20EE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760A9B77">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7AF865B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 主要通风机、辅助通风机、局部通风机安装开停传感器</w:t>
            </w:r>
          </w:p>
        </w:tc>
        <w:tc>
          <w:tcPr>
            <w:tcW w:w="1350" w:type="pct"/>
            <w:noWrap w:val="0"/>
            <w:vAlign w:val="center"/>
          </w:tcPr>
          <w:p w14:paraId="72E940D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《金属非金属地下矿山监测监控系统建设规范AQ2031-2011</w:t>
            </w:r>
          </w:p>
          <w:p w14:paraId="21CD99F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第6.5条</w:t>
            </w:r>
          </w:p>
        </w:tc>
        <w:tc>
          <w:tcPr>
            <w:tcW w:w="470" w:type="pct"/>
            <w:noWrap w:val="0"/>
            <w:vAlign w:val="center"/>
          </w:tcPr>
          <w:p w14:paraId="6F7D633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已</w:t>
            </w:r>
            <w:r>
              <w:rPr>
                <w:rFonts w:hint="default" w:ascii="Times New Roman" w:hAnsi="Times New Roman" w:eastAsia="宋体" w:cs="Times New Roman"/>
                <w:b w:val="0"/>
                <w:bCs w:val="0"/>
                <w:color w:val="auto"/>
                <w:sz w:val="21"/>
                <w:szCs w:val="21"/>
              </w:rPr>
              <w:t>安装开停传感器进</w:t>
            </w:r>
          </w:p>
        </w:tc>
        <w:tc>
          <w:tcPr>
            <w:tcW w:w="488" w:type="pct"/>
            <w:noWrap w:val="0"/>
            <w:vAlign w:val="center"/>
          </w:tcPr>
          <w:p w14:paraId="48B2FE0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1B7A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159D2A09">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1E6FCDE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 提升人员的井口信号房、提升机房，以及井口、马头门等人员进出场所，设视频监控</w:t>
            </w:r>
          </w:p>
        </w:tc>
        <w:tc>
          <w:tcPr>
            <w:tcW w:w="1350" w:type="pct"/>
            <w:noWrap w:val="0"/>
            <w:vAlign w:val="center"/>
          </w:tcPr>
          <w:p w14:paraId="781F4C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《金属非金属地下矿山监测监控系统建设规范AQ2031-2011</w:t>
            </w:r>
          </w:p>
          <w:p w14:paraId="6CDD0DD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第7.1条</w:t>
            </w:r>
          </w:p>
        </w:tc>
        <w:tc>
          <w:tcPr>
            <w:tcW w:w="470" w:type="pct"/>
            <w:noWrap w:val="0"/>
            <w:vAlign w:val="center"/>
          </w:tcPr>
          <w:p w14:paraId="4810ABA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无竖井，井口</w:t>
            </w:r>
            <w:r>
              <w:rPr>
                <w:rFonts w:hint="default" w:ascii="Times New Roman" w:hAnsi="Times New Roman" w:eastAsia="宋体" w:cs="Times New Roman"/>
                <w:b w:val="0"/>
                <w:bCs w:val="0"/>
                <w:color w:val="auto"/>
                <w:sz w:val="21"/>
                <w:szCs w:val="21"/>
              </w:rPr>
              <w:t>已按规范设置</w:t>
            </w:r>
          </w:p>
        </w:tc>
        <w:tc>
          <w:tcPr>
            <w:tcW w:w="488" w:type="pct"/>
            <w:noWrap w:val="0"/>
            <w:vAlign w:val="center"/>
          </w:tcPr>
          <w:p w14:paraId="3883D32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3D72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7" w:hRule="atLeast"/>
          <w:jc w:val="center"/>
        </w:trPr>
        <w:tc>
          <w:tcPr>
            <w:tcW w:w="417" w:type="pct"/>
            <w:vMerge w:val="continue"/>
            <w:noWrap w:val="0"/>
            <w:vAlign w:val="center"/>
          </w:tcPr>
          <w:p w14:paraId="360AB844">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72B62E7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2.6 对于存在大面积采空区、工程地质复杂、有严重地压活动的地下矿山以及在需要保护的建筑物、构筑物、铁路、水体下开采的地下矿山，应进行地压监测。</w:t>
            </w:r>
          </w:p>
        </w:tc>
        <w:tc>
          <w:tcPr>
            <w:tcW w:w="1350" w:type="pct"/>
            <w:noWrap w:val="0"/>
            <w:vAlign w:val="center"/>
          </w:tcPr>
          <w:p w14:paraId="3142415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w:t>
            </w:r>
          </w:p>
          <w:p w14:paraId="2F75377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山监测监控系统建设</w:t>
            </w:r>
          </w:p>
          <w:p w14:paraId="305A118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规范》(AQ2031-2011)</w:t>
            </w:r>
          </w:p>
          <w:p w14:paraId="37B024B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第8.1、8.2条</w:t>
            </w:r>
          </w:p>
        </w:tc>
        <w:tc>
          <w:tcPr>
            <w:tcW w:w="470" w:type="pct"/>
            <w:noWrap w:val="0"/>
            <w:vAlign w:val="center"/>
          </w:tcPr>
          <w:p w14:paraId="2025EC8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无大面积采空区，无三下开采</w:t>
            </w:r>
          </w:p>
        </w:tc>
        <w:tc>
          <w:tcPr>
            <w:tcW w:w="488" w:type="pct"/>
            <w:noWrap w:val="0"/>
            <w:vAlign w:val="center"/>
          </w:tcPr>
          <w:p w14:paraId="1984B85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7C47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restart"/>
            <w:noWrap w:val="0"/>
            <w:vAlign w:val="center"/>
          </w:tcPr>
          <w:p w14:paraId="25894C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3、人员定位系统</w:t>
            </w:r>
          </w:p>
        </w:tc>
        <w:tc>
          <w:tcPr>
            <w:tcW w:w="2273" w:type="pct"/>
            <w:noWrap w:val="0"/>
            <w:vAlign w:val="center"/>
          </w:tcPr>
          <w:p w14:paraId="4ED8B0A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3.1 井下最多同时作业人数不少于30 人的金属非金属矿山应建立人员定位系统。</w:t>
            </w:r>
          </w:p>
        </w:tc>
        <w:tc>
          <w:tcPr>
            <w:tcW w:w="1350" w:type="pct"/>
            <w:noWrap w:val="0"/>
            <w:vAlign w:val="center"/>
          </w:tcPr>
          <w:p w14:paraId="4E660CD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《金属非金属地下矿山人员定位系统建设规范》AQ2032-2011第4.1条</w:t>
            </w:r>
          </w:p>
        </w:tc>
        <w:tc>
          <w:tcPr>
            <w:tcW w:w="470" w:type="pct"/>
            <w:noWrap w:val="0"/>
            <w:vAlign w:val="center"/>
          </w:tcPr>
          <w:p w14:paraId="4B4AEA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已建立人员定位系统</w:t>
            </w:r>
          </w:p>
        </w:tc>
        <w:tc>
          <w:tcPr>
            <w:tcW w:w="488" w:type="pct"/>
            <w:noWrap w:val="0"/>
            <w:vAlign w:val="center"/>
          </w:tcPr>
          <w:p w14:paraId="7E43E4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3949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417" w:type="pct"/>
            <w:vMerge w:val="continue"/>
            <w:noWrap w:val="0"/>
            <w:vAlign w:val="center"/>
          </w:tcPr>
          <w:p w14:paraId="75FB312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62A287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3.2 识别卡实现专人专卡，配备不少于经常下井人员10%的备用卡。</w:t>
            </w:r>
          </w:p>
        </w:tc>
        <w:tc>
          <w:tcPr>
            <w:tcW w:w="1350" w:type="pct"/>
            <w:noWrap w:val="0"/>
            <w:vAlign w:val="center"/>
          </w:tcPr>
          <w:p w14:paraId="70C14C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《金属非金属地下矿山人员定位系统建设规范》AQ2032-2011第4.10条</w:t>
            </w:r>
          </w:p>
        </w:tc>
        <w:tc>
          <w:tcPr>
            <w:tcW w:w="470" w:type="pct"/>
            <w:noWrap w:val="0"/>
            <w:vAlign w:val="center"/>
          </w:tcPr>
          <w:p w14:paraId="1B16B91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已做到</w:t>
            </w:r>
          </w:p>
        </w:tc>
        <w:tc>
          <w:tcPr>
            <w:tcW w:w="488" w:type="pct"/>
            <w:noWrap w:val="0"/>
            <w:vAlign w:val="center"/>
          </w:tcPr>
          <w:p w14:paraId="6C3100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11FC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09980FF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390081D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3.3 人员定位系统的功能符合《金属非金属地下矿山人员定位系统建设规范》的要求。</w:t>
            </w:r>
          </w:p>
        </w:tc>
        <w:tc>
          <w:tcPr>
            <w:tcW w:w="1350" w:type="pct"/>
            <w:noWrap w:val="0"/>
            <w:vAlign w:val="center"/>
          </w:tcPr>
          <w:p w14:paraId="093986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《金属非金属地下矿山人员定位系统建设规范》AQ2032-2011第4.4条</w:t>
            </w:r>
          </w:p>
        </w:tc>
        <w:tc>
          <w:tcPr>
            <w:tcW w:w="470" w:type="pct"/>
            <w:noWrap w:val="0"/>
            <w:vAlign w:val="center"/>
          </w:tcPr>
          <w:p w14:paraId="1AFDA47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已做到</w:t>
            </w:r>
          </w:p>
        </w:tc>
        <w:tc>
          <w:tcPr>
            <w:tcW w:w="488" w:type="pct"/>
            <w:noWrap w:val="0"/>
            <w:vAlign w:val="center"/>
          </w:tcPr>
          <w:p w14:paraId="0D54256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3ABF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7" w:hRule="atLeast"/>
          <w:jc w:val="center"/>
        </w:trPr>
        <w:tc>
          <w:tcPr>
            <w:tcW w:w="417" w:type="pct"/>
            <w:vMerge w:val="restart"/>
            <w:noWrap w:val="0"/>
            <w:vAlign w:val="center"/>
          </w:tcPr>
          <w:p w14:paraId="304D04C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4、紧急避险系统</w:t>
            </w:r>
          </w:p>
        </w:tc>
        <w:tc>
          <w:tcPr>
            <w:tcW w:w="2273" w:type="pct"/>
            <w:noWrap w:val="0"/>
            <w:vAlign w:val="center"/>
          </w:tcPr>
          <w:p w14:paraId="697A054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4.1 金属非金属地下矿山应为入井人员配备额定防护时间不少于30min的自救器，并按入井总人数的10%配备备用自救器</w:t>
            </w:r>
            <w:r>
              <w:rPr>
                <w:rFonts w:hint="default" w:ascii="Times New Roman" w:hAnsi="Times New Roman" w:eastAsia="宋体" w:cs="Times New Roman"/>
                <w:b w:val="0"/>
                <w:bCs w:val="0"/>
                <w:color w:val="auto"/>
                <w:sz w:val="21"/>
                <w:szCs w:val="21"/>
                <w:lang w:val="en-US" w:eastAsia="zh-CN"/>
              </w:rPr>
              <w:t>；所有入井人员必须随身携带自救器。</w:t>
            </w:r>
          </w:p>
        </w:tc>
        <w:tc>
          <w:tcPr>
            <w:tcW w:w="1350" w:type="pct"/>
            <w:noWrap w:val="0"/>
            <w:vAlign w:val="center"/>
          </w:tcPr>
          <w:p w14:paraId="07611D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《金属非金属地下矿山紧急避险系统建设规范》</w:t>
            </w:r>
            <w:r>
              <w:rPr>
                <w:rFonts w:hint="eastAsia" w:ascii="Times New Roman" w:hAnsi="Times New Roman" w:eastAsia="宋体" w:cs="Times New Roman"/>
                <w:b w:val="0"/>
                <w:bCs w:val="0"/>
                <w:color w:val="auto"/>
                <w:sz w:val="21"/>
                <w:szCs w:val="21"/>
                <w:lang w:eastAsia="zh-CN"/>
              </w:rPr>
              <w:t>KA/T2033-2023</w:t>
            </w: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5</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6</w:t>
            </w:r>
            <w:r>
              <w:rPr>
                <w:rFonts w:hint="default" w:ascii="Times New Roman" w:hAnsi="Times New Roman" w:eastAsia="宋体" w:cs="Times New Roman"/>
                <w:b w:val="0"/>
                <w:bCs w:val="0"/>
                <w:color w:val="auto"/>
                <w:sz w:val="21"/>
                <w:szCs w:val="21"/>
              </w:rPr>
              <w:t>条</w:t>
            </w:r>
          </w:p>
        </w:tc>
        <w:tc>
          <w:tcPr>
            <w:tcW w:w="470" w:type="pct"/>
            <w:noWrap w:val="0"/>
            <w:vAlign w:val="center"/>
          </w:tcPr>
          <w:p w14:paraId="7C52FE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已</w:t>
            </w:r>
            <w:r>
              <w:rPr>
                <w:rFonts w:hint="default" w:ascii="Times New Roman" w:hAnsi="Times New Roman" w:eastAsia="宋体" w:cs="Times New Roman"/>
                <w:b w:val="0"/>
                <w:bCs w:val="0"/>
                <w:color w:val="auto"/>
                <w:sz w:val="21"/>
                <w:szCs w:val="21"/>
              </w:rPr>
              <w:t>做到</w:t>
            </w:r>
          </w:p>
        </w:tc>
        <w:tc>
          <w:tcPr>
            <w:tcW w:w="488" w:type="pct"/>
            <w:noWrap w:val="0"/>
            <w:vAlign w:val="center"/>
          </w:tcPr>
          <w:p w14:paraId="78E1A4E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7C73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8" w:hRule="atLeast"/>
          <w:jc w:val="center"/>
        </w:trPr>
        <w:tc>
          <w:tcPr>
            <w:tcW w:w="417" w:type="pct"/>
            <w:vMerge w:val="continue"/>
            <w:noWrap w:val="0"/>
            <w:vAlign w:val="center"/>
          </w:tcPr>
          <w:p w14:paraId="50339C08">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3EAE5E5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4.2 金属非金属地下矿山企业应按照 GB14161</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rPr>
              <w:t>2008的规定，做好井下避灾路线的标识，并随井下生产系统进行及时调整，定期检查维护避灾路线，保持其通畅。</w:t>
            </w:r>
          </w:p>
        </w:tc>
        <w:tc>
          <w:tcPr>
            <w:tcW w:w="1350" w:type="pct"/>
            <w:noWrap w:val="0"/>
            <w:vAlign w:val="center"/>
          </w:tcPr>
          <w:p w14:paraId="0D6F5F6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《金属非金属地下矿山紧急避险系统建设规范》</w:t>
            </w:r>
            <w:r>
              <w:rPr>
                <w:rFonts w:hint="eastAsia" w:ascii="Times New Roman" w:hAnsi="Times New Roman" w:eastAsia="宋体" w:cs="Times New Roman"/>
                <w:b w:val="0"/>
                <w:bCs w:val="0"/>
                <w:color w:val="auto"/>
                <w:sz w:val="21"/>
                <w:szCs w:val="21"/>
                <w:lang w:eastAsia="zh-CN"/>
              </w:rPr>
              <w:t>KA/T2033-2023</w:t>
            </w: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3</w:t>
            </w:r>
            <w:r>
              <w:rPr>
                <w:rFonts w:hint="default" w:ascii="Times New Roman" w:hAnsi="Times New Roman" w:eastAsia="宋体" w:cs="Times New Roman"/>
                <w:b w:val="0"/>
                <w:bCs w:val="0"/>
                <w:color w:val="auto"/>
                <w:sz w:val="21"/>
                <w:szCs w:val="21"/>
              </w:rPr>
              <w:t>条</w:t>
            </w:r>
          </w:p>
        </w:tc>
        <w:tc>
          <w:tcPr>
            <w:tcW w:w="470" w:type="pct"/>
            <w:noWrap w:val="0"/>
            <w:vAlign w:val="center"/>
          </w:tcPr>
          <w:p w14:paraId="0404EB5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+270m应急安全出口缺少安全指示、警示标志。</w:t>
            </w:r>
          </w:p>
        </w:tc>
        <w:tc>
          <w:tcPr>
            <w:tcW w:w="488" w:type="pct"/>
            <w:noWrap w:val="0"/>
            <w:vAlign w:val="center"/>
          </w:tcPr>
          <w:p w14:paraId="07B3CA5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不</w:t>
            </w:r>
            <w:r>
              <w:rPr>
                <w:rFonts w:hint="default" w:ascii="Times New Roman" w:hAnsi="Times New Roman" w:eastAsia="宋体" w:cs="Times New Roman"/>
                <w:b w:val="0"/>
                <w:bCs w:val="0"/>
                <w:color w:val="auto"/>
                <w:sz w:val="21"/>
                <w:szCs w:val="21"/>
                <w:lang w:val="en-US" w:eastAsia="zh-CN"/>
              </w:rPr>
              <w:t>符合</w:t>
            </w:r>
          </w:p>
        </w:tc>
      </w:tr>
      <w:tr w14:paraId="5944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0" w:hRule="atLeast"/>
          <w:jc w:val="center"/>
        </w:trPr>
        <w:tc>
          <w:tcPr>
            <w:tcW w:w="417" w:type="pct"/>
            <w:vMerge w:val="continue"/>
            <w:noWrap w:val="0"/>
            <w:vAlign w:val="center"/>
          </w:tcPr>
          <w:p w14:paraId="554EFCDB">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51D761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r>
              <w:rPr>
                <w:rFonts w:hint="default" w:ascii="Times New Roman" w:hAnsi="Times New Roman" w:eastAsia="宋体" w:cs="Times New Roman"/>
                <w:b w:val="0"/>
                <w:bCs w:val="0"/>
                <w:color w:val="auto"/>
                <w:spacing w:val="-6"/>
                <w:sz w:val="21"/>
                <w:szCs w:val="21"/>
              </w:rPr>
              <w:t>3 每个矿井至少要有两个独立的直达地面的安全出口，安全出口间距不小于30 m;每个生产水平或中段至少应有两个便于行人的安全出口，并和通往地面的安全出口相通；每个采区至少应有两个便于行人的安全出口，并经上、下巷道与通往地面的安全出口相通。安全出口设置的其他要求应符合GB16423的要求。</w:t>
            </w:r>
          </w:p>
        </w:tc>
        <w:tc>
          <w:tcPr>
            <w:tcW w:w="1350" w:type="pct"/>
            <w:noWrap w:val="0"/>
            <w:vAlign w:val="center"/>
          </w:tcPr>
          <w:p w14:paraId="06ED393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《金属非金属地下矿山紧急避险系统建设规范》</w:t>
            </w:r>
            <w:r>
              <w:rPr>
                <w:rFonts w:hint="eastAsia" w:ascii="Times New Roman" w:hAnsi="Times New Roman" w:eastAsia="宋体" w:cs="Times New Roman"/>
                <w:b w:val="0"/>
                <w:bCs w:val="0"/>
                <w:color w:val="auto"/>
                <w:sz w:val="21"/>
                <w:szCs w:val="21"/>
                <w:lang w:eastAsia="zh-CN"/>
              </w:rPr>
              <w:t>KA/T2033-2023</w:t>
            </w:r>
            <w:r>
              <w:rPr>
                <w:rFonts w:hint="default" w:ascii="Times New Roman" w:hAnsi="Times New Roman" w:eastAsia="宋体" w:cs="Times New Roman"/>
                <w:b w:val="0"/>
                <w:bCs w:val="0"/>
                <w:color w:val="auto"/>
                <w:sz w:val="21"/>
                <w:szCs w:val="21"/>
              </w:rPr>
              <w:t>第5.1条</w:t>
            </w:r>
          </w:p>
        </w:tc>
        <w:tc>
          <w:tcPr>
            <w:tcW w:w="470" w:type="pct"/>
            <w:noWrap w:val="0"/>
            <w:vAlign w:val="center"/>
          </w:tcPr>
          <w:p w14:paraId="23B4EC5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符合规程要求</w:t>
            </w:r>
          </w:p>
        </w:tc>
        <w:tc>
          <w:tcPr>
            <w:tcW w:w="488" w:type="pct"/>
            <w:noWrap w:val="0"/>
            <w:vAlign w:val="center"/>
          </w:tcPr>
          <w:p w14:paraId="39F9940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16A6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4C105FB2">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3B73EC4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4.4 编制事故应急预案，制定各种灾害的避灾路线，绘制井下避灾线路图。</w:t>
            </w:r>
          </w:p>
        </w:tc>
        <w:tc>
          <w:tcPr>
            <w:tcW w:w="1350" w:type="pct"/>
            <w:noWrap w:val="0"/>
            <w:vAlign w:val="center"/>
          </w:tcPr>
          <w:p w14:paraId="49CA286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《金属非金属地下矿山紧急避险系统建设规范》</w:t>
            </w:r>
            <w:r>
              <w:rPr>
                <w:rFonts w:hint="eastAsia" w:ascii="Times New Roman" w:hAnsi="Times New Roman" w:eastAsia="宋体" w:cs="Times New Roman"/>
                <w:b w:val="0"/>
                <w:bCs w:val="0"/>
                <w:color w:val="auto"/>
                <w:sz w:val="21"/>
                <w:szCs w:val="21"/>
                <w:lang w:eastAsia="zh-CN"/>
              </w:rPr>
              <w:t>KA/T2033-2023</w:t>
            </w:r>
            <w:r>
              <w:rPr>
                <w:rFonts w:hint="default" w:ascii="Times New Roman" w:hAnsi="Times New Roman" w:eastAsia="宋体" w:cs="Times New Roman"/>
                <w:b w:val="0"/>
                <w:bCs w:val="0"/>
                <w:color w:val="auto"/>
                <w:sz w:val="21"/>
                <w:szCs w:val="21"/>
              </w:rPr>
              <w:t>第5.2条</w:t>
            </w:r>
          </w:p>
        </w:tc>
        <w:tc>
          <w:tcPr>
            <w:tcW w:w="470" w:type="pct"/>
            <w:noWrap w:val="0"/>
            <w:vAlign w:val="center"/>
          </w:tcPr>
          <w:p w14:paraId="5C5A791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已绘制</w:t>
            </w:r>
          </w:p>
        </w:tc>
        <w:tc>
          <w:tcPr>
            <w:tcW w:w="488" w:type="pct"/>
            <w:noWrap w:val="0"/>
            <w:vAlign w:val="center"/>
          </w:tcPr>
          <w:p w14:paraId="73C8F6A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7D12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417" w:type="pct"/>
            <w:vMerge w:val="continue"/>
            <w:noWrap w:val="0"/>
            <w:vAlign w:val="center"/>
          </w:tcPr>
          <w:p w14:paraId="0595BDF9">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772A900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 按照GB14161的规定，做好井下避灾路线的标识，井巷的所有分道口要有醒目的路标，注明其所在地点及通往地面出口的方向。</w:t>
            </w:r>
          </w:p>
        </w:tc>
        <w:tc>
          <w:tcPr>
            <w:tcW w:w="1350" w:type="pct"/>
            <w:noWrap w:val="0"/>
            <w:vAlign w:val="center"/>
          </w:tcPr>
          <w:p w14:paraId="5888260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《金属非金属地下矿山紧急避险系统建设规范》</w:t>
            </w:r>
            <w:r>
              <w:rPr>
                <w:rFonts w:hint="eastAsia" w:ascii="Times New Roman" w:hAnsi="Times New Roman" w:eastAsia="宋体" w:cs="Times New Roman"/>
                <w:b w:val="0"/>
                <w:bCs w:val="0"/>
                <w:color w:val="auto"/>
                <w:sz w:val="21"/>
                <w:szCs w:val="21"/>
                <w:lang w:eastAsia="zh-CN"/>
              </w:rPr>
              <w:t>KA/T2033-2023</w:t>
            </w:r>
            <w:r>
              <w:rPr>
                <w:rFonts w:hint="default" w:ascii="Times New Roman" w:hAnsi="Times New Roman" w:eastAsia="宋体" w:cs="Times New Roman"/>
                <w:b w:val="0"/>
                <w:bCs w:val="0"/>
                <w:color w:val="auto"/>
                <w:sz w:val="21"/>
                <w:szCs w:val="21"/>
              </w:rPr>
              <w:t>第5.2条</w:t>
            </w:r>
          </w:p>
        </w:tc>
        <w:tc>
          <w:tcPr>
            <w:tcW w:w="470" w:type="pct"/>
            <w:noWrap w:val="0"/>
            <w:vAlign w:val="center"/>
          </w:tcPr>
          <w:p w14:paraId="5BD897D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已</w:t>
            </w:r>
            <w:r>
              <w:rPr>
                <w:rFonts w:hint="default" w:ascii="Times New Roman" w:hAnsi="Times New Roman" w:eastAsia="宋体" w:cs="Times New Roman"/>
                <w:b w:val="0"/>
                <w:bCs w:val="0"/>
                <w:color w:val="auto"/>
                <w:sz w:val="21"/>
                <w:szCs w:val="21"/>
              </w:rPr>
              <w:t>做到</w:t>
            </w:r>
          </w:p>
        </w:tc>
        <w:tc>
          <w:tcPr>
            <w:tcW w:w="488" w:type="pct"/>
            <w:noWrap w:val="0"/>
            <w:vAlign w:val="center"/>
          </w:tcPr>
          <w:p w14:paraId="7AC0F5F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47B1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2" w:hRule="atLeast"/>
          <w:jc w:val="center"/>
        </w:trPr>
        <w:tc>
          <w:tcPr>
            <w:tcW w:w="417" w:type="pct"/>
            <w:vMerge w:val="continue"/>
            <w:noWrap w:val="0"/>
            <w:vAlign w:val="center"/>
          </w:tcPr>
          <w:p w14:paraId="618CC344">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1C7A614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4.6</w:t>
            </w:r>
            <w:r>
              <w:rPr>
                <w:rFonts w:hint="default" w:ascii="Times New Roman" w:hAnsi="Times New Roman" w:eastAsia="宋体" w:cs="Times New Roman"/>
                <w:b w:val="0"/>
                <w:bCs w:val="0"/>
                <w:color w:val="auto"/>
                <w:sz w:val="21"/>
                <w:szCs w:val="21"/>
              </w:rPr>
              <w:t xml:space="preserve"> </w:t>
            </w:r>
            <w:r>
              <w:rPr>
                <w:rFonts w:hint="default" w:ascii="Times New Roman" w:hAnsi="Times New Roman" w:eastAsia="宋体" w:cs="Times New Roman"/>
                <w:b w:val="0"/>
                <w:bCs w:val="0"/>
                <w:color w:val="auto"/>
                <w:sz w:val="21"/>
                <w:szCs w:val="21"/>
                <w:lang w:val="en-US" w:eastAsia="zh-CN"/>
              </w:rPr>
              <w:t>生产中段在地面最低安全出口以下垂直距离超过500m的矿山，宜在最低采矿生产中段设置普通型紧急避险设施；水文地质条件复杂或有透水风险的地下矿山，宜在最低采矿生产中段设置防水紧急避险设施。紧急避险设施宜优先选择避灾硐室。</w:t>
            </w:r>
          </w:p>
        </w:tc>
        <w:tc>
          <w:tcPr>
            <w:tcW w:w="1350" w:type="pct"/>
            <w:noWrap w:val="0"/>
            <w:vAlign w:val="center"/>
          </w:tcPr>
          <w:p w14:paraId="166C189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《金属非金属地下矿山紧急避险系统建设规范》</w:t>
            </w:r>
            <w:r>
              <w:rPr>
                <w:rFonts w:hint="eastAsia" w:ascii="Times New Roman" w:hAnsi="Times New Roman" w:eastAsia="宋体" w:cs="Times New Roman"/>
                <w:b w:val="0"/>
                <w:bCs w:val="0"/>
                <w:color w:val="auto"/>
                <w:sz w:val="21"/>
                <w:szCs w:val="21"/>
                <w:lang w:eastAsia="zh-CN"/>
              </w:rPr>
              <w:t>KA/T2033-2023</w:t>
            </w:r>
            <w:r>
              <w:rPr>
                <w:rFonts w:hint="default" w:ascii="Times New Roman" w:hAnsi="Times New Roman" w:eastAsia="宋体" w:cs="Times New Roman"/>
                <w:b w:val="0"/>
                <w:bCs w:val="0"/>
                <w:color w:val="auto"/>
                <w:sz w:val="21"/>
                <w:szCs w:val="21"/>
              </w:rPr>
              <w:t>第5.</w:t>
            </w:r>
            <w:r>
              <w:rPr>
                <w:rFonts w:hint="default" w:ascii="Times New Roman" w:hAnsi="Times New Roman" w:eastAsia="宋体" w:cs="Times New Roman"/>
                <w:b w:val="0"/>
                <w:bCs w:val="0"/>
                <w:color w:val="auto"/>
                <w:sz w:val="21"/>
                <w:szCs w:val="21"/>
                <w:lang w:val="en-US" w:eastAsia="zh-CN"/>
              </w:rPr>
              <w:t>3</w:t>
            </w:r>
            <w:r>
              <w:rPr>
                <w:rFonts w:hint="default" w:ascii="Times New Roman" w:hAnsi="Times New Roman" w:eastAsia="宋体" w:cs="Times New Roman"/>
                <w:b w:val="0"/>
                <w:bCs w:val="0"/>
                <w:color w:val="auto"/>
                <w:sz w:val="21"/>
                <w:szCs w:val="21"/>
              </w:rPr>
              <w:t>条</w:t>
            </w:r>
          </w:p>
        </w:tc>
        <w:tc>
          <w:tcPr>
            <w:tcW w:w="470" w:type="pct"/>
            <w:noWrap w:val="0"/>
            <w:vAlign w:val="center"/>
          </w:tcPr>
          <w:p w14:paraId="65BACB3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平硐开拓</w:t>
            </w:r>
            <w:r>
              <w:rPr>
                <w:rFonts w:hint="eastAsia" w:ascii="Times New Roman" w:hAnsi="Times New Roman" w:eastAsia="宋体" w:cs="Times New Roman"/>
                <w:b w:val="0"/>
                <w:bCs w:val="0"/>
                <w:color w:val="auto"/>
                <w:sz w:val="21"/>
                <w:szCs w:val="21"/>
                <w:lang w:val="en-US" w:eastAsia="zh-CN"/>
              </w:rPr>
              <w:t>，垂直距离未超过500m，水文地质条件简单</w:t>
            </w:r>
          </w:p>
        </w:tc>
        <w:tc>
          <w:tcPr>
            <w:tcW w:w="488" w:type="pct"/>
            <w:noWrap w:val="0"/>
            <w:vAlign w:val="center"/>
          </w:tcPr>
          <w:p w14:paraId="5B15971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2F3C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7" w:hRule="atLeast"/>
          <w:jc w:val="center"/>
        </w:trPr>
        <w:tc>
          <w:tcPr>
            <w:tcW w:w="417" w:type="pct"/>
            <w:vMerge w:val="restart"/>
            <w:noWrap w:val="0"/>
            <w:vAlign w:val="center"/>
          </w:tcPr>
          <w:p w14:paraId="7F7FDC1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5、压风自救系统</w:t>
            </w:r>
          </w:p>
        </w:tc>
        <w:tc>
          <w:tcPr>
            <w:tcW w:w="2273" w:type="pct"/>
            <w:noWrap w:val="0"/>
            <w:vAlign w:val="center"/>
          </w:tcPr>
          <w:p w14:paraId="192EB22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5.1 空压机安装在地面，并能在10min内启动；空压机安装在井下时，安全设施设计中应明确井下安装空气压缩机硐室位置，并与矿井通风系统和安全出口统筹规划设计。</w:t>
            </w:r>
          </w:p>
        </w:tc>
        <w:tc>
          <w:tcPr>
            <w:tcW w:w="1350" w:type="pct"/>
            <w:noWrap w:val="0"/>
            <w:vAlign w:val="center"/>
          </w:tcPr>
          <w:p w14:paraId="61E03AE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《金属非金属地下矿山压风自救系统建设规范》</w:t>
            </w:r>
            <w:r>
              <w:rPr>
                <w:rFonts w:hint="eastAsia" w:ascii="Times New Roman" w:hAnsi="Times New Roman" w:eastAsia="宋体" w:cs="Times New Roman"/>
                <w:b w:val="0"/>
                <w:bCs w:val="0"/>
                <w:color w:val="auto"/>
                <w:sz w:val="21"/>
                <w:szCs w:val="21"/>
                <w:lang w:eastAsia="zh-CN"/>
              </w:rPr>
              <w:t>KA/T2034-2023</w:t>
            </w:r>
          </w:p>
          <w:p w14:paraId="0420E50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第4.3条</w:t>
            </w:r>
          </w:p>
        </w:tc>
        <w:tc>
          <w:tcPr>
            <w:tcW w:w="470" w:type="pct"/>
            <w:noWrap w:val="0"/>
            <w:vAlign w:val="center"/>
          </w:tcPr>
          <w:p w14:paraId="5FEB77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安设在地面，随时可启动</w:t>
            </w:r>
          </w:p>
        </w:tc>
        <w:tc>
          <w:tcPr>
            <w:tcW w:w="488" w:type="pct"/>
            <w:noWrap w:val="0"/>
            <w:vAlign w:val="center"/>
          </w:tcPr>
          <w:p w14:paraId="5B3E697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2C0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5" w:hRule="atLeast"/>
          <w:jc w:val="center"/>
        </w:trPr>
        <w:tc>
          <w:tcPr>
            <w:tcW w:w="417" w:type="pct"/>
            <w:vMerge w:val="continue"/>
            <w:noWrap w:val="0"/>
            <w:vAlign w:val="center"/>
          </w:tcPr>
          <w:p w14:paraId="13D7A96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272C100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5.2 压风管道应采用钢质材料或其他具有同等强度的阻燃材料，并采取防腐蚀措施。</w:t>
            </w:r>
          </w:p>
        </w:tc>
        <w:tc>
          <w:tcPr>
            <w:tcW w:w="1350" w:type="pct"/>
            <w:noWrap w:val="0"/>
            <w:vAlign w:val="center"/>
          </w:tcPr>
          <w:p w14:paraId="58C1953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《金属非金属地下矿山压风自救系统建设规范》</w:t>
            </w:r>
            <w:r>
              <w:rPr>
                <w:rFonts w:hint="eastAsia" w:ascii="Times New Roman" w:hAnsi="Times New Roman" w:eastAsia="宋体" w:cs="Times New Roman"/>
                <w:b w:val="0"/>
                <w:bCs w:val="0"/>
                <w:color w:val="auto"/>
                <w:sz w:val="21"/>
                <w:szCs w:val="21"/>
                <w:lang w:eastAsia="zh-CN"/>
              </w:rPr>
              <w:t>KA/T2034-2023</w:t>
            </w:r>
          </w:p>
          <w:p w14:paraId="6092BA5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6</w:t>
            </w:r>
            <w:r>
              <w:rPr>
                <w:rFonts w:hint="default" w:ascii="Times New Roman" w:hAnsi="Times New Roman" w:eastAsia="宋体" w:cs="Times New Roman"/>
                <w:b w:val="0"/>
                <w:bCs w:val="0"/>
                <w:color w:val="auto"/>
                <w:sz w:val="21"/>
                <w:szCs w:val="21"/>
              </w:rPr>
              <w:t>条</w:t>
            </w:r>
          </w:p>
        </w:tc>
        <w:tc>
          <w:tcPr>
            <w:tcW w:w="470" w:type="pct"/>
            <w:noWrap w:val="0"/>
            <w:vAlign w:val="center"/>
          </w:tcPr>
          <w:p w14:paraId="5644C7E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钢质材料</w:t>
            </w:r>
          </w:p>
        </w:tc>
        <w:tc>
          <w:tcPr>
            <w:tcW w:w="488" w:type="pct"/>
            <w:noWrap w:val="0"/>
            <w:vAlign w:val="center"/>
          </w:tcPr>
          <w:p w14:paraId="594F444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3DA5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8" w:hRule="atLeast"/>
          <w:jc w:val="center"/>
        </w:trPr>
        <w:tc>
          <w:tcPr>
            <w:tcW w:w="417" w:type="pct"/>
            <w:vMerge w:val="continue"/>
            <w:noWrap w:val="0"/>
            <w:vAlign w:val="center"/>
          </w:tcPr>
          <w:p w14:paraId="259A00D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6ACF7F7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 各主要生产中段和分段进风巷道的压风管路上设置的供气阀门，中段和分段间隔应不大于200m。</w:t>
            </w:r>
          </w:p>
        </w:tc>
        <w:tc>
          <w:tcPr>
            <w:tcW w:w="1350" w:type="pct"/>
            <w:noWrap w:val="0"/>
            <w:vAlign w:val="center"/>
          </w:tcPr>
          <w:p w14:paraId="62D9EE6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《金属非金属地下矿山压风自救系统建设规范》</w:t>
            </w:r>
            <w:r>
              <w:rPr>
                <w:rFonts w:hint="eastAsia" w:ascii="Times New Roman" w:hAnsi="Times New Roman" w:eastAsia="宋体" w:cs="Times New Roman"/>
                <w:b w:val="0"/>
                <w:bCs w:val="0"/>
                <w:color w:val="auto"/>
                <w:sz w:val="21"/>
                <w:szCs w:val="21"/>
                <w:lang w:eastAsia="zh-CN"/>
              </w:rPr>
              <w:t>KA/T2034-2023</w:t>
            </w:r>
          </w:p>
          <w:p w14:paraId="29A0C3E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8</w:t>
            </w:r>
            <w:r>
              <w:rPr>
                <w:rFonts w:hint="default" w:ascii="Times New Roman" w:hAnsi="Times New Roman" w:eastAsia="宋体" w:cs="Times New Roman"/>
                <w:b w:val="0"/>
                <w:bCs w:val="0"/>
                <w:color w:val="auto"/>
                <w:sz w:val="21"/>
                <w:szCs w:val="21"/>
              </w:rPr>
              <w:t>条</w:t>
            </w:r>
          </w:p>
        </w:tc>
        <w:tc>
          <w:tcPr>
            <w:tcW w:w="470" w:type="pct"/>
            <w:noWrap w:val="0"/>
            <w:vAlign w:val="center"/>
          </w:tcPr>
          <w:p w14:paraId="45DF11C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已做到</w:t>
            </w:r>
          </w:p>
        </w:tc>
        <w:tc>
          <w:tcPr>
            <w:tcW w:w="488" w:type="pct"/>
            <w:noWrap w:val="0"/>
            <w:vAlign w:val="center"/>
          </w:tcPr>
          <w:p w14:paraId="1F1362E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5BA0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jc w:val="center"/>
        </w:trPr>
        <w:tc>
          <w:tcPr>
            <w:tcW w:w="417" w:type="pct"/>
            <w:vMerge w:val="continue"/>
            <w:noWrap w:val="0"/>
            <w:vAlign w:val="center"/>
          </w:tcPr>
          <w:p w14:paraId="7055775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36130B2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5.4</w:t>
            </w:r>
            <w:r>
              <w:rPr>
                <w:rFonts w:hint="default" w:ascii="Times New Roman" w:hAnsi="Times New Roman" w:eastAsia="宋体" w:cs="Times New Roman"/>
                <w:b w:val="0"/>
                <w:bCs w:val="0"/>
                <w:color w:val="auto"/>
                <w:sz w:val="21"/>
                <w:szCs w:val="21"/>
              </w:rPr>
              <w:t xml:space="preserve"> </w:t>
            </w:r>
            <w:r>
              <w:rPr>
                <w:rFonts w:hint="default" w:ascii="Times New Roman" w:hAnsi="Times New Roman" w:eastAsia="宋体" w:cs="Times New Roman"/>
                <w:b w:val="0"/>
                <w:bCs w:val="0"/>
                <w:color w:val="auto"/>
                <w:sz w:val="21"/>
                <w:szCs w:val="21"/>
                <w:lang w:val="en-US" w:eastAsia="zh-CN"/>
              </w:rPr>
              <w:t>每组压风自救装置应可供5人～8人使用，平均每人空气供给量应不小于0.1m³/min。</w:t>
            </w:r>
          </w:p>
        </w:tc>
        <w:tc>
          <w:tcPr>
            <w:tcW w:w="1350" w:type="pct"/>
            <w:noWrap w:val="0"/>
            <w:vAlign w:val="center"/>
          </w:tcPr>
          <w:p w14:paraId="63838CF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《金属非金属地下矿山压风自救系统建设规范》</w:t>
            </w:r>
            <w:r>
              <w:rPr>
                <w:rFonts w:hint="eastAsia" w:ascii="Times New Roman" w:hAnsi="Times New Roman" w:eastAsia="宋体" w:cs="Times New Roman"/>
                <w:b w:val="0"/>
                <w:bCs w:val="0"/>
                <w:color w:val="auto"/>
                <w:sz w:val="21"/>
                <w:szCs w:val="21"/>
                <w:lang w:eastAsia="zh-CN"/>
              </w:rPr>
              <w:t>KA/T2034-2023</w:t>
            </w:r>
          </w:p>
          <w:p w14:paraId="0D4206A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9</w:t>
            </w:r>
            <w:r>
              <w:rPr>
                <w:rFonts w:hint="default" w:ascii="Times New Roman" w:hAnsi="Times New Roman" w:eastAsia="宋体" w:cs="Times New Roman"/>
                <w:b w:val="0"/>
                <w:bCs w:val="0"/>
                <w:color w:val="auto"/>
                <w:sz w:val="21"/>
                <w:szCs w:val="21"/>
              </w:rPr>
              <w:t>条</w:t>
            </w:r>
          </w:p>
        </w:tc>
        <w:tc>
          <w:tcPr>
            <w:tcW w:w="470" w:type="pct"/>
            <w:noWrap w:val="0"/>
            <w:vAlign w:val="center"/>
          </w:tcPr>
          <w:p w14:paraId="003D2B9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已做到</w:t>
            </w:r>
          </w:p>
        </w:tc>
        <w:tc>
          <w:tcPr>
            <w:tcW w:w="488" w:type="pct"/>
            <w:noWrap w:val="0"/>
            <w:vAlign w:val="center"/>
          </w:tcPr>
          <w:p w14:paraId="6AB8487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符合</w:t>
            </w:r>
          </w:p>
        </w:tc>
      </w:tr>
      <w:tr w14:paraId="6223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2" w:hRule="atLeast"/>
          <w:jc w:val="center"/>
        </w:trPr>
        <w:tc>
          <w:tcPr>
            <w:tcW w:w="417" w:type="pct"/>
            <w:vMerge w:val="continue"/>
            <w:noWrap w:val="0"/>
            <w:vAlign w:val="center"/>
          </w:tcPr>
          <w:p w14:paraId="150211C5">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2850470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w:t>
            </w:r>
            <w:r>
              <w:rPr>
                <w:rFonts w:hint="default" w:ascii="Times New Roman" w:hAnsi="Times New Roman" w:eastAsia="宋体" w:cs="Times New Roman"/>
                <w:b w:val="0"/>
                <w:bCs w:val="0"/>
                <w:color w:val="auto"/>
                <w:sz w:val="21"/>
                <w:szCs w:val="21"/>
                <w:lang w:val="en-US" w:eastAsia="zh-CN"/>
              </w:rPr>
              <w:t>5</w:t>
            </w:r>
            <w:r>
              <w:rPr>
                <w:rFonts w:hint="default" w:ascii="Times New Roman" w:hAnsi="Times New Roman" w:eastAsia="宋体" w:cs="Times New Roman"/>
                <w:b w:val="0"/>
                <w:bCs w:val="0"/>
                <w:color w:val="auto"/>
                <w:sz w:val="21"/>
                <w:szCs w:val="21"/>
              </w:rPr>
              <w:t xml:space="preserve"> 主压风管道中应安装油水分离器。</w:t>
            </w:r>
          </w:p>
        </w:tc>
        <w:tc>
          <w:tcPr>
            <w:tcW w:w="1350" w:type="pct"/>
            <w:noWrap w:val="0"/>
            <w:vAlign w:val="center"/>
          </w:tcPr>
          <w:p w14:paraId="787D926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《金属非金属地下矿山压风自救系统建设规范》</w:t>
            </w:r>
            <w:r>
              <w:rPr>
                <w:rFonts w:hint="eastAsia" w:ascii="Times New Roman" w:hAnsi="Times New Roman" w:eastAsia="宋体" w:cs="Times New Roman"/>
                <w:b w:val="0"/>
                <w:bCs w:val="0"/>
                <w:color w:val="auto"/>
                <w:sz w:val="21"/>
                <w:szCs w:val="21"/>
                <w:lang w:eastAsia="zh-CN"/>
              </w:rPr>
              <w:t>KA/T2034-2023</w:t>
            </w:r>
          </w:p>
          <w:p w14:paraId="762CF95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13</w:t>
            </w:r>
            <w:r>
              <w:rPr>
                <w:rFonts w:hint="default" w:ascii="Times New Roman" w:hAnsi="Times New Roman" w:eastAsia="宋体" w:cs="Times New Roman"/>
                <w:b w:val="0"/>
                <w:bCs w:val="0"/>
                <w:color w:val="auto"/>
                <w:sz w:val="21"/>
                <w:szCs w:val="21"/>
              </w:rPr>
              <w:t>条</w:t>
            </w:r>
          </w:p>
        </w:tc>
        <w:tc>
          <w:tcPr>
            <w:tcW w:w="470" w:type="pct"/>
            <w:noWrap w:val="0"/>
            <w:vAlign w:val="center"/>
          </w:tcPr>
          <w:p w14:paraId="42A999B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已做到</w:t>
            </w:r>
          </w:p>
        </w:tc>
        <w:tc>
          <w:tcPr>
            <w:tcW w:w="488" w:type="pct"/>
            <w:noWrap w:val="0"/>
            <w:vAlign w:val="center"/>
          </w:tcPr>
          <w:p w14:paraId="62EF410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符合</w:t>
            </w:r>
          </w:p>
        </w:tc>
      </w:tr>
      <w:tr w14:paraId="0DDE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417" w:type="pct"/>
            <w:vMerge w:val="restart"/>
            <w:noWrap w:val="0"/>
            <w:vAlign w:val="center"/>
          </w:tcPr>
          <w:p w14:paraId="259929A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6、供水施救系统</w:t>
            </w:r>
          </w:p>
        </w:tc>
        <w:tc>
          <w:tcPr>
            <w:tcW w:w="2273" w:type="pct"/>
            <w:noWrap w:val="0"/>
            <w:vAlign w:val="center"/>
          </w:tcPr>
          <w:p w14:paraId="3E25926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6.1 供水施救系统应优先采用静压供水，当不具备条件时，采用动压供水，用水地点管道出口水压应不小于0.1MPa。</w:t>
            </w:r>
          </w:p>
        </w:tc>
        <w:tc>
          <w:tcPr>
            <w:tcW w:w="1350" w:type="pct"/>
            <w:noWrap w:val="0"/>
            <w:vAlign w:val="center"/>
          </w:tcPr>
          <w:p w14:paraId="5A9764C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《金属非金属地下矿山供水施救系统建设规范》</w:t>
            </w:r>
            <w:r>
              <w:rPr>
                <w:rFonts w:hint="eastAsia" w:ascii="Times New Roman" w:hAnsi="Times New Roman" w:eastAsia="宋体" w:cs="Times New Roman"/>
                <w:b w:val="0"/>
                <w:bCs w:val="0"/>
                <w:color w:val="auto"/>
                <w:sz w:val="21"/>
                <w:szCs w:val="21"/>
                <w:lang w:eastAsia="zh-CN"/>
              </w:rPr>
              <w:t>KA/T2035-2023</w:t>
            </w:r>
            <w:r>
              <w:rPr>
                <w:rFonts w:hint="default" w:ascii="Times New Roman" w:hAnsi="Times New Roman" w:eastAsia="宋体" w:cs="Times New Roman"/>
                <w:b w:val="0"/>
                <w:bCs w:val="0"/>
                <w:color w:val="auto"/>
                <w:sz w:val="21"/>
                <w:szCs w:val="21"/>
                <w:lang w:val="en-US" w:eastAsia="zh-CN"/>
              </w:rPr>
              <w:t>3</w:t>
            </w:r>
            <w:r>
              <w:rPr>
                <w:rFonts w:hint="default" w:ascii="Times New Roman" w:hAnsi="Times New Roman" w:eastAsia="宋体" w:cs="Times New Roman"/>
                <w:b w:val="0"/>
                <w:bCs w:val="0"/>
                <w:color w:val="auto"/>
                <w:sz w:val="21"/>
                <w:szCs w:val="21"/>
              </w:rPr>
              <w:t>第4.3条</w:t>
            </w:r>
          </w:p>
        </w:tc>
        <w:tc>
          <w:tcPr>
            <w:tcW w:w="470" w:type="pct"/>
            <w:noWrap w:val="0"/>
            <w:vAlign w:val="center"/>
          </w:tcPr>
          <w:p w14:paraId="6B11AA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静压供水</w:t>
            </w:r>
          </w:p>
        </w:tc>
        <w:tc>
          <w:tcPr>
            <w:tcW w:w="488" w:type="pct"/>
            <w:noWrap w:val="0"/>
            <w:vAlign w:val="center"/>
          </w:tcPr>
          <w:p w14:paraId="0298D39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符合</w:t>
            </w:r>
          </w:p>
        </w:tc>
      </w:tr>
      <w:tr w14:paraId="59E7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5" w:hRule="atLeast"/>
          <w:jc w:val="center"/>
        </w:trPr>
        <w:tc>
          <w:tcPr>
            <w:tcW w:w="417" w:type="pct"/>
            <w:vMerge w:val="continue"/>
            <w:noWrap w:val="0"/>
            <w:vAlign w:val="center"/>
          </w:tcPr>
          <w:p w14:paraId="041BE4BB">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7CDD8E3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6.2 生产用水不符合生活饮用水要求时，供水施救系统中还应建设辅助水池用于储备生活饮用水，容量应不小于20m³。辅助水池应采取封闭保护措施，防止异物污染，每年应对辅助水池进行一次全面清洗、消毒，并对水质进行检验</w:t>
            </w:r>
          </w:p>
        </w:tc>
        <w:tc>
          <w:tcPr>
            <w:tcW w:w="1350" w:type="pct"/>
            <w:noWrap w:val="0"/>
            <w:vAlign w:val="center"/>
          </w:tcPr>
          <w:p w14:paraId="0AD794D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《金属非金属地下矿山供水施救系统建设规范》</w:t>
            </w:r>
            <w:r>
              <w:rPr>
                <w:rFonts w:hint="eastAsia" w:ascii="Times New Roman" w:hAnsi="Times New Roman" w:eastAsia="宋体" w:cs="Times New Roman"/>
                <w:b w:val="0"/>
                <w:bCs w:val="0"/>
                <w:color w:val="auto"/>
                <w:sz w:val="21"/>
                <w:szCs w:val="21"/>
                <w:lang w:eastAsia="zh-CN"/>
              </w:rPr>
              <w:t>KA/T2035-2023</w:t>
            </w:r>
            <w:r>
              <w:rPr>
                <w:rFonts w:hint="default" w:ascii="Times New Roman" w:hAnsi="Times New Roman" w:eastAsia="宋体" w:cs="Times New Roman"/>
                <w:b w:val="0"/>
                <w:bCs w:val="0"/>
                <w:color w:val="auto"/>
                <w:sz w:val="21"/>
                <w:szCs w:val="21"/>
                <w:lang w:val="en-US" w:eastAsia="zh-CN"/>
              </w:rPr>
              <w:t>3</w:t>
            </w:r>
            <w:r>
              <w:rPr>
                <w:rFonts w:hint="default" w:ascii="Times New Roman" w:hAnsi="Times New Roman" w:eastAsia="宋体" w:cs="Times New Roman"/>
                <w:b w:val="0"/>
                <w:bCs w:val="0"/>
                <w:color w:val="auto"/>
                <w:sz w:val="21"/>
                <w:szCs w:val="21"/>
              </w:rPr>
              <w:t>第4.5条</w:t>
            </w:r>
          </w:p>
        </w:tc>
        <w:tc>
          <w:tcPr>
            <w:tcW w:w="470" w:type="pct"/>
            <w:noWrap w:val="0"/>
            <w:vAlign w:val="center"/>
          </w:tcPr>
          <w:p w14:paraId="6944D9E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无</w:t>
            </w:r>
            <w:r>
              <w:rPr>
                <w:rFonts w:hint="default" w:ascii="Times New Roman" w:hAnsi="Times New Roman" w:eastAsia="宋体" w:cs="Times New Roman"/>
                <w:b w:val="0"/>
                <w:bCs w:val="0"/>
                <w:color w:val="auto"/>
                <w:sz w:val="21"/>
                <w:szCs w:val="21"/>
              </w:rPr>
              <w:t>辅助水池</w:t>
            </w:r>
          </w:p>
        </w:tc>
        <w:tc>
          <w:tcPr>
            <w:tcW w:w="488" w:type="pct"/>
            <w:noWrap w:val="0"/>
            <w:vAlign w:val="center"/>
          </w:tcPr>
          <w:p w14:paraId="427A516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不</w:t>
            </w:r>
            <w:r>
              <w:rPr>
                <w:rFonts w:hint="default" w:ascii="Times New Roman" w:hAnsi="Times New Roman" w:eastAsia="宋体" w:cs="Times New Roman"/>
                <w:b w:val="0"/>
                <w:bCs w:val="0"/>
                <w:color w:val="auto"/>
                <w:sz w:val="21"/>
                <w:szCs w:val="21"/>
                <w:lang w:val="en-US" w:eastAsia="zh-CN"/>
              </w:rPr>
              <w:t>符合</w:t>
            </w:r>
          </w:p>
        </w:tc>
      </w:tr>
      <w:tr w14:paraId="6D12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28A56EE5">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16D8633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6.3</w:t>
            </w:r>
            <w:r>
              <w:rPr>
                <w:rFonts w:hint="default" w:ascii="Times New Roman" w:hAnsi="Times New Roman" w:eastAsia="宋体" w:cs="Times New Roman"/>
                <w:b w:val="0"/>
                <w:bCs w:val="0"/>
                <w:color w:val="auto"/>
                <w:sz w:val="21"/>
                <w:szCs w:val="21"/>
              </w:rPr>
              <w:t xml:space="preserve"> </w:t>
            </w:r>
            <w:r>
              <w:rPr>
                <w:rFonts w:hint="default" w:ascii="Times New Roman" w:hAnsi="Times New Roman" w:eastAsia="宋体" w:cs="Times New Roman"/>
                <w:b w:val="0"/>
                <w:bCs w:val="0"/>
                <w:color w:val="auto"/>
                <w:sz w:val="21"/>
                <w:szCs w:val="21"/>
                <w:lang w:val="en-US" w:eastAsia="zh-CN"/>
              </w:rPr>
              <w:t>供水施救系统管道应采用钢管材料或其他同等强度的阻燃材料，并采取防腐蚀措施</w:t>
            </w:r>
          </w:p>
        </w:tc>
        <w:tc>
          <w:tcPr>
            <w:tcW w:w="1350" w:type="pct"/>
            <w:noWrap w:val="0"/>
            <w:vAlign w:val="center"/>
          </w:tcPr>
          <w:p w14:paraId="08719C3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《金属非金属地下矿山供水施救系统建设规范》</w:t>
            </w:r>
            <w:r>
              <w:rPr>
                <w:rFonts w:hint="eastAsia" w:ascii="Times New Roman" w:hAnsi="Times New Roman" w:eastAsia="宋体" w:cs="Times New Roman"/>
                <w:b w:val="0"/>
                <w:bCs w:val="0"/>
                <w:color w:val="auto"/>
                <w:sz w:val="21"/>
                <w:szCs w:val="21"/>
                <w:lang w:eastAsia="zh-CN"/>
              </w:rPr>
              <w:t>KA/T2035-2023</w:t>
            </w:r>
            <w:r>
              <w:rPr>
                <w:rFonts w:hint="default" w:ascii="Times New Roman" w:hAnsi="Times New Roman" w:eastAsia="宋体" w:cs="Times New Roman"/>
                <w:b w:val="0"/>
                <w:bCs w:val="0"/>
                <w:color w:val="auto"/>
                <w:sz w:val="21"/>
                <w:szCs w:val="21"/>
                <w:lang w:val="en-US" w:eastAsia="zh-CN"/>
              </w:rPr>
              <w:t>3</w:t>
            </w: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6</w:t>
            </w:r>
            <w:r>
              <w:rPr>
                <w:rFonts w:hint="default" w:ascii="Times New Roman" w:hAnsi="Times New Roman" w:eastAsia="宋体" w:cs="Times New Roman"/>
                <w:b w:val="0"/>
                <w:bCs w:val="0"/>
                <w:color w:val="auto"/>
                <w:sz w:val="21"/>
                <w:szCs w:val="21"/>
              </w:rPr>
              <w:t>条</w:t>
            </w:r>
          </w:p>
        </w:tc>
        <w:tc>
          <w:tcPr>
            <w:tcW w:w="470" w:type="pct"/>
            <w:noWrap w:val="0"/>
            <w:vAlign w:val="center"/>
          </w:tcPr>
          <w:p w14:paraId="737BED1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钢质材料</w:t>
            </w:r>
          </w:p>
        </w:tc>
        <w:tc>
          <w:tcPr>
            <w:tcW w:w="488" w:type="pct"/>
            <w:noWrap w:val="0"/>
            <w:vAlign w:val="center"/>
          </w:tcPr>
          <w:p w14:paraId="4BB65F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符合</w:t>
            </w:r>
          </w:p>
        </w:tc>
      </w:tr>
      <w:tr w14:paraId="4B12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417" w:type="pct"/>
            <w:vMerge w:val="continue"/>
            <w:noWrap w:val="0"/>
            <w:vAlign w:val="center"/>
          </w:tcPr>
          <w:p w14:paraId="0C8AA249">
            <w:pPr>
              <w:keepNext w:val="0"/>
              <w:keepLines w:val="0"/>
              <w:pageBreakBefore w:val="0"/>
              <w:widowControl w:val="0"/>
              <w:kinsoku/>
              <w:wordWrap/>
              <w:overflowPunct/>
              <w:topLinePunct w:val="0"/>
              <w:bidi w:val="0"/>
              <w:snapToGrid/>
              <w:spacing w:line="240" w:lineRule="auto"/>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10CD00C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w:t>
            </w:r>
            <w:r>
              <w:rPr>
                <w:rFonts w:hint="default" w:ascii="Times New Roman" w:hAnsi="Times New Roman" w:eastAsia="宋体" w:cs="Times New Roman"/>
                <w:b w:val="0"/>
                <w:bCs w:val="0"/>
                <w:color w:val="auto"/>
                <w:sz w:val="21"/>
                <w:szCs w:val="21"/>
                <w:lang w:val="en-US" w:eastAsia="zh-CN"/>
              </w:rPr>
              <w:t>4</w:t>
            </w:r>
            <w:r>
              <w:rPr>
                <w:rFonts w:hint="default" w:ascii="Times New Roman" w:hAnsi="Times New Roman" w:eastAsia="宋体" w:cs="Times New Roman"/>
                <w:b w:val="0"/>
                <w:bCs w:val="0"/>
                <w:color w:val="auto"/>
                <w:sz w:val="21"/>
                <w:szCs w:val="21"/>
              </w:rPr>
              <w:t xml:space="preserve"> 各主要生产中段和分段进风巷道的供水管道上安设的供水阀门，中段和分段间隔应不大于200m。</w:t>
            </w:r>
          </w:p>
        </w:tc>
        <w:tc>
          <w:tcPr>
            <w:tcW w:w="1350" w:type="pct"/>
            <w:noWrap w:val="0"/>
            <w:vAlign w:val="center"/>
          </w:tcPr>
          <w:p w14:paraId="0B6E7B2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《金属非金属地下矿山供水施救系统建设规范》</w:t>
            </w:r>
            <w:r>
              <w:rPr>
                <w:rFonts w:hint="eastAsia" w:ascii="Times New Roman" w:hAnsi="Times New Roman" w:eastAsia="宋体" w:cs="Times New Roman"/>
                <w:b w:val="0"/>
                <w:bCs w:val="0"/>
                <w:color w:val="auto"/>
                <w:sz w:val="21"/>
                <w:szCs w:val="21"/>
                <w:lang w:eastAsia="zh-CN"/>
              </w:rPr>
              <w:t>KA/T2035-2023</w:t>
            </w:r>
            <w:r>
              <w:rPr>
                <w:rFonts w:hint="default" w:ascii="Times New Roman" w:hAnsi="Times New Roman" w:eastAsia="宋体" w:cs="Times New Roman"/>
                <w:b w:val="0"/>
                <w:bCs w:val="0"/>
                <w:color w:val="auto"/>
                <w:sz w:val="21"/>
                <w:szCs w:val="21"/>
              </w:rPr>
              <w:t>第4.</w:t>
            </w:r>
            <w:r>
              <w:rPr>
                <w:rFonts w:hint="default" w:ascii="Times New Roman" w:hAnsi="Times New Roman" w:eastAsia="宋体" w:cs="Times New Roman"/>
                <w:b w:val="0"/>
                <w:bCs w:val="0"/>
                <w:color w:val="auto"/>
                <w:sz w:val="21"/>
                <w:szCs w:val="21"/>
                <w:lang w:val="en-US" w:eastAsia="zh-CN"/>
              </w:rPr>
              <w:t>8</w:t>
            </w:r>
            <w:r>
              <w:rPr>
                <w:rFonts w:hint="default" w:ascii="Times New Roman" w:hAnsi="Times New Roman" w:eastAsia="宋体" w:cs="Times New Roman"/>
                <w:b w:val="0"/>
                <w:bCs w:val="0"/>
                <w:color w:val="auto"/>
                <w:sz w:val="21"/>
                <w:szCs w:val="21"/>
              </w:rPr>
              <w:t>条</w:t>
            </w:r>
          </w:p>
        </w:tc>
        <w:tc>
          <w:tcPr>
            <w:tcW w:w="470" w:type="pct"/>
            <w:noWrap w:val="0"/>
            <w:vAlign w:val="center"/>
          </w:tcPr>
          <w:p w14:paraId="0099CD2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已做到</w:t>
            </w:r>
          </w:p>
        </w:tc>
        <w:tc>
          <w:tcPr>
            <w:tcW w:w="488" w:type="pct"/>
            <w:noWrap w:val="0"/>
            <w:vAlign w:val="center"/>
          </w:tcPr>
          <w:p w14:paraId="064B53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7947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417" w:type="pct"/>
            <w:vMerge w:val="restart"/>
            <w:noWrap w:val="0"/>
            <w:vAlign w:val="center"/>
          </w:tcPr>
          <w:p w14:paraId="2B8C949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7、通讯联络系统</w:t>
            </w:r>
          </w:p>
        </w:tc>
        <w:tc>
          <w:tcPr>
            <w:tcW w:w="2273" w:type="pct"/>
            <w:noWrap w:val="0"/>
            <w:vAlign w:val="center"/>
          </w:tcPr>
          <w:p w14:paraId="5A9D2AE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7.1 通信联络系统的功能</w:t>
            </w:r>
            <w:r>
              <w:rPr>
                <w:rFonts w:hint="default" w:ascii="Times New Roman" w:hAnsi="Times New Roman" w:eastAsia="宋体" w:cs="Times New Roman"/>
                <w:b w:val="0"/>
                <w:bCs w:val="0"/>
                <w:color w:val="auto"/>
                <w:sz w:val="21"/>
                <w:szCs w:val="21"/>
                <w:lang w:val="en-US" w:eastAsia="zh-CN"/>
              </w:rPr>
              <w:t>应</w:t>
            </w:r>
            <w:r>
              <w:rPr>
                <w:rFonts w:hint="default" w:ascii="Times New Roman" w:hAnsi="Times New Roman" w:eastAsia="宋体" w:cs="Times New Roman"/>
                <w:b w:val="0"/>
                <w:bCs w:val="0"/>
                <w:color w:val="auto"/>
                <w:sz w:val="21"/>
                <w:szCs w:val="21"/>
              </w:rPr>
              <w:t>符合《金属非金属地下矿山通信联络系统建设规范》的要求。</w:t>
            </w:r>
          </w:p>
        </w:tc>
        <w:tc>
          <w:tcPr>
            <w:tcW w:w="1350" w:type="pct"/>
            <w:noWrap w:val="0"/>
            <w:vAlign w:val="center"/>
          </w:tcPr>
          <w:p w14:paraId="6EB96E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w:t>
            </w:r>
          </w:p>
          <w:p w14:paraId="6D592DA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山通信联络系统建设</w:t>
            </w:r>
          </w:p>
          <w:p w14:paraId="652BAFE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规范》(AQ2036-2011)</w:t>
            </w:r>
          </w:p>
          <w:p w14:paraId="1B787FB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第4.3 条</w:t>
            </w:r>
          </w:p>
        </w:tc>
        <w:tc>
          <w:tcPr>
            <w:tcW w:w="470" w:type="pct"/>
            <w:noWrap w:val="0"/>
            <w:vAlign w:val="center"/>
          </w:tcPr>
          <w:p w14:paraId="5102CB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符合规范要求</w:t>
            </w:r>
          </w:p>
        </w:tc>
        <w:tc>
          <w:tcPr>
            <w:tcW w:w="488" w:type="pct"/>
            <w:noWrap w:val="0"/>
            <w:vAlign w:val="center"/>
          </w:tcPr>
          <w:p w14:paraId="4FF7DE7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7121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4593CEC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2DB92E7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7.2 通信联络终端设备的安装地点符合要求。</w:t>
            </w:r>
          </w:p>
        </w:tc>
        <w:tc>
          <w:tcPr>
            <w:tcW w:w="1350" w:type="pct"/>
            <w:noWrap w:val="0"/>
            <w:vAlign w:val="center"/>
          </w:tcPr>
          <w:p w14:paraId="2795B0B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《金属非金属地下矿山通信联络系统建设规范》AQ2036-2011第4.4条</w:t>
            </w:r>
          </w:p>
        </w:tc>
        <w:tc>
          <w:tcPr>
            <w:tcW w:w="470" w:type="pct"/>
            <w:noWrap w:val="0"/>
            <w:vAlign w:val="center"/>
          </w:tcPr>
          <w:p w14:paraId="272F284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符合规范要求</w:t>
            </w:r>
          </w:p>
        </w:tc>
        <w:tc>
          <w:tcPr>
            <w:tcW w:w="488" w:type="pct"/>
            <w:noWrap w:val="0"/>
            <w:vAlign w:val="center"/>
          </w:tcPr>
          <w:p w14:paraId="5543222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418A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417" w:type="pct"/>
            <w:vMerge w:val="continue"/>
            <w:noWrap w:val="0"/>
            <w:vAlign w:val="center"/>
          </w:tcPr>
          <w:p w14:paraId="3A5EAA4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3B50607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7.3 通讯线缆能实现环网。</w:t>
            </w:r>
          </w:p>
        </w:tc>
        <w:tc>
          <w:tcPr>
            <w:tcW w:w="1350" w:type="pct"/>
            <w:noWrap w:val="0"/>
            <w:vAlign w:val="center"/>
          </w:tcPr>
          <w:p w14:paraId="2AC4052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《金属非金属地下矿山通信联络系统建设规范》AQ2036-2011第4.5条</w:t>
            </w:r>
          </w:p>
        </w:tc>
        <w:tc>
          <w:tcPr>
            <w:tcW w:w="470" w:type="pct"/>
            <w:noWrap w:val="0"/>
            <w:vAlign w:val="center"/>
          </w:tcPr>
          <w:p w14:paraId="05CB1E5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已实现环网通讯</w:t>
            </w:r>
          </w:p>
        </w:tc>
        <w:tc>
          <w:tcPr>
            <w:tcW w:w="488" w:type="pct"/>
            <w:noWrap w:val="0"/>
            <w:vAlign w:val="center"/>
          </w:tcPr>
          <w:p w14:paraId="477418F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r w14:paraId="339B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1" w:hRule="atLeast"/>
          <w:jc w:val="center"/>
        </w:trPr>
        <w:tc>
          <w:tcPr>
            <w:tcW w:w="417" w:type="pct"/>
            <w:vMerge w:val="continue"/>
            <w:noWrap w:val="0"/>
            <w:vAlign w:val="center"/>
          </w:tcPr>
          <w:p w14:paraId="0466B63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2273" w:type="pct"/>
            <w:noWrap w:val="0"/>
            <w:vAlign w:val="center"/>
          </w:tcPr>
          <w:p w14:paraId="4421C4C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7.4</w:t>
            </w:r>
            <w:r>
              <w:rPr>
                <w:rFonts w:hint="eastAsia" w:ascii="Times New Roman" w:hAnsi="Times New Roman" w:eastAsia="宋体"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不得利用大地作为井下通信线路的回路。</w:t>
            </w:r>
          </w:p>
        </w:tc>
        <w:tc>
          <w:tcPr>
            <w:tcW w:w="1350" w:type="pct"/>
            <w:noWrap w:val="0"/>
            <w:vAlign w:val="center"/>
          </w:tcPr>
          <w:p w14:paraId="57EE360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《金属非金属地下矿山通信联络系统建设规范》AQ2036-2011第4.7条</w:t>
            </w:r>
          </w:p>
        </w:tc>
        <w:tc>
          <w:tcPr>
            <w:tcW w:w="470" w:type="pct"/>
            <w:noWrap w:val="0"/>
            <w:vAlign w:val="center"/>
          </w:tcPr>
          <w:p w14:paraId="1C38995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符合规范</w:t>
            </w:r>
          </w:p>
        </w:tc>
        <w:tc>
          <w:tcPr>
            <w:tcW w:w="488" w:type="pct"/>
            <w:noWrap w:val="0"/>
            <w:vAlign w:val="center"/>
          </w:tcPr>
          <w:p w14:paraId="412CC88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符合</w:t>
            </w:r>
          </w:p>
        </w:tc>
      </w:tr>
    </w:tbl>
    <w:p w14:paraId="4794EB46">
      <w:pPr>
        <w:pStyle w:val="5"/>
        <w:bidi w:val="0"/>
        <w:rPr>
          <w:rFonts w:hint="eastAsia"/>
          <w:color w:val="auto"/>
          <w:lang w:val="en-US" w:eastAsia="zh-CN"/>
        </w:rPr>
      </w:pPr>
      <w:bookmarkStart w:id="963" w:name="_Toc1726"/>
      <w:bookmarkStart w:id="964" w:name="_Toc28972"/>
      <w:bookmarkStart w:id="965" w:name="_Toc2735"/>
      <w:bookmarkStart w:id="966" w:name="_Toc24987"/>
      <w:r>
        <w:rPr>
          <w:rFonts w:hint="eastAsia"/>
          <w:color w:val="auto"/>
          <w:lang w:val="en-US" w:eastAsia="zh-CN"/>
        </w:rPr>
        <w:t>5.11.2 单元评价小结</w:t>
      </w:r>
      <w:bookmarkEnd w:id="963"/>
      <w:bookmarkEnd w:id="964"/>
      <w:bookmarkEnd w:id="965"/>
      <w:bookmarkEnd w:id="966"/>
    </w:p>
    <w:p w14:paraId="5EA649F4">
      <w:pPr>
        <w:bidi w:val="0"/>
        <w:rPr>
          <w:rFonts w:hint="default"/>
          <w:color w:val="auto"/>
          <w:lang w:val="en-US" w:eastAsia="zh-CN"/>
        </w:rPr>
      </w:pPr>
      <w:r>
        <w:rPr>
          <w:rFonts w:hint="eastAsia"/>
          <w:color w:val="auto"/>
          <w:spacing w:val="-17"/>
          <w:sz w:val="28"/>
          <w:lang w:val="en-US" w:eastAsia="zh-CN"/>
        </w:rPr>
        <w:t>江西临川鲁金矿业有限公司茅排金矿已按照规范要求建立了安全避险“六大系统”，系统处在良好状况，能够满足安全生产要求。但还存在如下问题：</w:t>
      </w:r>
    </w:p>
    <w:p w14:paraId="5DE3884C">
      <w:pPr>
        <w:bidi w:val="0"/>
        <w:rPr>
          <w:rFonts w:hint="eastAsia"/>
          <w:color w:val="auto"/>
          <w:lang w:val="en-US" w:eastAsia="zh-CN"/>
        </w:rPr>
      </w:pPr>
      <w:r>
        <w:rPr>
          <w:rFonts w:hint="eastAsia"/>
          <w:color w:val="auto"/>
          <w:lang w:val="en-US" w:eastAsia="zh-CN"/>
        </w:rPr>
        <w:t>1）+270m应急安全出口缺少安全指示、警示标志。</w:t>
      </w:r>
    </w:p>
    <w:p w14:paraId="529C5942">
      <w:pPr>
        <w:bidi w:val="0"/>
        <w:rPr>
          <w:rFonts w:hint="eastAsia"/>
          <w:color w:val="auto"/>
          <w:lang w:val="en-US" w:eastAsia="zh-CN"/>
        </w:rPr>
      </w:pPr>
      <w:r>
        <w:rPr>
          <w:rFonts w:hint="eastAsia"/>
          <w:color w:val="auto"/>
          <w:lang w:val="en-US" w:eastAsia="zh-CN"/>
        </w:rPr>
        <w:t>2）生产用水不符合生活饮用水要求时，供水施救系统中未建设辅助水池用于储备生活饮用水。</w:t>
      </w:r>
    </w:p>
    <w:p w14:paraId="72F736C2">
      <w:pPr>
        <w:pStyle w:val="4"/>
        <w:bidi w:val="0"/>
        <w:rPr>
          <w:rFonts w:hint="eastAsia"/>
          <w:color w:val="auto"/>
          <w:lang w:val="en-US" w:eastAsia="zh-CN"/>
        </w:rPr>
      </w:pPr>
      <w:bookmarkStart w:id="967" w:name="_Toc1114"/>
      <w:bookmarkStart w:id="968" w:name="_Toc21612"/>
      <w:bookmarkStart w:id="969" w:name="_Toc7279"/>
      <w:bookmarkStart w:id="970" w:name="_Toc28182"/>
      <w:bookmarkStart w:id="971" w:name="_Toc18186"/>
      <w:bookmarkStart w:id="972" w:name="_Toc21453"/>
      <w:bookmarkStart w:id="973" w:name="_Toc25615"/>
      <w:bookmarkStart w:id="974" w:name="_Toc9612"/>
      <w:bookmarkStart w:id="975" w:name="_Toc17506"/>
      <w:r>
        <w:rPr>
          <w:rFonts w:hint="eastAsia"/>
          <w:color w:val="auto"/>
          <w:lang w:val="en-US" w:eastAsia="zh-CN"/>
        </w:rPr>
        <w:t>5.12 综合评价</w:t>
      </w:r>
      <w:bookmarkEnd w:id="967"/>
      <w:bookmarkEnd w:id="968"/>
      <w:bookmarkEnd w:id="969"/>
      <w:bookmarkEnd w:id="970"/>
      <w:bookmarkEnd w:id="971"/>
      <w:bookmarkEnd w:id="972"/>
      <w:bookmarkEnd w:id="973"/>
      <w:bookmarkEnd w:id="974"/>
      <w:bookmarkEnd w:id="975"/>
    </w:p>
    <w:p w14:paraId="2945E9AE">
      <w:pPr>
        <w:pStyle w:val="5"/>
        <w:bidi w:val="0"/>
        <w:rPr>
          <w:rFonts w:hint="eastAsia"/>
          <w:color w:val="auto"/>
          <w:lang w:val="en-US" w:eastAsia="zh-CN"/>
        </w:rPr>
      </w:pPr>
      <w:bookmarkStart w:id="976" w:name="_Toc21257"/>
      <w:bookmarkStart w:id="977" w:name="_Toc15256"/>
      <w:bookmarkStart w:id="978" w:name="_Toc9007"/>
      <w:bookmarkStart w:id="979" w:name="_Toc32161"/>
      <w:r>
        <w:rPr>
          <w:rFonts w:hint="eastAsia"/>
          <w:color w:val="auto"/>
          <w:lang w:val="en-US" w:eastAsia="zh-CN"/>
        </w:rPr>
        <w:t>5.12.1 作业条件危险性分析综合评价</w:t>
      </w:r>
      <w:bookmarkEnd w:id="976"/>
      <w:bookmarkEnd w:id="977"/>
      <w:bookmarkEnd w:id="978"/>
      <w:bookmarkEnd w:id="979"/>
    </w:p>
    <w:p w14:paraId="3BA5E101">
      <w:pPr>
        <w:bidi w:val="0"/>
        <w:rPr>
          <w:rFonts w:hint="eastAsia"/>
          <w:color w:val="auto"/>
          <w:lang w:val="en-US" w:eastAsia="zh-CN"/>
        </w:rPr>
      </w:pPr>
      <w:r>
        <w:rPr>
          <w:rFonts w:hint="eastAsia"/>
          <w:color w:val="auto"/>
          <w:lang w:val="en-US" w:eastAsia="zh-CN"/>
        </w:rPr>
        <w:t>茅排金矿作业条件危险性分析综合评价见表5.12-1。</w:t>
      </w:r>
    </w:p>
    <w:p w14:paraId="2DADCF55">
      <w:pPr>
        <w:bidi w:val="0"/>
        <w:jc w:val="center"/>
        <w:rPr>
          <w:rFonts w:hint="eastAsia"/>
          <w:color w:val="auto"/>
          <w:lang w:val="en-US" w:eastAsia="zh-CN"/>
        </w:rPr>
      </w:pPr>
      <w:r>
        <w:rPr>
          <w:rFonts w:hint="eastAsia"/>
          <w:color w:val="auto"/>
          <w:lang w:val="en-US" w:eastAsia="zh-CN"/>
        </w:rPr>
        <w:t>表 5.12-1 作业条件危险性分析综合评价表</w:t>
      </w:r>
    </w:p>
    <w:tbl>
      <w:tblPr>
        <w:tblStyle w:val="19"/>
        <w:tblW w:w="45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2251"/>
        <w:gridCol w:w="799"/>
        <w:gridCol w:w="746"/>
        <w:gridCol w:w="719"/>
        <w:gridCol w:w="763"/>
        <w:gridCol w:w="1959"/>
      </w:tblGrid>
      <w:tr w14:paraId="24AD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tblHeader/>
          <w:jc w:val="center"/>
        </w:trPr>
        <w:tc>
          <w:tcPr>
            <w:tcW w:w="760" w:type="pct"/>
            <w:noWrap w:val="0"/>
            <w:vAlign w:val="center"/>
          </w:tcPr>
          <w:p w14:paraId="09E6CA0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作业单元</w:t>
            </w:r>
          </w:p>
        </w:tc>
        <w:tc>
          <w:tcPr>
            <w:tcW w:w="1318" w:type="pct"/>
            <w:noWrap w:val="0"/>
            <w:vAlign w:val="center"/>
          </w:tcPr>
          <w:p w14:paraId="22A247C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rPr>
            </w:pPr>
            <w:r>
              <w:rPr>
                <w:rFonts w:hint="eastAsia" w:ascii="Times New Roman" w:hAnsi="Times New Roman" w:eastAsia="宋体" w:cs="Times New Roman"/>
                <w:b w:val="0"/>
                <w:bCs w:val="0"/>
                <w:color w:val="auto"/>
                <w:spacing w:val="-2"/>
                <w:sz w:val="21"/>
                <w:szCs w:val="21"/>
              </w:rPr>
              <w:t>主要危险有害因素</w:t>
            </w:r>
          </w:p>
        </w:tc>
        <w:tc>
          <w:tcPr>
            <w:tcW w:w="468" w:type="pct"/>
            <w:noWrap w:val="0"/>
            <w:vAlign w:val="center"/>
          </w:tcPr>
          <w:p w14:paraId="523B378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L</w:t>
            </w:r>
          </w:p>
        </w:tc>
        <w:tc>
          <w:tcPr>
            <w:tcW w:w="436" w:type="pct"/>
            <w:noWrap w:val="0"/>
            <w:vAlign w:val="center"/>
          </w:tcPr>
          <w:p w14:paraId="113E404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E</w:t>
            </w:r>
          </w:p>
        </w:tc>
        <w:tc>
          <w:tcPr>
            <w:tcW w:w="421" w:type="pct"/>
            <w:noWrap w:val="0"/>
            <w:vAlign w:val="center"/>
          </w:tcPr>
          <w:p w14:paraId="3740207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C</w:t>
            </w:r>
          </w:p>
        </w:tc>
        <w:tc>
          <w:tcPr>
            <w:tcW w:w="446" w:type="pct"/>
            <w:noWrap w:val="0"/>
            <w:vAlign w:val="center"/>
          </w:tcPr>
          <w:p w14:paraId="038715E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D</w:t>
            </w:r>
          </w:p>
        </w:tc>
        <w:tc>
          <w:tcPr>
            <w:tcW w:w="1147" w:type="pct"/>
            <w:noWrap w:val="0"/>
            <w:vAlign w:val="center"/>
          </w:tcPr>
          <w:p w14:paraId="25EB8840">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pacing w:val="-2"/>
                <w:sz w:val="21"/>
                <w:szCs w:val="21"/>
                <w:lang w:val="en-US" w:eastAsia="zh-CN"/>
              </w:rPr>
              <w:t>危险程度</w:t>
            </w:r>
          </w:p>
        </w:tc>
      </w:tr>
      <w:tr w14:paraId="1A27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restart"/>
            <w:noWrap w:val="0"/>
            <w:vAlign w:val="center"/>
          </w:tcPr>
          <w:p w14:paraId="000806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rPr>
            </w:pPr>
            <w:r>
              <w:rPr>
                <w:rFonts w:hint="eastAsia" w:ascii="Times New Roman" w:hAnsi="Times New Roman" w:eastAsia="宋体" w:cs="Times New Roman"/>
                <w:b w:val="0"/>
                <w:bCs w:val="0"/>
                <w:color w:val="auto"/>
                <w:spacing w:val="-2"/>
                <w:sz w:val="21"/>
                <w:szCs w:val="21"/>
              </w:rPr>
              <w:t>开采综合</w:t>
            </w:r>
          </w:p>
        </w:tc>
        <w:tc>
          <w:tcPr>
            <w:tcW w:w="1318" w:type="pct"/>
            <w:noWrap w:val="0"/>
            <w:vAlign w:val="center"/>
          </w:tcPr>
          <w:p w14:paraId="256FD34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color w:val="auto"/>
                <w:sz w:val="21"/>
                <w:szCs w:val="21"/>
                <w:lang w:val="en-US" w:eastAsia="zh-CN"/>
              </w:rPr>
              <w:t>民用爆炸物品爆炸</w:t>
            </w:r>
          </w:p>
        </w:tc>
        <w:tc>
          <w:tcPr>
            <w:tcW w:w="468" w:type="pct"/>
            <w:noWrap w:val="0"/>
            <w:vAlign w:val="center"/>
          </w:tcPr>
          <w:p w14:paraId="493366A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noWrap w:val="0"/>
            <w:vAlign w:val="center"/>
          </w:tcPr>
          <w:p w14:paraId="3B1A447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35BA219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noWrap w:val="0"/>
            <w:vAlign w:val="center"/>
          </w:tcPr>
          <w:p w14:paraId="0E8E8E1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noWrap w:val="0"/>
            <w:vAlign w:val="center"/>
          </w:tcPr>
          <w:p w14:paraId="24471DA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7C28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0704B8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5664CAF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坍塌</w:t>
            </w:r>
          </w:p>
        </w:tc>
        <w:tc>
          <w:tcPr>
            <w:tcW w:w="468" w:type="pct"/>
            <w:shd w:val="clear" w:color="auto" w:fill="auto"/>
            <w:noWrap w:val="0"/>
            <w:vAlign w:val="center"/>
          </w:tcPr>
          <w:p w14:paraId="3998A40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shd w:val="clear" w:color="auto" w:fill="auto"/>
            <w:noWrap w:val="0"/>
            <w:vAlign w:val="center"/>
          </w:tcPr>
          <w:p w14:paraId="3878ADE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15D1C73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shd w:val="clear" w:color="auto" w:fill="auto"/>
            <w:noWrap w:val="0"/>
            <w:vAlign w:val="center"/>
          </w:tcPr>
          <w:p w14:paraId="7BD1AB6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shd w:val="clear" w:color="auto" w:fill="auto"/>
            <w:noWrap w:val="0"/>
            <w:vAlign w:val="center"/>
          </w:tcPr>
          <w:p w14:paraId="585BC5D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3BCE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46A854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215E5F7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中毒</w:t>
            </w:r>
          </w:p>
        </w:tc>
        <w:tc>
          <w:tcPr>
            <w:tcW w:w="468" w:type="pct"/>
            <w:shd w:val="clear" w:color="auto" w:fill="auto"/>
            <w:noWrap w:val="0"/>
            <w:vAlign w:val="center"/>
          </w:tcPr>
          <w:p w14:paraId="2758539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shd w:val="clear" w:color="auto" w:fill="auto"/>
            <w:noWrap w:val="0"/>
            <w:vAlign w:val="center"/>
          </w:tcPr>
          <w:p w14:paraId="794A97A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08F46CA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shd w:val="clear" w:color="auto" w:fill="auto"/>
            <w:noWrap w:val="0"/>
            <w:vAlign w:val="center"/>
          </w:tcPr>
          <w:p w14:paraId="51B39DA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shd w:val="clear" w:color="auto" w:fill="auto"/>
            <w:noWrap w:val="0"/>
            <w:vAlign w:val="center"/>
          </w:tcPr>
          <w:p w14:paraId="76AD438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309A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63DE39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36D8F45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窒息</w:t>
            </w:r>
          </w:p>
        </w:tc>
        <w:tc>
          <w:tcPr>
            <w:tcW w:w="468" w:type="pct"/>
            <w:noWrap w:val="0"/>
            <w:vAlign w:val="center"/>
          </w:tcPr>
          <w:p w14:paraId="2A560C7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noWrap w:val="0"/>
            <w:vAlign w:val="center"/>
          </w:tcPr>
          <w:p w14:paraId="5BDBBCE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5F28BD2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noWrap w:val="0"/>
            <w:vAlign w:val="center"/>
          </w:tcPr>
          <w:p w14:paraId="50F07F9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noWrap w:val="0"/>
            <w:vAlign w:val="center"/>
          </w:tcPr>
          <w:p w14:paraId="18814F8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6881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482C08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02E7665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color w:val="auto"/>
                <w:sz w:val="21"/>
                <w:szCs w:val="21"/>
                <w:lang w:val="en-US" w:eastAsia="zh-CN"/>
              </w:rPr>
              <w:fldChar w:fldCharType="begin"/>
            </w:r>
            <w:r>
              <w:rPr>
                <w:rFonts w:hint="eastAsia" w:ascii="Times New Roman" w:hAnsi="Times New Roman" w:eastAsia="宋体" w:cs="Times New Roman"/>
                <w:color w:val="auto"/>
                <w:sz w:val="21"/>
                <w:szCs w:val="21"/>
                <w:lang w:val="en-US" w:eastAsia="zh-CN"/>
              </w:rPr>
              <w:instrText xml:space="preserve"> HYPERLINK \l _Toc16395 </w:instrText>
            </w:r>
            <w:r>
              <w:rPr>
                <w:rFonts w:hint="eastAsia" w:ascii="Times New Roman" w:hAnsi="Times New Roman" w:eastAsia="宋体" w:cs="Times New Roman"/>
                <w:color w:val="auto"/>
                <w:sz w:val="21"/>
                <w:szCs w:val="21"/>
                <w:lang w:val="en-US" w:eastAsia="zh-CN"/>
              </w:rPr>
              <w:fldChar w:fldCharType="separate"/>
            </w:r>
            <w:r>
              <w:rPr>
                <w:rFonts w:hint="eastAsia" w:ascii="Times New Roman" w:hAnsi="Times New Roman" w:eastAsia="宋体" w:cs="Times New Roman"/>
                <w:color w:val="auto"/>
                <w:sz w:val="21"/>
                <w:szCs w:val="21"/>
                <w:lang w:val="en-US" w:eastAsia="zh-CN"/>
              </w:rPr>
              <w:t>厂(场)内车辆致害</w:t>
            </w:r>
            <w:r>
              <w:rPr>
                <w:rFonts w:hint="eastAsia" w:ascii="Times New Roman" w:hAnsi="Times New Roman" w:eastAsia="宋体" w:cs="Times New Roman"/>
                <w:color w:val="auto"/>
                <w:sz w:val="21"/>
                <w:szCs w:val="21"/>
                <w:lang w:val="en-US" w:eastAsia="zh-CN"/>
              </w:rPr>
              <w:fldChar w:fldCharType="end"/>
            </w:r>
          </w:p>
        </w:tc>
        <w:tc>
          <w:tcPr>
            <w:tcW w:w="468" w:type="pct"/>
            <w:noWrap w:val="0"/>
            <w:vAlign w:val="center"/>
          </w:tcPr>
          <w:p w14:paraId="61CDFB7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764CD94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0F8F8EE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458E60E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56A97F3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4FCD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1B3B0CC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33D2135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触电</w:t>
            </w:r>
          </w:p>
        </w:tc>
        <w:tc>
          <w:tcPr>
            <w:tcW w:w="468" w:type="pct"/>
            <w:noWrap w:val="0"/>
            <w:vAlign w:val="center"/>
          </w:tcPr>
          <w:p w14:paraId="0EE678B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7F8986B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734E8FD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7A64FA0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547FA70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0C07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5DDB18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75E9638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机械</w:t>
            </w:r>
            <w:r>
              <w:rPr>
                <w:rFonts w:hint="eastAsia" w:ascii="Times New Roman" w:hAnsi="Times New Roman" w:eastAsia="宋体" w:cs="Times New Roman"/>
                <w:b w:val="0"/>
                <w:bCs w:val="0"/>
                <w:color w:val="auto"/>
                <w:spacing w:val="3"/>
                <w:sz w:val="21"/>
                <w:szCs w:val="21"/>
                <w:lang w:val="en-US" w:eastAsia="zh-CN"/>
              </w:rPr>
              <w:t>致</w:t>
            </w:r>
            <w:r>
              <w:rPr>
                <w:rFonts w:hint="eastAsia" w:ascii="Times New Roman" w:hAnsi="Times New Roman" w:eastAsia="宋体" w:cs="Times New Roman"/>
                <w:b w:val="0"/>
                <w:bCs w:val="0"/>
                <w:color w:val="auto"/>
                <w:spacing w:val="3"/>
                <w:sz w:val="21"/>
                <w:szCs w:val="21"/>
              </w:rPr>
              <w:t>害</w:t>
            </w:r>
          </w:p>
        </w:tc>
        <w:tc>
          <w:tcPr>
            <w:tcW w:w="468" w:type="pct"/>
            <w:shd w:val="clear" w:color="auto" w:fill="auto"/>
            <w:noWrap w:val="0"/>
            <w:vAlign w:val="center"/>
          </w:tcPr>
          <w:p w14:paraId="6CF97E6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shd w:val="clear" w:color="auto" w:fill="auto"/>
            <w:noWrap w:val="0"/>
            <w:vAlign w:val="center"/>
          </w:tcPr>
          <w:p w14:paraId="60DC763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44D8FC4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70F81FA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42</w:t>
            </w:r>
          </w:p>
        </w:tc>
        <w:tc>
          <w:tcPr>
            <w:tcW w:w="1147" w:type="pct"/>
            <w:shd w:val="clear" w:color="auto" w:fill="auto"/>
            <w:noWrap w:val="0"/>
            <w:vAlign w:val="center"/>
          </w:tcPr>
          <w:p w14:paraId="68478FF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1B71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5FD3875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28FF941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火灾</w:t>
            </w:r>
          </w:p>
        </w:tc>
        <w:tc>
          <w:tcPr>
            <w:tcW w:w="468" w:type="pct"/>
            <w:shd w:val="clear" w:color="auto" w:fill="auto"/>
            <w:noWrap w:val="0"/>
            <w:vAlign w:val="center"/>
          </w:tcPr>
          <w:p w14:paraId="07E09EA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shd w:val="clear" w:color="auto" w:fill="auto"/>
            <w:noWrap w:val="0"/>
            <w:vAlign w:val="center"/>
          </w:tcPr>
          <w:p w14:paraId="5961223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3E4399A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15</w:t>
            </w:r>
          </w:p>
        </w:tc>
        <w:tc>
          <w:tcPr>
            <w:tcW w:w="446" w:type="pct"/>
            <w:shd w:val="clear" w:color="auto" w:fill="auto"/>
            <w:noWrap w:val="0"/>
            <w:vAlign w:val="center"/>
          </w:tcPr>
          <w:p w14:paraId="420B3AD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45</w:t>
            </w:r>
          </w:p>
        </w:tc>
        <w:tc>
          <w:tcPr>
            <w:tcW w:w="1147" w:type="pct"/>
            <w:shd w:val="clear" w:color="auto" w:fill="auto"/>
            <w:noWrap w:val="0"/>
            <w:vAlign w:val="center"/>
          </w:tcPr>
          <w:p w14:paraId="76AC14E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47F1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64BF7F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5A1253F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高处坠落</w:t>
            </w:r>
          </w:p>
        </w:tc>
        <w:tc>
          <w:tcPr>
            <w:tcW w:w="468" w:type="pct"/>
            <w:shd w:val="clear" w:color="auto" w:fill="auto"/>
            <w:noWrap w:val="0"/>
            <w:vAlign w:val="center"/>
          </w:tcPr>
          <w:p w14:paraId="61B6E0B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1</w:t>
            </w:r>
          </w:p>
        </w:tc>
        <w:tc>
          <w:tcPr>
            <w:tcW w:w="436" w:type="pct"/>
            <w:shd w:val="clear" w:color="auto" w:fill="auto"/>
            <w:noWrap w:val="0"/>
            <w:vAlign w:val="center"/>
          </w:tcPr>
          <w:p w14:paraId="0064311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49A29D5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6B8EF2B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42</w:t>
            </w:r>
          </w:p>
        </w:tc>
        <w:tc>
          <w:tcPr>
            <w:tcW w:w="1147" w:type="pct"/>
            <w:shd w:val="clear" w:color="auto" w:fill="auto"/>
            <w:noWrap w:val="0"/>
            <w:vAlign w:val="center"/>
          </w:tcPr>
          <w:p w14:paraId="49FBDC4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7665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continue"/>
            <w:noWrap w:val="0"/>
            <w:vAlign w:val="center"/>
          </w:tcPr>
          <w:p w14:paraId="61D16E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3157FCF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物体打击</w:t>
            </w:r>
          </w:p>
        </w:tc>
        <w:tc>
          <w:tcPr>
            <w:tcW w:w="468" w:type="pct"/>
            <w:shd w:val="clear" w:color="auto" w:fill="auto"/>
            <w:noWrap w:val="0"/>
            <w:vAlign w:val="center"/>
          </w:tcPr>
          <w:p w14:paraId="40497C4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5F6D34F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579B4DD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46" w:type="pct"/>
            <w:shd w:val="clear" w:color="auto" w:fill="auto"/>
            <w:noWrap w:val="0"/>
            <w:vAlign w:val="center"/>
          </w:tcPr>
          <w:p w14:paraId="548A8A3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4"/>
                <w:sz w:val="21"/>
                <w:szCs w:val="21"/>
              </w:rPr>
              <w:t>54</w:t>
            </w:r>
          </w:p>
        </w:tc>
        <w:tc>
          <w:tcPr>
            <w:tcW w:w="1147" w:type="pct"/>
            <w:shd w:val="clear" w:color="auto" w:fill="auto"/>
            <w:noWrap w:val="0"/>
            <w:vAlign w:val="center"/>
          </w:tcPr>
          <w:p w14:paraId="3686132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0133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0" w:type="pct"/>
            <w:vMerge w:val="continue"/>
            <w:noWrap w:val="0"/>
            <w:vAlign w:val="center"/>
          </w:tcPr>
          <w:p w14:paraId="7B8FC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5842C97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color w:val="auto"/>
                <w:sz w:val="21"/>
                <w:szCs w:val="21"/>
                <w:lang w:val="en-US" w:eastAsia="zh-CN"/>
              </w:rPr>
              <w:t>管道爆炸</w:t>
            </w:r>
          </w:p>
        </w:tc>
        <w:tc>
          <w:tcPr>
            <w:tcW w:w="468" w:type="pct"/>
            <w:shd w:val="clear" w:color="auto" w:fill="auto"/>
            <w:noWrap w:val="0"/>
            <w:vAlign w:val="center"/>
          </w:tcPr>
          <w:p w14:paraId="257185A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1</w:t>
            </w:r>
          </w:p>
        </w:tc>
        <w:tc>
          <w:tcPr>
            <w:tcW w:w="436" w:type="pct"/>
            <w:shd w:val="clear" w:color="auto" w:fill="auto"/>
            <w:noWrap w:val="0"/>
            <w:vAlign w:val="center"/>
          </w:tcPr>
          <w:p w14:paraId="75480BB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43AFDF6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46" w:type="pct"/>
            <w:shd w:val="clear" w:color="auto" w:fill="auto"/>
            <w:noWrap w:val="0"/>
            <w:vAlign w:val="center"/>
          </w:tcPr>
          <w:p w14:paraId="0A4268F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4"/>
                <w:sz w:val="21"/>
                <w:szCs w:val="21"/>
                <w:lang w:val="en-US" w:eastAsia="zh-CN"/>
              </w:rPr>
              <w:t>18</w:t>
            </w:r>
          </w:p>
        </w:tc>
        <w:tc>
          <w:tcPr>
            <w:tcW w:w="1147" w:type="pct"/>
            <w:shd w:val="clear" w:color="auto" w:fill="auto"/>
            <w:noWrap w:val="0"/>
            <w:vAlign w:val="center"/>
          </w:tcPr>
          <w:p w14:paraId="7EA9C4C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783B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continue"/>
            <w:noWrap w:val="0"/>
            <w:vAlign w:val="center"/>
          </w:tcPr>
          <w:p w14:paraId="1D1C2E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30658C9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color w:val="auto"/>
                <w:sz w:val="21"/>
                <w:szCs w:val="21"/>
                <w:lang w:val="en-US" w:eastAsia="zh-CN"/>
              </w:rPr>
              <w:fldChar w:fldCharType="begin"/>
            </w:r>
            <w:r>
              <w:rPr>
                <w:rFonts w:hint="eastAsia" w:ascii="Times New Roman" w:hAnsi="Times New Roman" w:eastAsia="宋体" w:cs="Times New Roman"/>
                <w:color w:val="auto"/>
                <w:sz w:val="21"/>
                <w:szCs w:val="21"/>
                <w:lang w:val="en-US" w:eastAsia="zh-CN"/>
              </w:rPr>
              <w:instrText xml:space="preserve"> HYPERLINK \l _Toc23228 </w:instrText>
            </w:r>
            <w:r>
              <w:rPr>
                <w:rFonts w:hint="eastAsia" w:ascii="Times New Roman" w:hAnsi="Times New Roman" w:eastAsia="宋体" w:cs="Times New Roman"/>
                <w:color w:val="auto"/>
                <w:sz w:val="21"/>
                <w:szCs w:val="21"/>
                <w:lang w:val="en-US" w:eastAsia="zh-CN"/>
              </w:rPr>
              <w:fldChar w:fldCharType="separate"/>
            </w:r>
            <w:r>
              <w:rPr>
                <w:rFonts w:hint="eastAsia" w:ascii="Times New Roman" w:hAnsi="Times New Roman" w:eastAsia="宋体" w:cs="Times New Roman"/>
                <w:color w:val="auto"/>
                <w:sz w:val="21"/>
                <w:szCs w:val="21"/>
                <w:lang w:val="en-US" w:eastAsia="zh-CN"/>
              </w:rPr>
              <w:t>水害</w:t>
            </w:r>
            <w:r>
              <w:rPr>
                <w:rFonts w:hint="eastAsia" w:ascii="Times New Roman" w:hAnsi="Times New Roman" w:eastAsia="宋体" w:cs="Times New Roman"/>
                <w:color w:val="auto"/>
                <w:sz w:val="21"/>
                <w:szCs w:val="21"/>
                <w:lang w:val="en-US" w:eastAsia="zh-CN"/>
              </w:rPr>
              <w:fldChar w:fldCharType="end"/>
            </w:r>
          </w:p>
        </w:tc>
        <w:tc>
          <w:tcPr>
            <w:tcW w:w="468" w:type="pct"/>
            <w:noWrap w:val="0"/>
            <w:vAlign w:val="center"/>
          </w:tcPr>
          <w:p w14:paraId="0B6D5C7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3"/>
                <w:sz w:val="21"/>
                <w:szCs w:val="21"/>
                <w:lang w:val="en-US" w:eastAsia="zh-CN"/>
              </w:rPr>
              <w:t>1</w:t>
            </w:r>
          </w:p>
        </w:tc>
        <w:tc>
          <w:tcPr>
            <w:tcW w:w="436" w:type="pct"/>
            <w:noWrap w:val="0"/>
            <w:vAlign w:val="center"/>
          </w:tcPr>
          <w:p w14:paraId="26D5DBA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3"/>
                <w:sz w:val="21"/>
                <w:szCs w:val="21"/>
                <w:lang w:val="en-US" w:eastAsia="zh-CN"/>
              </w:rPr>
              <w:t>6</w:t>
            </w:r>
          </w:p>
        </w:tc>
        <w:tc>
          <w:tcPr>
            <w:tcW w:w="421" w:type="pct"/>
            <w:noWrap w:val="0"/>
            <w:vAlign w:val="center"/>
          </w:tcPr>
          <w:p w14:paraId="73B401C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w:t>
            </w:r>
            <w:r>
              <w:rPr>
                <w:rFonts w:hint="eastAsia" w:ascii="Times New Roman" w:hAnsi="Times New Roman" w:eastAsia="宋体" w:cs="Times New Roman"/>
                <w:b w:val="0"/>
                <w:bCs w:val="0"/>
                <w:color w:val="auto"/>
                <w:spacing w:val="-6"/>
                <w:sz w:val="21"/>
                <w:szCs w:val="21"/>
                <w:lang w:val="en-US" w:eastAsia="zh-CN"/>
              </w:rPr>
              <w:t>0</w:t>
            </w:r>
          </w:p>
        </w:tc>
        <w:tc>
          <w:tcPr>
            <w:tcW w:w="446" w:type="pct"/>
            <w:noWrap w:val="0"/>
            <w:vAlign w:val="center"/>
          </w:tcPr>
          <w:p w14:paraId="595A46F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60</w:t>
            </w:r>
          </w:p>
        </w:tc>
        <w:tc>
          <w:tcPr>
            <w:tcW w:w="1147" w:type="pct"/>
            <w:noWrap w:val="0"/>
            <w:vAlign w:val="center"/>
          </w:tcPr>
          <w:p w14:paraId="381D68F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255C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33BE70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222854E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color w:val="auto"/>
                <w:sz w:val="21"/>
                <w:szCs w:val="21"/>
                <w:lang w:val="en-US" w:eastAsia="zh-CN"/>
              </w:rPr>
              <w:fldChar w:fldCharType="begin"/>
            </w:r>
            <w:r>
              <w:rPr>
                <w:rFonts w:hint="eastAsia" w:ascii="Times New Roman" w:hAnsi="Times New Roman" w:eastAsia="宋体" w:cs="Times New Roman"/>
                <w:color w:val="auto"/>
                <w:sz w:val="21"/>
                <w:szCs w:val="21"/>
                <w:lang w:val="en-US" w:eastAsia="zh-CN"/>
              </w:rPr>
              <w:instrText xml:space="preserve"> HYPERLINK \l _Toc3947 </w:instrText>
            </w:r>
            <w:r>
              <w:rPr>
                <w:rFonts w:hint="eastAsia" w:ascii="Times New Roman" w:hAnsi="Times New Roman" w:eastAsia="宋体" w:cs="Times New Roman"/>
                <w:color w:val="auto"/>
                <w:sz w:val="21"/>
                <w:szCs w:val="21"/>
                <w:lang w:val="en-US" w:eastAsia="zh-CN"/>
              </w:rPr>
              <w:fldChar w:fldCharType="separate"/>
            </w:r>
            <w:r>
              <w:rPr>
                <w:rFonts w:hint="eastAsia" w:ascii="Times New Roman" w:hAnsi="Times New Roman" w:eastAsia="宋体" w:cs="Times New Roman"/>
                <w:color w:val="auto"/>
                <w:sz w:val="21"/>
                <w:szCs w:val="21"/>
                <w:lang w:val="en-US" w:eastAsia="zh-CN"/>
              </w:rPr>
              <w:t>跌落</w:t>
            </w:r>
            <w:r>
              <w:rPr>
                <w:rFonts w:hint="eastAsia" w:ascii="Times New Roman" w:hAnsi="Times New Roman" w:eastAsia="宋体" w:cs="Times New Roman"/>
                <w:color w:val="auto"/>
                <w:sz w:val="21"/>
                <w:szCs w:val="21"/>
                <w:lang w:val="en-US" w:eastAsia="zh-CN"/>
              </w:rPr>
              <w:fldChar w:fldCharType="end"/>
            </w:r>
          </w:p>
        </w:tc>
        <w:tc>
          <w:tcPr>
            <w:tcW w:w="468" w:type="pct"/>
            <w:noWrap w:val="0"/>
            <w:vAlign w:val="center"/>
          </w:tcPr>
          <w:p w14:paraId="3C62F19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470A67E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77248BB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46" w:type="pct"/>
            <w:noWrap w:val="0"/>
            <w:vAlign w:val="center"/>
          </w:tcPr>
          <w:p w14:paraId="498AD4B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4"/>
                <w:sz w:val="21"/>
                <w:szCs w:val="21"/>
              </w:rPr>
              <w:t>54</w:t>
            </w:r>
          </w:p>
        </w:tc>
        <w:tc>
          <w:tcPr>
            <w:tcW w:w="1147" w:type="pct"/>
            <w:noWrap w:val="0"/>
            <w:vAlign w:val="center"/>
          </w:tcPr>
          <w:p w14:paraId="7565113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1B89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34B371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579D180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粉尘</w:t>
            </w:r>
          </w:p>
        </w:tc>
        <w:tc>
          <w:tcPr>
            <w:tcW w:w="468" w:type="pct"/>
            <w:noWrap w:val="0"/>
            <w:vAlign w:val="center"/>
          </w:tcPr>
          <w:p w14:paraId="5EE43CA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1</w:t>
            </w:r>
          </w:p>
        </w:tc>
        <w:tc>
          <w:tcPr>
            <w:tcW w:w="436" w:type="pct"/>
            <w:noWrap w:val="0"/>
            <w:vAlign w:val="center"/>
          </w:tcPr>
          <w:p w14:paraId="6E8C05B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55281C8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3</w:t>
            </w:r>
          </w:p>
        </w:tc>
        <w:tc>
          <w:tcPr>
            <w:tcW w:w="446" w:type="pct"/>
            <w:noWrap w:val="0"/>
            <w:vAlign w:val="center"/>
          </w:tcPr>
          <w:p w14:paraId="1891138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34FF97A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7D8B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37DAFC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0632492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振动</w:t>
            </w:r>
          </w:p>
        </w:tc>
        <w:tc>
          <w:tcPr>
            <w:tcW w:w="468" w:type="pct"/>
            <w:noWrap w:val="0"/>
            <w:vAlign w:val="center"/>
          </w:tcPr>
          <w:p w14:paraId="40CBAF1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5DE60C6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3F2A095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noWrap w:val="0"/>
            <w:vAlign w:val="center"/>
          </w:tcPr>
          <w:p w14:paraId="584CEDF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63255C4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2F13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3A7D09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7921B84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噪声</w:t>
            </w:r>
          </w:p>
        </w:tc>
        <w:tc>
          <w:tcPr>
            <w:tcW w:w="468" w:type="pct"/>
            <w:shd w:val="clear" w:color="auto" w:fill="auto"/>
            <w:noWrap w:val="0"/>
            <w:vAlign w:val="center"/>
          </w:tcPr>
          <w:p w14:paraId="67475D7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471863D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5F15F76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shd w:val="clear" w:color="auto" w:fill="auto"/>
            <w:noWrap w:val="0"/>
            <w:vAlign w:val="center"/>
          </w:tcPr>
          <w:p w14:paraId="05FBC1A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shd w:val="clear" w:color="auto" w:fill="auto"/>
            <w:noWrap w:val="0"/>
            <w:vAlign w:val="center"/>
          </w:tcPr>
          <w:p w14:paraId="66D437C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6564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3DB4D1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585F8B7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2"/>
                <w:sz w:val="21"/>
                <w:szCs w:val="21"/>
              </w:rPr>
            </w:pPr>
            <w:r>
              <w:rPr>
                <w:rFonts w:hint="eastAsia" w:ascii="Times New Roman" w:hAnsi="Times New Roman" w:eastAsia="宋体" w:cs="Times New Roman"/>
                <w:color w:val="auto"/>
                <w:sz w:val="21"/>
                <w:szCs w:val="21"/>
                <w:lang w:val="en-US" w:eastAsia="zh-CN"/>
              </w:rPr>
              <w:t>有毒气体</w:t>
            </w:r>
          </w:p>
        </w:tc>
        <w:tc>
          <w:tcPr>
            <w:tcW w:w="468" w:type="pct"/>
            <w:shd w:val="clear" w:color="auto" w:fill="auto"/>
            <w:noWrap w:val="0"/>
            <w:vAlign w:val="center"/>
          </w:tcPr>
          <w:p w14:paraId="51EF6BD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6A9430E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469E916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shd w:val="clear" w:color="auto" w:fill="auto"/>
            <w:noWrap w:val="0"/>
            <w:vAlign w:val="center"/>
          </w:tcPr>
          <w:p w14:paraId="462C280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shd w:val="clear" w:color="auto" w:fill="auto"/>
            <w:noWrap w:val="0"/>
            <w:vAlign w:val="center"/>
          </w:tcPr>
          <w:p w14:paraId="18A6168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37ED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437ADB0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10443A8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有害气体</w:t>
            </w:r>
          </w:p>
        </w:tc>
        <w:tc>
          <w:tcPr>
            <w:tcW w:w="468" w:type="pct"/>
            <w:shd w:val="clear" w:color="auto" w:fill="auto"/>
            <w:noWrap w:val="0"/>
            <w:vAlign w:val="center"/>
          </w:tcPr>
          <w:p w14:paraId="43517DC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37467BB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0DFFAD8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shd w:val="clear" w:color="auto" w:fill="auto"/>
            <w:noWrap w:val="0"/>
            <w:vAlign w:val="center"/>
          </w:tcPr>
          <w:p w14:paraId="1574284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shd w:val="clear" w:color="auto" w:fill="auto"/>
            <w:noWrap w:val="0"/>
            <w:vAlign w:val="center"/>
          </w:tcPr>
          <w:p w14:paraId="4EEB7DE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7DAC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13143CE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6DB9C53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2"/>
                <w:sz w:val="21"/>
                <w:szCs w:val="21"/>
                <w:lang w:val="en-US" w:eastAsia="zh-CN"/>
              </w:rPr>
              <w:t>作业环境不良</w:t>
            </w:r>
          </w:p>
        </w:tc>
        <w:tc>
          <w:tcPr>
            <w:tcW w:w="468" w:type="pct"/>
            <w:noWrap w:val="0"/>
            <w:vAlign w:val="center"/>
          </w:tcPr>
          <w:p w14:paraId="41F8D26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noWrap w:val="0"/>
            <w:vAlign w:val="center"/>
          </w:tcPr>
          <w:p w14:paraId="358454F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2377F6E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noWrap w:val="0"/>
            <w:vAlign w:val="center"/>
          </w:tcPr>
          <w:p w14:paraId="4B9E0A1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noWrap w:val="0"/>
            <w:vAlign w:val="center"/>
          </w:tcPr>
          <w:p w14:paraId="0EAC8CF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0978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restart"/>
            <w:noWrap w:val="0"/>
            <w:vAlign w:val="center"/>
          </w:tcPr>
          <w:p w14:paraId="78A1BD6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2"/>
                <w:sz w:val="21"/>
                <w:szCs w:val="21"/>
              </w:rPr>
            </w:pPr>
          </w:p>
          <w:p w14:paraId="35439D3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rPr>
            </w:pPr>
            <w:r>
              <w:rPr>
                <w:rFonts w:hint="eastAsia" w:ascii="Times New Roman" w:hAnsi="Times New Roman" w:eastAsia="宋体" w:cs="Times New Roman"/>
                <w:b w:val="0"/>
                <w:bCs w:val="0"/>
                <w:color w:val="auto"/>
                <w:spacing w:val="-2"/>
                <w:sz w:val="21"/>
                <w:szCs w:val="21"/>
              </w:rPr>
              <w:t>井下爆破</w:t>
            </w:r>
          </w:p>
        </w:tc>
        <w:tc>
          <w:tcPr>
            <w:tcW w:w="1318" w:type="pct"/>
            <w:noWrap w:val="0"/>
            <w:vAlign w:val="center"/>
          </w:tcPr>
          <w:p w14:paraId="750321E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color w:val="auto"/>
                <w:sz w:val="21"/>
                <w:szCs w:val="21"/>
                <w:lang w:val="en-US" w:eastAsia="zh-CN"/>
              </w:rPr>
              <w:t>民用爆炸物品爆炸</w:t>
            </w:r>
          </w:p>
        </w:tc>
        <w:tc>
          <w:tcPr>
            <w:tcW w:w="468" w:type="pct"/>
            <w:noWrap w:val="0"/>
            <w:vAlign w:val="center"/>
          </w:tcPr>
          <w:p w14:paraId="32DFAACF">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noWrap w:val="0"/>
            <w:vAlign w:val="center"/>
          </w:tcPr>
          <w:p w14:paraId="2F02F95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3A75542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noWrap w:val="0"/>
            <w:vAlign w:val="center"/>
          </w:tcPr>
          <w:p w14:paraId="09E68EE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noWrap w:val="0"/>
            <w:vAlign w:val="center"/>
          </w:tcPr>
          <w:p w14:paraId="5085582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6B15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6F86D1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182E20E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中毒</w:t>
            </w:r>
          </w:p>
        </w:tc>
        <w:tc>
          <w:tcPr>
            <w:tcW w:w="468" w:type="pct"/>
            <w:shd w:val="clear" w:color="auto" w:fill="auto"/>
            <w:noWrap w:val="0"/>
            <w:vAlign w:val="center"/>
          </w:tcPr>
          <w:p w14:paraId="76DA3248">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shd w:val="clear" w:color="auto" w:fill="auto"/>
            <w:noWrap w:val="0"/>
            <w:vAlign w:val="center"/>
          </w:tcPr>
          <w:p w14:paraId="73FCDE0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2EB9784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shd w:val="clear" w:color="auto" w:fill="auto"/>
            <w:noWrap w:val="0"/>
            <w:vAlign w:val="center"/>
          </w:tcPr>
          <w:p w14:paraId="71E869D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shd w:val="clear" w:color="auto" w:fill="auto"/>
            <w:noWrap w:val="0"/>
            <w:vAlign w:val="center"/>
          </w:tcPr>
          <w:p w14:paraId="0DACE7F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30D9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continue"/>
            <w:noWrap w:val="0"/>
            <w:vAlign w:val="center"/>
          </w:tcPr>
          <w:p w14:paraId="7CA34C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348EA27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窒息</w:t>
            </w:r>
          </w:p>
        </w:tc>
        <w:tc>
          <w:tcPr>
            <w:tcW w:w="468" w:type="pct"/>
            <w:shd w:val="clear" w:color="auto" w:fill="auto"/>
            <w:noWrap w:val="0"/>
            <w:vAlign w:val="center"/>
          </w:tcPr>
          <w:p w14:paraId="2B09EBE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shd w:val="clear" w:color="auto" w:fill="auto"/>
            <w:noWrap w:val="0"/>
            <w:vAlign w:val="center"/>
          </w:tcPr>
          <w:p w14:paraId="71D970A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75103B3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shd w:val="clear" w:color="auto" w:fill="auto"/>
            <w:noWrap w:val="0"/>
            <w:vAlign w:val="center"/>
          </w:tcPr>
          <w:p w14:paraId="03E6988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shd w:val="clear" w:color="auto" w:fill="auto"/>
            <w:noWrap w:val="0"/>
            <w:vAlign w:val="center"/>
          </w:tcPr>
          <w:p w14:paraId="2F17C75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1C2E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continue"/>
            <w:noWrap w:val="0"/>
            <w:vAlign w:val="center"/>
          </w:tcPr>
          <w:p w14:paraId="66357E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537D089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噪声</w:t>
            </w:r>
          </w:p>
        </w:tc>
        <w:tc>
          <w:tcPr>
            <w:tcW w:w="468" w:type="pct"/>
            <w:shd w:val="clear" w:color="auto" w:fill="auto"/>
            <w:noWrap w:val="0"/>
            <w:vAlign w:val="center"/>
          </w:tcPr>
          <w:p w14:paraId="3DDCA91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5331B45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703E921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shd w:val="clear" w:color="auto" w:fill="auto"/>
            <w:noWrap w:val="0"/>
            <w:vAlign w:val="center"/>
          </w:tcPr>
          <w:p w14:paraId="2BC60C7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shd w:val="clear" w:color="auto" w:fill="auto"/>
            <w:noWrap w:val="0"/>
            <w:vAlign w:val="center"/>
          </w:tcPr>
          <w:p w14:paraId="7663D7A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7AFA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3DD515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76C965C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粉尘</w:t>
            </w:r>
          </w:p>
        </w:tc>
        <w:tc>
          <w:tcPr>
            <w:tcW w:w="468" w:type="pct"/>
            <w:noWrap w:val="0"/>
            <w:vAlign w:val="center"/>
          </w:tcPr>
          <w:p w14:paraId="430880E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497A852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6978236C">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noWrap w:val="0"/>
            <w:vAlign w:val="center"/>
          </w:tcPr>
          <w:p w14:paraId="4D26E07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210C5BC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4BB5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restart"/>
            <w:noWrap w:val="0"/>
            <w:vAlign w:val="center"/>
          </w:tcPr>
          <w:p w14:paraId="0BA05EE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通风与防尘</w:t>
            </w:r>
          </w:p>
        </w:tc>
        <w:tc>
          <w:tcPr>
            <w:tcW w:w="1318" w:type="pct"/>
            <w:noWrap w:val="0"/>
            <w:vAlign w:val="center"/>
          </w:tcPr>
          <w:p w14:paraId="3299101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中毒</w:t>
            </w:r>
          </w:p>
        </w:tc>
        <w:tc>
          <w:tcPr>
            <w:tcW w:w="468" w:type="pct"/>
            <w:noWrap w:val="0"/>
            <w:vAlign w:val="center"/>
          </w:tcPr>
          <w:p w14:paraId="56E995D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noWrap w:val="0"/>
            <w:vAlign w:val="center"/>
          </w:tcPr>
          <w:p w14:paraId="08EDE6D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4B08297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noWrap w:val="0"/>
            <w:vAlign w:val="center"/>
          </w:tcPr>
          <w:p w14:paraId="56D4DDF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noWrap w:val="0"/>
            <w:vAlign w:val="center"/>
          </w:tcPr>
          <w:p w14:paraId="3DFF84C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69FC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239190BA">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p>
        </w:tc>
        <w:tc>
          <w:tcPr>
            <w:tcW w:w="1318" w:type="pct"/>
            <w:shd w:val="clear" w:color="auto" w:fill="auto"/>
            <w:noWrap w:val="0"/>
            <w:vAlign w:val="center"/>
          </w:tcPr>
          <w:p w14:paraId="3D58CDB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室息</w:t>
            </w:r>
          </w:p>
        </w:tc>
        <w:tc>
          <w:tcPr>
            <w:tcW w:w="468" w:type="pct"/>
            <w:shd w:val="clear" w:color="auto" w:fill="auto"/>
            <w:noWrap w:val="0"/>
            <w:vAlign w:val="center"/>
          </w:tcPr>
          <w:p w14:paraId="4F01321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shd w:val="clear" w:color="auto" w:fill="auto"/>
            <w:noWrap w:val="0"/>
            <w:vAlign w:val="center"/>
          </w:tcPr>
          <w:p w14:paraId="616C6B1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7927710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shd w:val="clear" w:color="auto" w:fill="auto"/>
            <w:noWrap w:val="0"/>
            <w:vAlign w:val="center"/>
          </w:tcPr>
          <w:p w14:paraId="2672982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shd w:val="clear" w:color="auto" w:fill="auto"/>
            <w:noWrap w:val="0"/>
            <w:vAlign w:val="center"/>
          </w:tcPr>
          <w:p w14:paraId="4D4066A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47DF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0" w:type="pct"/>
            <w:vMerge w:val="continue"/>
            <w:noWrap w:val="0"/>
            <w:vAlign w:val="center"/>
          </w:tcPr>
          <w:p w14:paraId="087C3E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0181B53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触电</w:t>
            </w:r>
          </w:p>
        </w:tc>
        <w:tc>
          <w:tcPr>
            <w:tcW w:w="468" w:type="pct"/>
            <w:noWrap w:val="0"/>
            <w:vAlign w:val="center"/>
          </w:tcPr>
          <w:p w14:paraId="696F5FC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3721686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670C349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7ECC893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5BD7883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21EC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continue"/>
            <w:noWrap w:val="0"/>
            <w:vAlign w:val="center"/>
          </w:tcPr>
          <w:p w14:paraId="609DB0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3E6D5DF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粉尘</w:t>
            </w:r>
          </w:p>
        </w:tc>
        <w:tc>
          <w:tcPr>
            <w:tcW w:w="468" w:type="pct"/>
            <w:noWrap w:val="0"/>
            <w:vAlign w:val="center"/>
          </w:tcPr>
          <w:p w14:paraId="7B6EE31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582397A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49DBBFC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46" w:type="pct"/>
            <w:noWrap w:val="0"/>
            <w:vAlign w:val="center"/>
          </w:tcPr>
          <w:p w14:paraId="582E885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6BAA0E7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768B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0" w:type="pct"/>
            <w:vMerge w:val="continue"/>
            <w:noWrap w:val="0"/>
            <w:vAlign w:val="center"/>
          </w:tcPr>
          <w:p w14:paraId="6F9325C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48E569C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噪声</w:t>
            </w:r>
          </w:p>
        </w:tc>
        <w:tc>
          <w:tcPr>
            <w:tcW w:w="468" w:type="pct"/>
            <w:noWrap w:val="0"/>
            <w:vAlign w:val="center"/>
          </w:tcPr>
          <w:p w14:paraId="176EFD5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23B89DA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0400796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46" w:type="pct"/>
            <w:noWrap w:val="0"/>
            <w:vAlign w:val="center"/>
          </w:tcPr>
          <w:p w14:paraId="39BB5F4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6ACEA9B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22EA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0" w:type="pct"/>
            <w:vMerge w:val="continue"/>
            <w:noWrap w:val="0"/>
            <w:vAlign w:val="center"/>
          </w:tcPr>
          <w:p w14:paraId="6E88C1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65AD5EA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振动</w:t>
            </w:r>
          </w:p>
        </w:tc>
        <w:tc>
          <w:tcPr>
            <w:tcW w:w="468" w:type="pct"/>
            <w:shd w:val="clear" w:color="auto" w:fill="auto"/>
            <w:noWrap w:val="0"/>
            <w:vAlign w:val="center"/>
          </w:tcPr>
          <w:p w14:paraId="459AD5C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7463100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031AA34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46" w:type="pct"/>
            <w:shd w:val="clear" w:color="auto" w:fill="auto"/>
            <w:noWrap w:val="0"/>
            <w:vAlign w:val="center"/>
          </w:tcPr>
          <w:p w14:paraId="3C84B8B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shd w:val="clear" w:color="auto" w:fill="auto"/>
            <w:noWrap w:val="0"/>
            <w:vAlign w:val="center"/>
          </w:tcPr>
          <w:p w14:paraId="50F99AF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36E5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0" w:type="pct"/>
            <w:vMerge w:val="continue"/>
            <w:noWrap w:val="0"/>
            <w:vAlign w:val="center"/>
          </w:tcPr>
          <w:p w14:paraId="1AD4440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39CD99D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2"/>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有毒气体</w:t>
            </w:r>
          </w:p>
        </w:tc>
        <w:tc>
          <w:tcPr>
            <w:tcW w:w="468" w:type="pct"/>
            <w:shd w:val="clear" w:color="auto" w:fill="auto"/>
            <w:noWrap w:val="0"/>
            <w:vAlign w:val="center"/>
          </w:tcPr>
          <w:p w14:paraId="7FD64F3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1557E46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0D3AF70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61E502D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shd w:val="clear" w:color="auto" w:fill="auto"/>
            <w:noWrap w:val="0"/>
            <w:vAlign w:val="center"/>
          </w:tcPr>
          <w:p w14:paraId="57C9A52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5859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2EB999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22C58BD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2"/>
                <w:kern w:val="2"/>
                <w:sz w:val="21"/>
                <w:szCs w:val="21"/>
                <w:lang w:val="en-US" w:eastAsia="en-US" w:bidi="ar-SA"/>
              </w:rPr>
            </w:pPr>
            <w:r>
              <w:rPr>
                <w:rFonts w:hint="eastAsia" w:ascii="Times New Roman" w:hAnsi="Times New Roman" w:eastAsia="宋体" w:cs="Times New Roman"/>
                <w:b w:val="0"/>
                <w:bCs w:val="0"/>
                <w:color w:val="auto"/>
                <w:spacing w:val="2"/>
                <w:sz w:val="21"/>
                <w:szCs w:val="21"/>
                <w:lang w:val="en-US" w:eastAsia="zh-CN"/>
              </w:rPr>
              <w:t>有害气体</w:t>
            </w:r>
          </w:p>
        </w:tc>
        <w:tc>
          <w:tcPr>
            <w:tcW w:w="468" w:type="pct"/>
            <w:noWrap w:val="0"/>
            <w:vAlign w:val="center"/>
          </w:tcPr>
          <w:p w14:paraId="4BCDE7F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2836A50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19A1E22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6316533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44B31A0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087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60" w:type="pct"/>
            <w:vMerge w:val="restart"/>
            <w:noWrap w:val="0"/>
            <w:vAlign w:val="center"/>
          </w:tcPr>
          <w:p w14:paraId="684521E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pacing w:val="-2"/>
                <w:sz w:val="21"/>
                <w:szCs w:val="21"/>
                <w:lang w:val="en-US" w:eastAsia="zh-CN"/>
              </w:rPr>
              <w:t>电气单元</w:t>
            </w:r>
          </w:p>
        </w:tc>
        <w:tc>
          <w:tcPr>
            <w:tcW w:w="1318" w:type="pct"/>
            <w:noWrap w:val="0"/>
            <w:vAlign w:val="center"/>
          </w:tcPr>
          <w:p w14:paraId="11C2971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触电</w:t>
            </w:r>
          </w:p>
        </w:tc>
        <w:tc>
          <w:tcPr>
            <w:tcW w:w="468" w:type="pct"/>
            <w:noWrap w:val="0"/>
            <w:vAlign w:val="center"/>
          </w:tcPr>
          <w:p w14:paraId="503CEA5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123C10A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508AA9C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7ED8053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789A636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2B5E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760" w:type="pct"/>
            <w:vMerge w:val="continue"/>
            <w:noWrap w:val="0"/>
            <w:vAlign w:val="center"/>
          </w:tcPr>
          <w:p w14:paraId="7C1660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7750951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火灾</w:t>
            </w:r>
          </w:p>
        </w:tc>
        <w:tc>
          <w:tcPr>
            <w:tcW w:w="468" w:type="pct"/>
            <w:noWrap w:val="0"/>
            <w:vAlign w:val="center"/>
          </w:tcPr>
          <w:p w14:paraId="21967DE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noWrap w:val="0"/>
            <w:vAlign w:val="center"/>
          </w:tcPr>
          <w:p w14:paraId="2C87A3A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17768C5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lang w:val="en-US" w:eastAsia="zh-CN"/>
              </w:rPr>
              <w:t>20</w:t>
            </w:r>
          </w:p>
        </w:tc>
        <w:tc>
          <w:tcPr>
            <w:tcW w:w="446" w:type="pct"/>
            <w:noWrap w:val="0"/>
            <w:vAlign w:val="center"/>
          </w:tcPr>
          <w:p w14:paraId="0B2221A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2"/>
                <w:sz w:val="21"/>
                <w:szCs w:val="21"/>
                <w:lang w:val="en-US" w:eastAsia="zh-CN"/>
              </w:rPr>
              <w:t>60</w:t>
            </w:r>
          </w:p>
        </w:tc>
        <w:tc>
          <w:tcPr>
            <w:tcW w:w="1147" w:type="pct"/>
            <w:noWrap w:val="0"/>
            <w:vAlign w:val="center"/>
          </w:tcPr>
          <w:p w14:paraId="2EC89E0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348C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6B205E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77D2845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噪声</w:t>
            </w:r>
          </w:p>
        </w:tc>
        <w:tc>
          <w:tcPr>
            <w:tcW w:w="468" w:type="pct"/>
            <w:noWrap w:val="0"/>
            <w:vAlign w:val="center"/>
          </w:tcPr>
          <w:p w14:paraId="45EC0DF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77F3796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59977EA3">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noWrap w:val="0"/>
            <w:vAlign w:val="center"/>
          </w:tcPr>
          <w:p w14:paraId="0FFAB50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03350FB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628D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60" w:type="pct"/>
            <w:vMerge w:val="restart"/>
            <w:noWrap w:val="0"/>
            <w:vAlign w:val="center"/>
          </w:tcPr>
          <w:p w14:paraId="01F4BDAB">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rPr>
            </w:pPr>
            <w:r>
              <w:rPr>
                <w:rFonts w:hint="eastAsia" w:ascii="Times New Roman" w:hAnsi="Times New Roman" w:eastAsia="宋体" w:cs="Times New Roman"/>
                <w:b w:val="0"/>
                <w:bCs w:val="0"/>
                <w:color w:val="auto"/>
                <w:spacing w:val="-2"/>
                <w:sz w:val="21"/>
                <w:szCs w:val="21"/>
              </w:rPr>
              <w:t>运输单元</w:t>
            </w:r>
          </w:p>
        </w:tc>
        <w:tc>
          <w:tcPr>
            <w:tcW w:w="1318" w:type="pct"/>
            <w:noWrap w:val="0"/>
            <w:vAlign w:val="center"/>
          </w:tcPr>
          <w:p w14:paraId="2BFB46E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机械</w:t>
            </w:r>
            <w:r>
              <w:rPr>
                <w:rFonts w:hint="eastAsia" w:ascii="Times New Roman" w:hAnsi="Times New Roman" w:eastAsia="宋体" w:cs="Times New Roman"/>
                <w:b w:val="0"/>
                <w:bCs w:val="0"/>
                <w:color w:val="auto"/>
                <w:spacing w:val="3"/>
                <w:sz w:val="21"/>
                <w:szCs w:val="21"/>
                <w:lang w:val="en-US" w:eastAsia="zh-CN"/>
              </w:rPr>
              <w:t>致</w:t>
            </w:r>
            <w:r>
              <w:rPr>
                <w:rFonts w:hint="eastAsia" w:ascii="Times New Roman" w:hAnsi="Times New Roman" w:eastAsia="宋体" w:cs="Times New Roman"/>
                <w:b w:val="0"/>
                <w:bCs w:val="0"/>
                <w:color w:val="auto"/>
                <w:spacing w:val="3"/>
                <w:sz w:val="21"/>
                <w:szCs w:val="21"/>
              </w:rPr>
              <w:t>害</w:t>
            </w:r>
          </w:p>
        </w:tc>
        <w:tc>
          <w:tcPr>
            <w:tcW w:w="468" w:type="pct"/>
            <w:noWrap w:val="0"/>
            <w:vAlign w:val="center"/>
          </w:tcPr>
          <w:p w14:paraId="1A70A5E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noWrap w:val="0"/>
            <w:vAlign w:val="center"/>
          </w:tcPr>
          <w:p w14:paraId="7761639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5B94BF1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0F0CBE4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42</w:t>
            </w:r>
          </w:p>
        </w:tc>
        <w:tc>
          <w:tcPr>
            <w:tcW w:w="1147" w:type="pct"/>
            <w:noWrap w:val="0"/>
            <w:vAlign w:val="center"/>
          </w:tcPr>
          <w:p w14:paraId="7DF8FA2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7A1A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0" w:type="pct"/>
            <w:vMerge w:val="continue"/>
            <w:noWrap w:val="0"/>
            <w:vAlign w:val="center"/>
          </w:tcPr>
          <w:p w14:paraId="05E7B75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62D5124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color w:val="auto"/>
                <w:sz w:val="21"/>
                <w:szCs w:val="21"/>
                <w:lang w:val="en-US" w:eastAsia="zh-CN"/>
              </w:rPr>
              <w:fldChar w:fldCharType="begin"/>
            </w:r>
            <w:r>
              <w:rPr>
                <w:rFonts w:hint="eastAsia" w:ascii="Times New Roman" w:hAnsi="Times New Roman" w:eastAsia="宋体" w:cs="Times New Roman"/>
                <w:color w:val="auto"/>
                <w:sz w:val="21"/>
                <w:szCs w:val="21"/>
                <w:lang w:val="en-US" w:eastAsia="zh-CN"/>
              </w:rPr>
              <w:instrText xml:space="preserve"> HYPERLINK \l _Toc16395 </w:instrText>
            </w:r>
            <w:r>
              <w:rPr>
                <w:rFonts w:hint="eastAsia" w:ascii="Times New Roman" w:hAnsi="Times New Roman" w:eastAsia="宋体" w:cs="Times New Roman"/>
                <w:color w:val="auto"/>
                <w:sz w:val="21"/>
                <w:szCs w:val="21"/>
                <w:lang w:val="en-US" w:eastAsia="zh-CN"/>
              </w:rPr>
              <w:fldChar w:fldCharType="separate"/>
            </w:r>
            <w:r>
              <w:rPr>
                <w:rFonts w:hint="eastAsia" w:ascii="Times New Roman" w:hAnsi="Times New Roman" w:eastAsia="宋体" w:cs="Times New Roman"/>
                <w:color w:val="auto"/>
                <w:sz w:val="21"/>
                <w:szCs w:val="21"/>
                <w:lang w:val="en-US" w:eastAsia="zh-CN"/>
              </w:rPr>
              <w:t>厂(场)内车辆致害</w:t>
            </w:r>
            <w:r>
              <w:rPr>
                <w:rFonts w:hint="eastAsia" w:ascii="Times New Roman" w:hAnsi="Times New Roman" w:eastAsia="宋体" w:cs="Times New Roman"/>
                <w:color w:val="auto"/>
                <w:sz w:val="21"/>
                <w:szCs w:val="21"/>
                <w:lang w:val="en-US" w:eastAsia="zh-CN"/>
              </w:rPr>
              <w:fldChar w:fldCharType="end"/>
            </w:r>
          </w:p>
        </w:tc>
        <w:tc>
          <w:tcPr>
            <w:tcW w:w="468" w:type="pct"/>
            <w:noWrap w:val="0"/>
            <w:vAlign w:val="center"/>
          </w:tcPr>
          <w:p w14:paraId="3EBF8EA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434E491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0140973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709ADA7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43ECD3E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6A30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0" w:type="pct"/>
            <w:vMerge w:val="continue"/>
            <w:noWrap w:val="0"/>
            <w:vAlign w:val="center"/>
          </w:tcPr>
          <w:p w14:paraId="4B5032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22AB9FE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fldChar w:fldCharType="begin"/>
            </w:r>
            <w:r>
              <w:rPr>
                <w:rFonts w:hint="eastAsia" w:ascii="Times New Roman" w:hAnsi="Times New Roman" w:eastAsia="宋体" w:cs="Times New Roman"/>
                <w:color w:val="auto"/>
                <w:sz w:val="21"/>
                <w:szCs w:val="21"/>
                <w:lang w:val="en-US" w:eastAsia="zh-CN"/>
              </w:rPr>
              <w:instrText xml:space="preserve"> HYPERLINK \l _Toc29960 </w:instrText>
            </w:r>
            <w:r>
              <w:rPr>
                <w:rFonts w:hint="eastAsia" w:ascii="Times New Roman" w:hAnsi="Times New Roman" w:eastAsia="宋体" w:cs="Times New Roman"/>
                <w:color w:val="auto"/>
                <w:sz w:val="21"/>
                <w:szCs w:val="21"/>
                <w:lang w:val="en-US" w:eastAsia="zh-CN"/>
              </w:rPr>
              <w:fldChar w:fldCharType="separate"/>
            </w:r>
            <w:r>
              <w:rPr>
                <w:rFonts w:hint="eastAsia" w:ascii="Times New Roman" w:hAnsi="Times New Roman" w:eastAsia="宋体" w:cs="Times New Roman"/>
                <w:color w:val="auto"/>
                <w:sz w:val="21"/>
                <w:szCs w:val="21"/>
                <w:lang w:val="en-US" w:eastAsia="zh-CN"/>
              </w:rPr>
              <w:t>滑坡</w:t>
            </w:r>
            <w:r>
              <w:rPr>
                <w:rFonts w:hint="eastAsia" w:ascii="Times New Roman" w:hAnsi="Times New Roman" w:eastAsia="宋体" w:cs="Times New Roman"/>
                <w:color w:val="auto"/>
                <w:sz w:val="21"/>
                <w:szCs w:val="21"/>
                <w:lang w:val="en-US" w:eastAsia="zh-CN"/>
              </w:rPr>
              <w:fldChar w:fldCharType="end"/>
            </w:r>
          </w:p>
        </w:tc>
        <w:tc>
          <w:tcPr>
            <w:tcW w:w="468" w:type="pct"/>
            <w:shd w:val="clear" w:color="auto" w:fill="auto"/>
            <w:noWrap w:val="0"/>
            <w:vAlign w:val="center"/>
          </w:tcPr>
          <w:p w14:paraId="2294C1B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0BE163F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67188A0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46" w:type="pct"/>
            <w:shd w:val="clear" w:color="auto" w:fill="auto"/>
            <w:noWrap w:val="0"/>
            <w:vAlign w:val="center"/>
          </w:tcPr>
          <w:p w14:paraId="022A8DA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54</w:t>
            </w:r>
          </w:p>
        </w:tc>
        <w:tc>
          <w:tcPr>
            <w:tcW w:w="1147" w:type="pct"/>
            <w:noWrap w:val="0"/>
            <w:vAlign w:val="center"/>
          </w:tcPr>
          <w:p w14:paraId="44D0A5F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3"/>
                <w:sz w:val="21"/>
                <w:szCs w:val="21"/>
              </w:rPr>
            </w:pPr>
            <w:r>
              <w:rPr>
                <w:rFonts w:hint="eastAsia" w:ascii="Times New Roman" w:hAnsi="Times New Roman" w:eastAsia="宋体" w:cs="Times New Roman"/>
                <w:b w:val="0"/>
                <w:bCs w:val="0"/>
                <w:color w:val="auto"/>
                <w:spacing w:val="-3"/>
                <w:sz w:val="21"/>
                <w:szCs w:val="21"/>
              </w:rPr>
              <w:t>一般危险</w:t>
            </w:r>
          </w:p>
        </w:tc>
      </w:tr>
      <w:tr w14:paraId="4D34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60" w:type="pct"/>
            <w:vMerge w:val="continue"/>
            <w:noWrap w:val="0"/>
            <w:vAlign w:val="center"/>
          </w:tcPr>
          <w:p w14:paraId="3E7176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184770E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物体打击</w:t>
            </w:r>
          </w:p>
        </w:tc>
        <w:tc>
          <w:tcPr>
            <w:tcW w:w="468" w:type="pct"/>
            <w:noWrap w:val="0"/>
            <w:vAlign w:val="center"/>
          </w:tcPr>
          <w:p w14:paraId="37892D6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5AC8A71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77EDA12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46" w:type="pct"/>
            <w:noWrap w:val="0"/>
            <w:vAlign w:val="center"/>
          </w:tcPr>
          <w:p w14:paraId="64682D1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54</w:t>
            </w:r>
          </w:p>
        </w:tc>
        <w:tc>
          <w:tcPr>
            <w:tcW w:w="1147" w:type="pct"/>
            <w:noWrap w:val="0"/>
            <w:vAlign w:val="center"/>
          </w:tcPr>
          <w:p w14:paraId="5C3DB12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0F2C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6EABF7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40C5575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触电</w:t>
            </w:r>
          </w:p>
        </w:tc>
        <w:tc>
          <w:tcPr>
            <w:tcW w:w="468" w:type="pct"/>
            <w:noWrap w:val="0"/>
            <w:vAlign w:val="center"/>
          </w:tcPr>
          <w:p w14:paraId="652FABD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3F3FB91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1AC0112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0FD4AF8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5F73197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3CBE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262EEC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3162FE0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粉尘</w:t>
            </w:r>
          </w:p>
        </w:tc>
        <w:tc>
          <w:tcPr>
            <w:tcW w:w="468" w:type="pct"/>
            <w:noWrap w:val="0"/>
            <w:vAlign w:val="center"/>
          </w:tcPr>
          <w:p w14:paraId="3E83FD9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17D5BDF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2E4E06F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46" w:type="pct"/>
            <w:noWrap w:val="0"/>
            <w:vAlign w:val="center"/>
          </w:tcPr>
          <w:p w14:paraId="5E9CFC7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23FAE7F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5142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60" w:type="pct"/>
            <w:vMerge w:val="continue"/>
            <w:noWrap w:val="0"/>
            <w:vAlign w:val="center"/>
          </w:tcPr>
          <w:p w14:paraId="4FA357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4269B7B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噪声</w:t>
            </w:r>
          </w:p>
        </w:tc>
        <w:tc>
          <w:tcPr>
            <w:tcW w:w="468" w:type="pct"/>
            <w:noWrap w:val="0"/>
            <w:vAlign w:val="center"/>
          </w:tcPr>
          <w:p w14:paraId="0593BB1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29270F3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64D5381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46" w:type="pct"/>
            <w:noWrap w:val="0"/>
            <w:vAlign w:val="center"/>
          </w:tcPr>
          <w:p w14:paraId="5E1563A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587A70B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79E6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60" w:type="pct"/>
            <w:vMerge w:val="continue"/>
            <w:noWrap w:val="0"/>
            <w:vAlign w:val="center"/>
          </w:tcPr>
          <w:p w14:paraId="185A34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01CC7B5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振动</w:t>
            </w:r>
          </w:p>
        </w:tc>
        <w:tc>
          <w:tcPr>
            <w:tcW w:w="468" w:type="pct"/>
            <w:shd w:val="clear" w:color="auto" w:fill="auto"/>
            <w:noWrap w:val="0"/>
            <w:vAlign w:val="center"/>
          </w:tcPr>
          <w:p w14:paraId="519769A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168266F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71DF1B7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46" w:type="pct"/>
            <w:shd w:val="clear" w:color="auto" w:fill="auto"/>
            <w:noWrap w:val="0"/>
            <w:vAlign w:val="center"/>
          </w:tcPr>
          <w:p w14:paraId="1A6BFF4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shd w:val="clear" w:color="auto" w:fill="auto"/>
            <w:noWrap w:val="0"/>
            <w:vAlign w:val="center"/>
          </w:tcPr>
          <w:p w14:paraId="43C0449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1FE1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60" w:type="pct"/>
            <w:vMerge w:val="continue"/>
            <w:noWrap w:val="0"/>
            <w:vAlign w:val="center"/>
          </w:tcPr>
          <w:p w14:paraId="7DC43E2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211346B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2"/>
                <w:kern w:val="0"/>
                <w:sz w:val="21"/>
                <w:szCs w:val="21"/>
                <w:lang w:val="en-US" w:eastAsia="zh-CN" w:bidi="ar-SA"/>
              </w:rPr>
            </w:pPr>
            <w:r>
              <w:rPr>
                <w:rFonts w:hint="eastAsia" w:ascii="Times New Roman" w:hAnsi="Times New Roman" w:eastAsia="宋体" w:cs="Times New Roman"/>
                <w:b w:val="0"/>
                <w:bCs w:val="0"/>
                <w:color w:val="auto"/>
                <w:spacing w:val="2"/>
                <w:sz w:val="21"/>
                <w:szCs w:val="21"/>
                <w:lang w:val="en-US" w:eastAsia="zh-CN"/>
              </w:rPr>
              <w:t>有害气体</w:t>
            </w:r>
          </w:p>
        </w:tc>
        <w:tc>
          <w:tcPr>
            <w:tcW w:w="468" w:type="pct"/>
            <w:shd w:val="clear" w:color="auto" w:fill="auto"/>
            <w:noWrap w:val="0"/>
            <w:vAlign w:val="center"/>
          </w:tcPr>
          <w:p w14:paraId="2F49251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37BA54E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51A9D01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5B3A9DB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shd w:val="clear" w:color="auto" w:fill="auto"/>
            <w:noWrap w:val="0"/>
            <w:vAlign w:val="center"/>
          </w:tcPr>
          <w:p w14:paraId="78CAF58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0F51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7BA2C4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4570758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2"/>
                <w:sz w:val="21"/>
                <w:szCs w:val="21"/>
              </w:rPr>
            </w:pPr>
            <w:r>
              <w:rPr>
                <w:rFonts w:hint="eastAsia" w:ascii="Times New Roman" w:hAnsi="Times New Roman" w:eastAsia="宋体" w:cs="Times New Roman"/>
                <w:b w:val="0"/>
                <w:bCs w:val="0"/>
                <w:color w:val="auto"/>
                <w:spacing w:val="2"/>
                <w:sz w:val="21"/>
                <w:szCs w:val="21"/>
                <w:lang w:val="en-US" w:eastAsia="zh-CN"/>
              </w:rPr>
              <w:t>有毒气体</w:t>
            </w:r>
          </w:p>
        </w:tc>
        <w:tc>
          <w:tcPr>
            <w:tcW w:w="468" w:type="pct"/>
            <w:noWrap w:val="0"/>
            <w:vAlign w:val="center"/>
          </w:tcPr>
          <w:p w14:paraId="43FC9A0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108D79F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0337733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2425AE2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1EE3F05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0069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restart"/>
            <w:noWrap w:val="0"/>
            <w:vAlign w:val="center"/>
          </w:tcPr>
          <w:p w14:paraId="6DD56C8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vertAlign w:val="baseline"/>
              </w:rPr>
            </w:pPr>
            <w:r>
              <w:rPr>
                <w:rFonts w:hint="eastAsia" w:ascii="Times New Roman" w:hAnsi="Times New Roman" w:eastAsia="宋体" w:cs="Times New Roman"/>
                <w:b w:val="0"/>
                <w:bCs w:val="0"/>
                <w:color w:val="auto"/>
                <w:sz w:val="21"/>
                <w:szCs w:val="21"/>
                <w:vertAlign w:val="baseline"/>
                <w:lang w:val="en-US" w:eastAsia="zh-CN"/>
              </w:rPr>
              <w:t>防排水、防雷电单元</w:t>
            </w:r>
          </w:p>
        </w:tc>
        <w:tc>
          <w:tcPr>
            <w:tcW w:w="1318" w:type="pct"/>
            <w:noWrap w:val="0"/>
            <w:vAlign w:val="center"/>
          </w:tcPr>
          <w:p w14:paraId="52132A4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2"/>
                <w:sz w:val="21"/>
                <w:szCs w:val="21"/>
              </w:rPr>
              <w:t>水</w:t>
            </w:r>
            <w:r>
              <w:rPr>
                <w:rFonts w:hint="eastAsia" w:ascii="Times New Roman" w:hAnsi="Times New Roman" w:eastAsia="宋体" w:cs="Times New Roman"/>
                <w:b w:val="0"/>
                <w:bCs w:val="0"/>
                <w:color w:val="auto"/>
                <w:spacing w:val="-2"/>
                <w:sz w:val="21"/>
                <w:szCs w:val="21"/>
                <w:lang w:val="en-US" w:eastAsia="zh-CN"/>
              </w:rPr>
              <w:t>害</w:t>
            </w:r>
          </w:p>
        </w:tc>
        <w:tc>
          <w:tcPr>
            <w:tcW w:w="468" w:type="pct"/>
            <w:noWrap w:val="0"/>
            <w:vAlign w:val="center"/>
          </w:tcPr>
          <w:p w14:paraId="5BE7919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3"/>
                <w:sz w:val="21"/>
                <w:szCs w:val="21"/>
                <w:lang w:val="en-US" w:eastAsia="zh-CN"/>
              </w:rPr>
              <w:t>1</w:t>
            </w:r>
          </w:p>
        </w:tc>
        <w:tc>
          <w:tcPr>
            <w:tcW w:w="436" w:type="pct"/>
            <w:noWrap w:val="0"/>
            <w:vAlign w:val="center"/>
          </w:tcPr>
          <w:p w14:paraId="0A9CE9F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lang w:val="en-US" w:eastAsia="zh-CN"/>
              </w:rPr>
              <w:t>6</w:t>
            </w:r>
          </w:p>
        </w:tc>
        <w:tc>
          <w:tcPr>
            <w:tcW w:w="421" w:type="pct"/>
            <w:noWrap w:val="0"/>
            <w:vAlign w:val="center"/>
          </w:tcPr>
          <w:p w14:paraId="328D2D3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rPr>
              <w:t>1</w:t>
            </w:r>
            <w:r>
              <w:rPr>
                <w:rFonts w:hint="eastAsia" w:ascii="Times New Roman" w:hAnsi="Times New Roman" w:eastAsia="宋体" w:cs="Times New Roman"/>
                <w:b w:val="0"/>
                <w:bCs w:val="0"/>
                <w:color w:val="auto"/>
                <w:spacing w:val="-6"/>
                <w:sz w:val="21"/>
                <w:szCs w:val="21"/>
                <w:lang w:val="en-US" w:eastAsia="zh-CN"/>
              </w:rPr>
              <w:t>0</w:t>
            </w:r>
          </w:p>
        </w:tc>
        <w:tc>
          <w:tcPr>
            <w:tcW w:w="446" w:type="pct"/>
            <w:noWrap w:val="0"/>
            <w:vAlign w:val="center"/>
          </w:tcPr>
          <w:p w14:paraId="4496391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lang w:val="en-US" w:eastAsia="zh-CN"/>
              </w:rPr>
              <w:t>60</w:t>
            </w:r>
          </w:p>
        </w:tc>
        <w:tc>
          <w:tcPr>
            <w:tcW w:w="1147" w:type="pct"/>
            <w:noWrap w:val="0"/>
            <w:vAlign w:val="center"/>
          </w:tcPr>
          <w:p w14:paraId="4AD967B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3A0A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60" w:type="pct"/>
            <w:vMerge w:val="continue"/>
            <w:noWrap w:val="0"/>
            <w:vAlign w:val="center"/>
          </w:tcPr>
          <w:p w14:paraId="14CA03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17FD202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7"/>
                <w:sz w:val="21"/>
                <w:szCs w:val="21"/>
              </w:rPr>
              <w:t>淹溺</w:t>
            </w:r>
          </w:p>
        </w:tc>
        <w:tc>
          <w:tcPr>
            <w:tcW w:w="468" w:type="pct"/>
            <w:shd w:val="clear" w:color="auto" w:fill="auto"/>
            <w:noWrap w:val="0"/>
            <w:vAlign w:val="center"/>
          </w:tcPr>
          <w:p w14:paraId="5167F5C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shd w:val="clear" w:color="auto" w:fill="auto"/>
            <w:noWrap w:val="0"/>
            <w:vAlign w:val="center"/>
          </w:tcPr>
          <w:p w14:paraId="3E8985B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1F034CC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rPr>
              <w:t>15</w:t>
            </w:r>
          </w:p>
        </w:tc>
        <w:tc>
          <w:tcPr>
            <w:tcW w:w="446" w:type="pct"/>
            <w:shd w:val="clear" w:color="auto" w:fill="auto"/>
            <w:noWrap w:val="0"/>
            <w:vAlign w:val="center"/>
          </w:tcPr>
          <w:p w14:paraId="6D4754E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45</w:t>
            </w:r>
          </w:p>
        </w:tc>
        <w:tc>
          <w:tcPr>
            <w:tcW w:w="1147" w:type="pct"/>
            <w:shd w:val="clear" w:color="auto" w:fill="auto"/>
            <w:noWrap w:val="0"/>
            <w:vAlign w:val="center"/>
          </w:tcPr>
          <w:p w14:paraId="7ECE3A3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32E9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0" w:type="pct"/>
            <w:vMerge w:val="restart"/>
            <w:noWrap w:val="0"/>
            <w:vAlign w:val="center"/>
          </w:tcPr>
          <w:p w14:paraId="3668487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pacing w:val="-2"/>
                <w:sz w:val="21"/>
                <w:szCs w:val="21"/>
              </w:rPr>
              <w:t>井下供水</w:t>
            </w:r>
          </w:p>
          <w:p w14:paraId="48597D9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及消防单</w:t>
            </w:r>
            <w:r>
              <w:rPr>
                <w:rFonts w:hint="eastAsia" w:ascii="Times New Roman" w:hAnsi="Times New Roman" w:eastAsia="宋体" w:cs="Times New Roman"/>
                <w:b w:val="0"/>
                <w:bCs w:val="0"/>
                <w:color w:val="auto"/>
                <w:sz w:val="21"/>
                <w:szCs w:val="21"/>
              </w:rPr>
              <w:t>元</w:t>
            </w:r>
          </w:p>
          <w:p w14:paraId="1FECBC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66E3F47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7"/>
                <w:sz w:val="21"/>
                <w:szCs w:val="21"/>
              </w:rPr>
              <w:t>淹溺</w:t>
            </w:r>
          </w:p>
        </w:tc>
        <w:tc>
          <w:tcPr>
            <w:tcW w:w="468" w:type="pct"/>
            <w:noWrap w:val="0"/>
            <w:vAlign w:val="center"/>
          </w:tcPr>
          <w:p w14:paraId="7D3972C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noWrap w:val="0"/>
            <w:vAlign w:val="center"/>
          </w:tcPr>
          <w:p w14:paraId="70B91AD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590423B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rPr>
              <w:t>15</w:t>
            </w:r>
          </w:p>
        </w:tc>
        <w:tc>
          <w:tcPr>
            <w:tcW w:w="446" w:type="pct"/>
            <w:noWrap w:val="0"/>
            <w:vAlign w:val="center"/>
          </w:tcPr>
          <w:p w14:paraId="7DDEA13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45</w:t>
            </w:r>
          </w:p>
        </w:tc>
        <w:tc>
          <w:tcPr>
            <w:tcW w:w="1147" w:type="pct"/>
            <w:noWrap w:val="0"/>
            <w:vAlign w:val="center"/>
          </w:tcPr>
          <w:p w14:paraId="1E80628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3151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0" w:type="pct"/>
            <w:vMerge w:val="continue"/>
            <w:noWrap w:val="0"/>
            <w:vAlign w:val="center"/>
          </w:tcPr>
          <w:p w14:paraId="571ACD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10C49DA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火灾</w:t>
            </w:r>
          </w:p>
        </w:tc>
        <w:tc>
          <w:tcPr>
            <w:tcW w:w="468" w:type="pct"/>
            <w:noWrap w:val="0"/>
            <w:vAlign w:val="center"/>
          </w:tcPr>
          <w:p w14:paraId="6164755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noWrap w:val="0"/>
            <w:vAlign w:val="center"/>
          </w:tcPr>
          <w:p w14:paraId="46A9300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630603C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rPr>
              <w:t>15</w:t>
            </w:r>
          </w:p>
        </w:tc>
        <w:tc>
          <w:tcPr>
            <w:tcW w:w="446" w:type="pct"/>
            <w:noWrap w:val="0"/>
            <w:vAlign w:val="center"/>
          </w:tcPr>
          <w:p w14:paraId="3E10D05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45</w:t>
            </w:r>
          </w:p>
        </w:tc>
        <w:tc>
          <w:tcPr>
            <w:tcW w:w="1147" w:type="pct"/>
            <w:noWrap w:val="0"/>
            <w:vAlign w:val="center"/>
          </w:tcPr>
          <w:p w14:paraId="715A72A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257E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0" w:type="pct"/>
            <w:vMerge w:val="continue"/>
            <w:noWrap w:val="0"/>
            <w:vAlign w:val="center"/>
          </w:tcPr>
          <w:p w14:paraId="3700DB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3838FA6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中毒</w:t>
            </w:r>
          </w:p>
        </w:tc>
        <w:tc>
          <w:tcPr>
            <w:tcW w:w="468" w:type="pct"/>
            <w:shd w:val="clear" w:color="auto" w:fill="auto"/>
            <w:noWrap w:val="0"/>
            <w:vAlign w:val="center"/>
          </w:tcPr>
          <w:p w14:paraId="7185555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shd w:val="clear" w:color="auto" w:fill="auto"/>
            <w:noWrap w:val="0"/>
            <w:vAlign w:val="center"/>
          </w:tcPr>
          <w:p w14:paraId="4EE1D05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3751F6D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rPr>
              <w:t>15</w:t>
            </w:r>
          </w:p>
        </w:tc>
        <w:tc>
          <w:tcPr>
            <w:tcW w:w="446" w:type="pct"/>
            <w:shd w:val="clear" w:color="auto" w:fill="auto"/>
            <w:noWrap w:val="0"/>
            <w:vAlign w:val="center"/>
          </w:tcPr>
          <w:p w14:paraId="2994FC3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45</w:t>
            </w:r>
          </w:p>
        </w:tc>
        <w:tc>
          <w:tcPr>
            <w:tcW w:w="1147" w:type="pct"/>
            <w:shd w:val="clear" w:color="auto" w:fill="auto"/>
            <w:noWrap w:val="0"/>
            <w:vAlign w:val="center"/>
          </w:tcPr>
          <w:p w14:paraId="45BE95A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0449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0" w:type="pct"/>
            <w:vMerge w:val="continue"/>
            <w:noWrap w:val="0"/>
            <w:vAlign w:val="center"/>
          </w:tcPr>
          <w:p w14:paraId="332D3D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1494FA5B">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室息</w:t>
            </w:r>
          </w:p>
        </w:tc>
        <w:tc>
          <w:tcPr>
            <w:tcW w:w="468" w:type="pct"/>
            <w:noWrap w:val="0"/>
            <w:vAlign w:val="center"/>
          </w:tcPr>
          <w:p w14:paraId="3DD0BA3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noWrap w:val="0"/>
            <w:vAlign w:val="center"/>
          </w:tcPr>
          <w:p w14:paraId="1EF0066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52D625A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rPr>
              <w:t>15</w:t>
            </w:r>
          </w:p>
        </w:tc>
        <w:tc>
          <w:tcPr>
            <w:tcW w:w="446" w:type="pct"/>
            <w:noWrap w:val="0"/>
            <w:vAlign w:val="center"/>
          </w:tcPr>
          <w:p w14:paraId="760814E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45</w:t>
            </w:r>
          </w:p>
        </w:tc>
        <w:tc>
          <w:tcPr>
            <w:tcW w:w="1147" w:type="pct"/>
            <w:noWrap w:val="0"/>
            <w:vAlign w:val="center"/>
          </w:tcPr>
          <w:p w14:paraId="32817E7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1CD5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60" w:type="pct"/>
            <w:vMerge w:val="restart"/>
            <w:noWrap w:val="0"/>
            <w:vAlign w:val="center"/>
          </w:tcPr>
          <w:p w14:paraId="2073745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rPr>
            </w:pPr>
          </w:p>
          <w:p w14:paraId="09528B01">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z w:val="21"/>
                <w:szCs w:val="21"/>
              </w:rPr>
            </w:pPr>
          </w:p>
          <w:p w14:paraId="5948E55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2"/>
                <w:sz w:val="21"/>
                <w:szCs w:val="21"/>
              </w:rPr>
            </w:pPr>
          </w:p>
          <w:p w14:paraId="0C9ACC2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spacing w:val="-2"/>
                <w:sz w:val="21"/>
                <w:szCs w:val="21"/>
              </w:rPr>
            </w:pPr>
          </w:p>
          <w:p w14:paraId="3FB0656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供风单元</w:t>
            </w:r>
          </w:p>
        </w:tc>
        <w:tc>
          <w:tcPr>
            <w:tcW w:w="1318" w:type="pct"/>
            <w:noWrap w:val="0"/>
            <w:vAlign w:val="center"/>
          </w:tcPr>
          <w:p w14:paraId="6CE0494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触电</w:t>
            </w:r>
          </w:p>
        </w:tc>
        <w:tc>
          <w:tcPr>
            <w:tcW w:w="468" w:type="pct"/>
            <w:noWrap w:val="0"/>
            <w:vAlign w:val="center"/>
          </w:tcPr>
          <w:p w14:paraId="3C86231D">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5A0F9F6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618A3AD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1942BED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63</w:t>
            </w:r>
          </w:p>
        </w:tc>
        <w:tc>
          <w:tcPr>
            <w:tcW w:w="1147" w:type="pct"/>
            <w:noWrap w:val="0"/>
            <w:vAlign w:val="center"/>
          </w:tcPr>
          <w:p w14:paraId="10967D6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7F17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60" w:type="pct"/>
            <w:vMerge w:val="continue"/>
            <w:noWrap w:val="0"/>
            <w:vAlign w:val="center"/>
          </w:tcPr>
          <w:p w14:paraId="3F02E4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6B85869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机械</w:t>
            </w:r>
            <w:r>
              <w:rPr>
                <w:rFonts w:hint="eastAsia" w:ascii="Times New Roman" w:hAnsi="Times New Roman" w:eastAsia="宋体" w:cs="Times New Roman"/>
                <w:b w:val="0"/>
                <w:bCs w:val="0"/>
                <w:color w:val="auto"/>
                <w:spacing w:val="3"/>
                <w:sz w:val="21"/>
                <w:szCs w:val="21"/>
                <w:lang w:val="en-US" w:eastAsia="zh-CN"/>
              </w:rPr>
              <w:t>致</w:t>
            </w:r>
            <w:r>
              <w:rPr>
                <w:rFonts w:hint="eastAsia" w:ascii="Times New Roman" w:hAnsi="Times New Roman" w:eastAsia="宋体" w:cs="Times New Roman"/>
                <w:b w:val="0"/>
                <w:bCs w:val="0"/>
                <w:color w:val="auto"/>
                <w:spacing w:val="3"/>
                <w:sz w:val="21"/>
                <w:szCs w:val="21"/>
              </w:rPr>
              <w:t>害</w:t>
            </w:r>
          </w:p>
        </w:tc>
        <w:tc>
          <w:tcPr>
            <w:tcW w:w="468" w:type="pct"/>
            <w:noWrap w:val="0"/>
            <w:vAlign w:val="center"/>
          </w:tcPr>
          <w:p w14:paraId="19F8FD4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noWrap w:val="0"/>
            <w:vAlign w:val="center"/>
          </w:tcPr>
          <w:p w14:paraId="5DECDFA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379D287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7</w:t>
            </w:r>
          </w:p>
        </w:tc>
        <w:tc>
          <w:tcPr>
            <w:tcW w:w="446" w:type="pct"/>
            <w:noWrap w:val="0"/>
            <w:vAlign w:val="center"/>
          </w:tcPr>
          <w:p w14:paraId="245A52A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42</w:t>
            </w:r>
          </w:p>
        </w:tc>
        <w:tc>
          <w:tcPr>
            <w:tcW w:w="1147" w:type="pct"/>
            <w:noWrap w:val="0"/>
            <w:vAlign w:val="center"/>
          </w:tcPr>
          <w:p w14:paraId="54FAC81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4CD7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0" w:type="pct"/>
            <w:vMerge w:val="continue"/>
            <w:noWrap w:val="0"/>
            <w:vAlign w:val="center"/>
          </w:tcPr>
          <w:p w14:paraId="3E8790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227DBB6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容器爆炸</w:t>
            </w:r>
          </w:p>
        </w:tc>
        <w:tc>
          <w:tcPr>
            <w:tcW w:w="468" w:type="pct"/>
            <w:noWrap w:val="0"/>
            <w:vAlign w:val="center"/>
          </w:tcPr>
          <w:p w14:paraId="0B89052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09449B0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2C8DC26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46" w:type="pct"/>
            <w:noWrap w:val="0"/>
            <w:vAlign w:val="center"/>
          </w:tcPr>
          <w:p w14:paraId="740F809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4"/>
                <w:sz w:val="21"/>
                <w:szCs w:val="21"/>
              </w:rPr>
              <w:t>54</w:t>
            </w:r>
          </w:p>
        </w:tc>
        <w:tc>
          <w:tcPr>
            <w:tcW w:w="1147" w:type="pct"/>
            <w:noWrap w:val="0"/>
            <w:vAlign w:val="center"/>
          </w:tcPr>
          <w:p w14:paraId="35FCF2A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一般危险</w:t>
            </w:r>
          </w:p>
        </w:tc>
      </w:tr>
      <w:tr w14:paraId="4CD9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0" w:type="pct"/>
            <w:vMerge w:val="continue"/>
            <w:noWrap w:val="0"/>
            <w:vAlign w:val="center"/>
          </w:tcPr>
          <w:p w14:paraId="585CD3E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582BE79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color w:val="auto"/>
                <w:sz w:val="21"/>
                <w:szCs w:val="21"/>
                <w:lang w:val="en-US" w:eastAsia="zh-CN"/>
              </w:rPr>
              <w:t>管道爆炸</w:t>
            </w:r>
          </w:p>
        </w:tc>
        <w:tc>
          <w:tcPr>
            <w:tcW w:w="468" w:type="pct"/>
            <w:shd w:val="clear" w:color="auto" w:fill="auto"/>
            <w:noWrap w:val="0"/>
            <w:vAlign w:val="center"/>
          </w:tcPr>
          <w:p w14:paraId="17E78C4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shd w:val="clear" w:color="auto" w:fill="auto"/>
            <w:noWrap w:val="0"/>
            <w:vAlign w:val="center"/>
          </w:tcPr>
          <w:p w14:paraId="1B636D5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2</w:t>
            </w:r>
          </w:p>
        </w:tc>
        <w:tc>
          <w:tcPr>
            <w:tcW w:w="421" w:type="pct"/>
            <w:shd w:val="clear" w:color="auto" w:fill="auto"/>
            <w:noWrap w:val="0"/>
            <w:vAlign w:val="center"/>
          </w:tcPr>
          <w:p w14:paraId="07D6732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2D511C9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pacing w:val="-6"/>
                <w:sz w:val="21"/>
                <w:szCs w:val="21"/>
              </w:rPr>
              <w:t>14</w:t>
            </w:r>
          </w:p>
        </w:tc>
        <w:tc>
          <w:tcPr>
            <w:tcW w:w="1147" w:type="pct"/>
            <w:shd w:val="clear" w:color="auto" w:fill="auto"/>
            <w:noWrap w:val="0"/>
            <w:vAlign w:val="center"/>
          </w:tcPr>
          <w:p w14:paraId="0CE9FCF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0C18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60" w:type="pct"/>
            <w:vMerge w:val="continue"/>
            <w:noWrap w:val="0"/>
            <w:vAlign w:val="center"/>
          </w:tcPr>
          <w:p w14:paraId="587FF9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37ADB789">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火灾</w:t>
            </w:r>
          </w:p>
        </w:tc>
        <w:tc>
          <w:tcPr>
            <w:tcW w:w="468" w:type="pct"/>
            <w:noWrap w:val="0"/>
            <w:vAlign w:val="center"/>
          </w:tcPr>
          <w:p w14:paraId="12205936">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36" w:type="pct"/>
            <w:noWrap w:val="0"/>
            <w:vAlign w:val="center"/>
          </w:tcPr>
          <w:p w14:paraId="07BF20E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3</w:t>
            </w:r>
          </w:p>
        </w:tc>
        <w:tc>
          <w:tcPr>
            <w:tcW w:w="421" w:type="pct"/>
            <w:noWrap w:val="0"/>
            <w:vAlign w:val="center"/>
          </w:tcPr>
          <w:p w14:paraId="1359F71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pacing w:val="-6"/>
                <w:sz w:val="21"/>
                <w:szCs w:val="21"/>
              </w:rPr>
              <w:t>15</w:t>
            </w:r>
          </w:p>
        </w:tc>
        <w:tc>
          <w:tcPr>
            <w:tcW w:w="446" w:type="pct"/>
            <w:noWrap w:val="0"/>
            <w:vAlign w:val="center"/>
          </w:tcPr>
          <w:p w14:paraId="0C61599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45</w:t>
            </w:r>
          </w:p>
        </w:tc>
        <w:tc>
          <w:tcPr>
            <w:tcW w:w="1147" w:type="pct"/>
            <w:noWrap w:val="0"/>
            <w:vAlign w:val="center"/>
          </w:tcPr>
          <w:p w14:paraId="5D95C52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一般危险</w:t>
            </w:r>
          </w:p>
        </w:tc>
      </w:tr>
      <w:tr w14:paraId="38F5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60" w:type="pct"/>
            <w:vMerge w:val="continue"/>
            <w:noWrap w:val="0"/>
            <w:vAlign w:val="center"/>
          </w:tcPr>
          <w:p w14:paraId="659458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4C9B9CB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3"/>
                <w:sz w:val="21"/>
                <w:szCs w:val="21"/>
              </w:rPr>
              <w:t>起重</w:t>
            </w:r>
            <w:r>
              <w:rPr>
                <w:rFonts w:hint="eastAsia" w:ascii="Times New Roman" w:hAnsi="Times New Roman" w:eastAsia="宋体" w:cs="Times New Roman"/>
                <w:b w:val="0"/>
                <w:bCs w:val="0"/>
                <w:color w:val="auto"/>
                <w:spacing w:val="3"/>
                <w:sz w:val="21"/>
                <w:szCs w:val="21"/>
                <w:lang w:val="en-US" w:eastAsia="zh-CN"/>
              </w:rPr>
              <w:t>致</w:t>
            </w:r>
            <w:r>
              <w:rPr>
                <w:rFonts w:hint="eastAsia" w:ascii="Times New Roman" w:hAnsi="Times New Roman" w:eastAsia="宋体" w:cs="Times New Roman"/>
                <w:b w:val="0"/>
                <w:bCs w:val="0"/>
                <w:color w:val="auto"/>
                <w:spacing w:val="3"/>
                <w:sz w:val="21"/>
                <w:szCs w:val="21"/>
              </w:rPr>
              <w:t>害</w:t>
            </w:r>
          </w:p>
        </w:tc>
        <w:tc>
          <w:tcPr>
            <w:tcW w:w="468" w:type="pct"/>
            <w:noWrap w:val="0"/>
            <w:vAlign w:val="center"/>
          </w:tcPr>
          <w:p w14:paraId="5748C88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1</w:t>
            </w:r>
          </w:p>
        </w:tc>
        <w:tc>
          <w:tcPr>
            <w:tcW w:w="436" w:type="pct"/>
            <w:noWrap w:val="0"/>
            <w:vAlign w:val="center"/>
          </w:tcPr>
          <w:p w14:paraId="6D6FDA5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2</w:t>
            </w:r>
          </w:p>
        </w:tc>
        <w:tc>
          <w:tcPr>
            <w:tcW w:w="421" w:type="pct"/>
            <w:noWrap w:val="0"/>
            <w:vAlign w:val="center"/>
          </w:tcPr>
          <w:p w14:paraId="0755239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cs="Times New Roman"/>
                <w:b w:val="0"/>
                <w:bCs w:val="0"/>
                <w:color w:val="auto"/>
                <w:sz w:val="21"/>
                <w:szCs w:val="21"/>
                <w:lang w:val="en-US" w:eastAsia="zh-CN"/>
              </w:rPr>
              <w:t>9</w:t>
            </w:r>
          </w:p>
        </w:tc>
        <w:tc>
          <w:tcPr>
            <w:tcW w:w="446" w:type="pct"/>
            <w:noWrap w:val="0"/>
            <w:vAlign w:val="center"/>
          </w:tcPr>
          <w:p w14:paraId="2C85E8F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cs="Times New Roman"/>
                <w:b w:val="0"/>
                <w:bCs w:val="0"/>
                <w:color w:val="auto"/>
                <w:spacing w:val="-6"/>
                <w:sz w:val="21"/>
                <w:szCs w:val="21"/>
                <w:lang w:val="en-US" w:eastAsia="zh-CN"/>
              </w:rPr>
              <w:t>18</w:t>
            </w:r>
          </w:p>
        </w:tc>
        <w:tc>
          <w:tcPr>
            <w:tcW w:w="1147" w:type="pct"/>
            <w:noWrap w:val="0"/>
            <w:vAlign w:val="center"/>
          </w:tcPr>
          <w:p w14:paraId="7F9C60C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5804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60" w:type="pct"/>
            <w:vMerge w:val="continue"/>
            <w:noWrap w:val="0"/>
            <w:vAlign w:val="center"/>
          </w:tcPr>
          <w:p w14:paraId="467DB7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3798685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噪声</w:t>
            </w:r>
          </w:p>
        </w:tc>
        <w:tc>
          <w:tcPr>
            <w:tcW w:w="468" w:type="pct"/>
            <w:shd w:val="clear" w:color="auto" w:fill="auto"/>
            <w:noWrap w:val="0"/>
            <w:vAlign w:val="center"/>
          </w:tcPr>
          <w:p w14:paraId="778CA2B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34810D0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shd w:val="clear" w:color="auto" w:fill="auto"/>
            <w:noWrap w:val="0"/>
            <w:vAlign w:val="center"/>
          </w:tcPr>
          <w:p w14:paraId="6F1A9947">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shd w:val="clear" w:color="auto" w:fill="auto"/>
            <w:noWrap w:val="0"/>
            <w:vAlign w:val="center"/>
          </w:tcPr>
          <w:p w14:paraId="598A1F2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shd w:val="clear" w:color="auto" w:fill="auto"/>
            <w:noWrap w:val="0"/>
            <w:vAlign w:val="center"/>
          </w:tcPr>
          <w:p w14:paraId="4EE8DBC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snapToGrid w:val="0"/>
                <w:color w:val="auto"/>
                <w:spacing w:val="0"/>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6CC7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60" w:type="pct"/>
            <w:vMerge w:val="continue"/>
            <w:noWrap w:val="0"/>
            <w:vAlign w:val="center"/>
          </w:tcPr>
          <w:p w14:paraId="67481D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noWrap w:val="0"/>
            <w:vAlign w:val="center"/>
          </w:tcPr>
          <w:p w14:paraId="68C6B3D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振动</w:t>
            </w:r>
          </w:p>
        </w:tc>
        <w:tc>
          <w:tcPr>
            <w:tcW w:w="468" w:type="pct"/>
            <w:noWrap w:val="0"/>
            <w:vAlign w:val="center"/>
          </w:tcPr>
          <w:p w14:paraId="15E7DDA4">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rPr>
              <w:t>3</w:t>
            </w:r>
          </w:p>
        </w:tc>
        <w:tc>
          <w:tcPr>
            <w:tcW w:w="436" w:type="pct"/>
            <w:noWrap w:val="0"/>
            <w:vAlign w:val="center"/>
          </w:tcPr>
          <w:p w14:paraId="5127F18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z w:val="21"/>
                <w:szCs w:val="21"/>
              </w:rPr>
              <w:t>6</w:t>
            </w:r>
          </w:p>
        </w:tc>
        <w:tc>
          <w:tcPr>
            <w:tcW w:w="421" w:type="pct"/>
            <w:noWrap w:val="0"/>
            <w:vAlign w:val="center"/>
          </w:tcPr>
          <w:p w14:paraId="63D82219">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w:t>
            </w:r>
          </w:p>
        </w:tc>
        <w:tc>
          <w:tcPr>
            <w:tcW w:w="446" w:type="pct"/>
            <w:noWrap w:val="0"/>
            <w:vAlign w:val="center"/>
          </w:tcPr>
          <w:p w14:paraId="2BFD20C8">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6"/>
                <w:sz w:val="21"/>
                <w:szCs w:val="21"/>
              </w:rPr>
              <w:t>18</w:t>
            </w:r>
          </w:p>
        </w:tc>
        <w:tc>
          <w:tcPr>
            <w:tcW w:w="1147" w:type="pct"/>
            <w:noWrap w:val="0"/>
            <w:vAlign w:val="center"/>
          </w:tcPr>
          <w:p w14:paraId="7922624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b w:val="0"/>
                <w:bCs w:val="0"/>
                <w:color w:val="auto"/>
                <w:kern w:val="2"/>
                <w:sz w:val="21"/>
                <w:szCs w:val="21"/>
                <w:lang w:val="en-US" w:eastAsia="en-US" w:bidi="ar-SA"/>
              </w:rPr>
            </w:pPr>
            <w:r>
              <w:rPr>
                <w:rFonts w:hint="eastAsia" w:ascii="Times New Roman" w:hAnsi="Times New Roman" w:eastAsia="宋体" w:cs="Times New Roman"/>
                <w:b w:val="0"/>
                <w:bCs w:val="0"/>
                <w:color w:val="auto"/>
                <w:spacing w:val="-2"/>
                <w:sz w:val="21"/>
                <w:szCs w:val="21"/>
              </w:rPr>
              <w:t>稍有危险</w:t>
            </w:r>
          </w:p>
        </w:tc>
      </w:tr>
      <w:tr w14:paraId="5D6A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60" w:type="pct"/>
            <w:vMerge w:val="restart"/>
            <w:shd w:val="clear" w:color="auto" w:fill="auto"/>
            <w:noWrap w:val="0"/>
            <w:vAlign w:val="center"/>
          </w:tcPr>
          <w:p w14:paraId="683EDA38">
            <w:pPr>
              <w:spacing w:before="60" w:line="218" w:lineRule="auto"/>
              <w:ind w:left="0" w:leftChars="0" w:right="102" w:rightChars="0" w:firstLine="0" w:firstLineChars="0"/>
              <w:jc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废石场单元</w:t>
            </w:r>
          </w:p>
          <w:p w14:paraId="57FEA507">
            <w:pPr>
              <w:spacing w:before="60" w:line="218" w:lineRule="auto"/>
              <w:ind w:left="110" w:leftChars="0" w:right="102" w:rightChars="0" w:firstLine="420" w:firstLineChars="200"/>
              <w:jc w:val="center"/>
              <w:rPr>
                <w:rFonts w:hint="eastAsia" w:ascii="Times New Roman" w:hAnsi="Times New Roman" w:eastAsia="宋体" w:cs="Times New Roman"/>
                <w:snapToGrid w:val="0"/>
                <w:color w:val="auto"/>
                <w:spacing w:val="0"/>
                <w:kern w:val="0"/>
                <w:sz w:val="21"/>
                <w:szCs w:val="21"/>
                <w:lang w:val="en-US" w:eastAsia="zh-CN" w:bidi="ar"/>
              </w:rPr>
            </w:pPr>
          </w:p>
          <w:p w14:paraId="719F69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47B33D58">
            <w:pPr>
              <w:spacing w:before="60" w:line="218" w:lineRule="auto"/>
              <w:ind w:left="0" w:leftChars="0" w:right="102" w:rightChars="0" w:firstLine="0" w:firstLineChars="0"/>
              <w:jc w:val="center"/>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高处坠落</w:t>
            </w:r>
          </w:p>
        </w:tc>
        <w:tc>
          <w:tcPr>
            <w:tcW w:w="468" w:type="pct"/>
            <w:shd w:val="clear" w:color="auto" w:fill="auto"/>
            <w:noWrap w:val="0"/>
            <w:vAlign w:val="center"/>
          </w:tcPr>
          <w:p w14:paraId="2703A0C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29DA2A1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0E65472F">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6B0643B6">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pacing w:val="-3"/>
                <w:sz w:val="21"/>
                <w:szCs w:val="21"/>
              </w:rPr>
              <w:t>63</w:t>
            </w:r>
          </w:p>
        </w:tc>
        <w:tc>
          <w:tcPr>
            <w:tcW w:w="1147" w:type="pct"/>
            <w:shd w:val="clear" w:color="auto" w:fill="auto"/>
            <w:noWrap w:val="0"/>
            <w:vAlign w:val="center"/>
          </w:tcPr>
          <w:p w14:paraId="2698172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pacing w:val="-3"/>
                <w:sz w:val="21"/>
                <w:szCs w:val="21"/>
              </w:rPr>
              <w:t>一般危险</w:t>
            </w:r>
          </w:p>
        </w:tc>
      </w:tr>
      <w:tr w14:paraId="3413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60" w:type="pct"/>
            <w:vMerge w:val="continue"/>
            <w:noWrap w:val="0"/>
            <w:vAlign w:val="center"/>
          </w:tcPr>
          <w:p w14:paraId="3802B0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62D1AB75">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color w:val="auto"/>
                <w:sz w:val="21"/>
                <w:szCs w:val="21"/>
                <w:lang w:val="en-US" w:eastAsia="zh-CN"/>
              </w:rPr>
              <w:fldChar w:fldCharType="begin"/>
            </w:r>
            <w:r>
              <w:rPr>
                <w:rFonts w:hint="eastAsia" w:ascii="Times New Roman" w:hAnsi="Times New Roman" w:eastAsia="宋体" w:cs="Times New Roman"/>
                <w:color w:val="auto"/>
                <w:sz w:val="21"/>
                <w:szCs w:val="21"/>
                <w:lang w:val="en-US" w:eastAsia="zh-CN"/>
              </w:rPr>
              <w:instrText xml:space="preserve"> HYPERLINK \l _Toc16395 </w:instrText>
            </w:r>
            <w:r>
              <w:rPr>
                <w:rFonts w:hint="eastAsia" w:ascii="Times New Roman" w:hAnsi="Times New Roman" w:eastAsia="宋体" w:cs="Times New Roman"/>
                <w:color w:val="auto"/>
                <w:sz w:val="21"/>
                <w:szCs w:val="21"/>
                <w:lang w:val="en-US" w:eastAsia="zh-CN"/>
              </w:rPr>
              <w:fldChar w:fldCharType="separate"/>
            </w:r>
            <w:r>
              <w:rPr>
                <w:rFonts w:hint="eastAsia" w:ascii="Times New Roman" w:hAnsi="Times New Roman" w:eastAsia="宋体" w:cs="Times New Roman"/>
                <w:color w:val="auto"/>
                <w:sz w:val="21"/>
                <w:szCs w:val="21"/>
                <w:lang w:val="en-US" w:eastAsia="zh-CN"/>
              </w:rPr>
              <w:t>厂(场)内车辆致害</w:t>
            </w:r>
            <w:r>
              <w:rPr>
                <w:rFonts w:hint="eastAsia" w:ascii="Times New Roman" w:hAnsi="Times New Roman" w:eastAsia="宋体" w:cs="Times New Roman"/>
                <w:color w:val="auto"/>
                <w:sz w:val="21"/>
                <w:szCs w:val="21"/>
                <w:lang w:val="en-US" w:eastAsia="zh-CN"/>
              </w:rPr>
              <w:fldChar w:fldCharType="end"/>
            </w:r>
          </w:p>
        </w:tc>
        <w:tc>
          <w:tcPr>
            <w:tcW w:w="468" w:type="pct"/>
            <w:shd w:val="clear" w:color="auto" w:fill="auto"/>
            <w:noWrap w:val="0"/>
            <w:vAlign w:val="center"/>
          </w:tcPr>
          <w:p w14:paraId="58DFDAC1">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6E7F72B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43554AA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06747053">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pacing w:val="-3"/>
                <w:sz w:val="21"/>
                <w:szCs w:val="21"/>
              </w:rPr>
              <w:t>63</w:t>
            </w:r>
          </w:p>
        </w:tc>
        <w:tc>
          <w:tcPr>
            <w:tcW w:w="1147" w:type="pct"/>
            <w:shd w:val="clear" w:color="auto" w:fill="auto"/>
            <w:noWrap w:val="0"/>
            <w:vAlign w:val="center"/>
          </w:tcPr>
          <w:p w14:paraId="0290A09A">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pacing w:val="-3"/>
                <w:sz w:val="21"/>
                <w:szCs w:val="21"/>
              </w:rPr>
              <w:t>一般危险</w:t>
            </w:r>
          </w:p>
        </w:tc>
      </w:tr>
      <w:tr w14:paraId="0D4D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0" w:type="pct"/>
            <w:vMerge w:val="continue"/>
            <w:noWrap w:val="0"/>
            <w:vAlign w:val="center"/>
          </w:tcPr>
          <w:p w14:paraId="11A8D1A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auto"/>
                <w:sz w:val="21"/>
                <w:szCs w:val="21"/>
                <w:vertAlign w:val="baseline"/>
              </w:rPr>
            </w:pPr>
          </w:p>
        </w:tc>
        <w:tc>
          <w:tcPr>
            <w:tcW w:w="1318" w:type="pct"/>
            <w:shd w:val="clear" w:color="auto" w:fill="auto"/>
            <w:noWrap w:val="0"/>
            <w:vAlign w:val="center"/>
          </w:tcPr>
          <w:p w14:paraId="37E43057">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snapToGrid w:val="0"/>
                <w:color w:val="auto"/>
                <w:spacing w:val="0"/>
                <w:kern w:val="0"/>
                <w:sz w:val="21"/>
                <w:szCs w:val="21"/>
                <w:lang w:val="en-US" w:eastAsia="zh-CN" w:bidi="ar-SA"/>
              </w:rPr>
            </w:pPr>
            <w:r>
              <w:rPr>
                <w:rFonts w:hint="eastAsia" w:ascii="Times New Roman" w:hAnsi="Times New Roman" w:eastAsia="宋体" w:cs="Times New Roman"/>
                <w:color w:val="auto"/>
                <w:sz w:val="21"/>
                <w:szCs w:val="21"/>
                <w:lang w:val="en-US" w:eastAsia="zh-CN"/>
              </w:rPr>
              <w:fldChar w:fldCharType="begin"/>
            </w:r>
            <w:r>
              <w:rPr>
                <w:rFonts w:hint="eastAsia" w:ascii="Times New Roman" w:hAnsi="Times New Roman" w:eastAsia="宋体" w:cs="Times New Roman"/>
                <w:color w:val="auto"/>
                <w:sz w:val="21"/>
                <w:szCs w:val="21"/>
                <w:lang w:val="en-US" w:eastAsia="zh-CN"/>
              </w:rPr>
              <w:instrText xml:space="preserve"> HYPERLINK \l _Toc29960 </w:instrText>
            </w:r>
            <w:r>
              <w:rPr>
                <w:rFonts w:hint="eastAsia" w:ascii="Times New Roman" w:hAnsi="Times New Roman" w:eastAsia="宋体" w:cs="Times New Roman"/>
                <w:color w:val="auto"/>
                <w:sz w:val="21"/>
                <w:szCs w:val="21"/>
                <w:lang w:val="en-US" w:eastAsia="zh-CN"/>
              </w:rPr>
              <w:fldChar w:fldCharType="separate"/>
            </w:r>
            <w:r>
              <w:rPr>
                <w:rFonts w:hint="eastAsia" w:ascii="Times New Roman" w:hAnsi="Times New Roman" w:eastAsia="宋体" w:cs="Times New Roman"/>
                <w:color w:val="auto"/>
                <w:sz w:val="21"/>
                <w:szCs w:val="21"/>
                <w:lang w:val="en-US" w:eastAsia="zh-CN"/>
              </w:rPr>
              <w:t>滑坡</w:t>
            </w:r>
            <w:r>
              <w:rPr>
                <w:rFonts w:hint="eastAsia" w:ascii="Times New Roman" w:hAnsi="Times New Roman" w:eastAsia="宋体" w:cs="Times New Roman"/>
                <w:color w:val="auto"/>
                <w:sz w:val="21"/>
                <w:szCs w:val="21"/>
                <w:lang w:val="en-US" w:eastAsia="zh-CN"/>
              </w:rPr>
              <w:fldChar w:fldCharType="end"/>
            </w:r>
          </w:p>
        </w:tc>
        <w:tc>
          <w:tcPr>
            <w:tcW w:w="468" w:type="pct"/>
            <w:shd w:val="clear" w:color="auto" w:fill="auto"/>
            <w:noWrap w:val="0"/>
            <w:vAlign w:val="center"/>
          </w:tcPr>
          <w:p w14:paraId="6CF4930E">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3</w:t>
            </w:r>
          </w:p>
        </w:tc>
        <w:tc>
          <w:tcPr>
            <w:tcW w:w="436" w:type="pct"/>
            <w:shd w:val="clear" w:color="auto" w:fill="auto"/>
            <w:noWrap w:val="0"/>
            <w:vAlign w:val="center"/>
          </w:tcPr>
          <w:p w14:paraId="5BC8689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3</w:t>
            </w:r>
          </w:p>
        </w:tc>
        <w:tc>
          <w:tcPr>
            <w:tcW w:w="421" w:type="pct"/>
            <w:shd w:val="clear" w:color="auto" w:fill="auto"/>
            <w:noWrap w:val="0"/>
            <w:vAlign w:val="center"/>
          </w:tcPr>
          <w:p w14:paraId="58766082">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z w:val="21"/>
                <w:szCs w:val="21"/>
              </w:rPr>
              <w:t>7</w:t>
            </w:r>
          </w:p>
        </w:tc>
        <w:tc>
          <w:tcPr>
            <w:tcW w:w="446" w:type="pct"/>
            <w:shd w:val="clear" w:color="auto" w:fill="auto"/>
            <w:noWrap w:val="0"/>
            <w:vAlign w:val="center"/>
          </w:tcPr>
          <w:p w14:paraId="16E67E7C">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pacing w:val="-3"/>
                <w:sz w:val="21"/>
                <w:szCs w:val="21"/>
              </w:rPr>
              <w:t>63</w:t>
            </w:r>
          </w:p>
        </w:tc>
        <w:tc>
          <w:tcPr>
            <w:tcW w:w="1147" w:type="pct"/>
            <w:shd w:val="clear" w:color="auto" w:fill="auto"/>
            <w:noWrap w:val="0"/>
            <w:vAlign w:val="center"/>
          </w:tcPr>
          <w:p w14:paraId="075313F0">
            <w:pPr>
              <w:pStyle w:val="4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snapToGrid w:val="0"/>
                <w:color w:val="auto"/>
                <w:spacing w:val="0"/>
                <w:kern w:val="0"/>
                <w:sz w:val="21"/>
                <w:szCs w:val="21"/>
                <w:lang w:val="en-US" w:eastAsia="zh-CN" w:bidi="ar"/>
              </w:rPr>
            </w:pPr>
            <w:r>
              <w:rPr>
                <w:rFonts w:hint="eastAsia" w:ascii="Times New Roman" w:hAnsi="Times New Roman" w:eastAsia="宋体" w:cs="Times New Roman"/>
                <w:b w:val="0"/>
                <w:bCs w:val="0"/>
                <w:color w:val="auto"/>
                <w:spacing w:val="-3"/>
                <w:sz w:val="21"/>
                <w:szCs w:val="21"/>
              </w:rPr>
              <w:t>一般危险</w:t>
            </w:r>
          </w:p>
        </w:tc>
      </w:tr>
    </w:tbl>
    <w:p w14:paraId="5634FA04">
      <w:pPr>
        <w:rPr>
          <w:rFonts w:hint="eastAsia"/>
          <w:color w:val="auto"/>
          <w:lang w:val="en-US" w:eastAsia="zh-CN"/>
        </w:rPr>
      </w:pPr>
      <w:bookmarkStart w:id="980" w:name="_Toc13091"/>
      <w:bookmarkStart w:id="981" w:name="_Toc32208"/>
      <w:bookmarkStart w:id="982" w:name="_Toc3359"/>
      <w:bookmarkStart w:id="983" w:name="_Toc3140"/>
      <w:r>
        <w:rPr>
          <w:rFonts w:hint="eastAsia" w:ascii="宋体" w:hAnsi="宋体"/>
          <w:color w:val="auto"/>
          <w:sz w:val="28"/>
          <w:szCs w:val="28"/>
        </w:rPr>
        <w:t>通过作业条件危险性分析评价，</w:t>
      </w:r>
      <w:r>
        <w:rPr>
          <w:rFonts w:hint="eastAsia"/>
          <w:color w:val="auto"/>
          <w:lang w:val="en-US" w:eastAsia="zh-CN"/>
        </w:rPr>
        <w:t>茅排金矿生产过程中潜在的危险因素共有17类，包括：</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_Toc13636 </w:instrText>
      </w:r>
      <w:r>
        <w:rPr>
          <w:rFonts w:hint="eastAsia"/>
          <w:color w:val="auto"/>
          <w:lang w:val="en-US" w:eastAsia="zh-CN"/>
        </w:rPr>
        <w:fldChar w:fldCharType="separate"/>
      </w:r>
      <w:r>
        <w:rPr>
          <w:rFonts w:hint="eastAsia"/>
          <w:color w:val="auto"/>
          <w:lang w:val="en-US" w:eastAsia="zh-CN"/>
        </w:rPr>
        <w:t>起重致害、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容器爆炸、管道爆炸</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_Toc20458 </w:instrText>
      </w:r>
      <w:r>
        <w:rPr>
          <w:rFonts w:hint="eastAsia"/>
          <w:color w:val="auto"/>
          <w:lang w:val="en-US" w:eastAsia="zh-CN"/>
        </w:rPr>
        <w:fldChar w:fldCharType="separate"/>
      </w:r>
      <w:r>
        <w:rPr>
          <w:rFonts w:hint="eastAsia"/>
          <w:color w:val="auto"/>
          <w:lang w:val="en-US" w:eastAsia="zh-CN"/>
        </w:rPr>
        <w:t>淹溺</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_Toc23228 </w:instrText>
      </w:r>
      <w:r>
        <w:rPr>
          <w:rFonts w:hint="eastAsia"/>
          <w:color w:val="auto"/>
          <w:lang w:val="en-US" w:eastAsia="zh-CN"/>
        </w:rPr>
        <w:fldChar w:fldCharType="separate"/>
      </w:r>
      <w:r>
        <w:rPr>
          <w:rFonts w:hint="eastAsia"/>
          <w:color w:val="auto"/>
          <w:lang w:val="en-US" w:eastAsia="zh-CN"/>
        </w:rPr>
        <w:t>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；有害因素有6类，包括粉尘、噪声、振动、有毒气体、有害气体、作业环境不良；</w:t>
      </w:r>
      <w:r>
        <w:rPr>
          <w:rFonts w:hint="eastAsia"/>
          <w:color w:val="auto"/>
        </w:rPr>
        <w:t>共有2</w:t>
      </w:r>
      <w:r>
        <w:rPr>
          <w:rFonts w:hint="eastAsia"/>
          <w:color w:val="auto"/>
          <w:lang w:val="en-US" w:eastAsia="zh-CN"/>
        </w:rPr>
        <w:t>3</w:t>
      </w:r>
      <w:r>
        <w:rPr>
          <w:rFonts w:hint="eastAsia"/>
          <w:color w:val="auto"/>
        </w:rPr>
        <w:t>类危险、有害因素</w:t>
      </w:r>
      <w:r>
        <w:rPr>
          <w:rFonts w:hint="eastAsia"/>
          <w:color w:val="auto"/>
          <w:lang w:eastAsia="zh-CN"/>
        </w:rPr>
        <w:t>，</w:t>
      </w:r>
      <w:r>
        <w:rPr>
          <w:rFonts w:hint="eastAsia"/>
          <w:color w:val="auto"/>
          <w:lang w:val="en-US" w:eastAsia="zh-CN"/>
        </w:rPr>
        <w:t>其中</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_Toc20458 </w:instrText>
      </w:r>
      <w:r>
        <w:rPr>
          <w:rFonts w:hint="eastAsia"/>
          <w:color w:val="auto"/>
          <w:lang w:val="en-US" w:eastAsia="zh-CN"/>
        </w:rPr>
        <w:fldChar w:fldCharType="separate"/>
      </w:r>
      <w:r>
        <w:rPr>
          <w:rFonts w:hint="eastAsia"/>
          <w:color w:val="auto"/>
          <w:lang w:val="en-US" w:eastAsia="zh-CN"/>
        </w:rPr>
        <w:t>淹溺</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_Toc23228 </w:instrText>
      </w:r>
      <w:r>
        <w:rPr>
          <w:rFonts w:hint="eastAsia"/>
          <w:color w:val="auto"/>
          <w:lang w:val="en-US" w:eastAsia="zh-CN"/>
        </w:rPr>
        <w:fldChar w:fldCharType="separate"/>
      </w:r>
      <w:r>
        <w:rPr>
          <w:rFonts w:hint="eastAsia"/>
          <w:color w:val="auto"/>
          <w:lang w:val="en-US" w:eastAsia="zh-CN"/>
        </w:rPr>
        <w:t>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、有毒气体、有害气体、作业环境不良</w:t>
      </w:r>
      <w:r>
        <w:rPr>
          <w:rFonts w:hint="eastAsia" w:ascii="宋体" w:hAnsi="宋体"/>
          <w:color w:val="auto"/>
          <w:sz w:val="28"/>
          <w:szCs w:val="28"/>
        </w:rPr>
        <w:t>等1</w:t>
      </w:r>
      <w:r>
        <w:rPr>
          <w:rFonts w:hint="eastAsia"/>
          <w:color w:val="auto"/>
          <w:sz w:val="28"/>
          <w:szCs w:val="28"/>
          <w:lang w:val="en-US" w:eastAsia="zh-CN"/>
        </w:rPr>
        <w:t>8</w:t>
      </w:r>
      <w:r>
        <w:rPr>
          <w:rFonts w:hint="eastAsia" w:ascii="宋体" w:hAnsi="宋体"/>
          <w:color w:val="auto"/>
          <w:sz w:val="28"/>
          <w:szCs w:val="28"/>
        </w:rPr>
        <w:t>种是主要危险、有害因素，危险程度为</w:t>
      </w:r>
      <w:r>
        <w:rPr>
          <w:rFonts w:hint="eastAsia" w:ascii="宋体" w:hAnsi="宋体"/>
          <w:color w:val="auto"/>
          <w:sz w:val="28"/>
          <w:szCs w:val="28"/>
          <w:lang w:val="en-US" w:eastAsia="zh-CN"/>
        </w:rPr>
        <w:t>一般</w:t>
      </w:r>
      <w:r>
        <w:rPr>
          <w:rFonts w:hint="eastAsia" w:ascii="宋体" w:hAnsi="宋体"/>
          <w:color w:val="auto"/>
          <w:sz w:val="28"/>
          <w:szCs w:val="28"/>
        </w:rPr>
        <w:t>危险，需要注意；</w:t>
      </w:r>
      <w:r>
        <w:rPr>
          <w:rFonts w:hint="eastAsia"/>
          <w:color w:val="auto"/>
          <w:lang w:val="en-US" w:eastAsia="zh-CN"/>
        </w:rPr>
        <w:fldChar w:fldCharType="begin"/>
      </w:r>
      <w:r>
        <w:rPr>
          <w:rFonts w:hint="eastAsia"/>
          <w:color w:val="auto"/>
          <w:lang w:val="en-US" w:eastAsia="zh-CN"/>
        </w:rPr>
        <w:instrText xml:space="preserve"> HYPERLINK \l _Toc13636 </w:instrText>
      </w:r>
      <w:r>
        <w:rPr>
          <w:rFonts w:hint="eastAsia"/>
          <w:color w:val="auto"/>
          <w:lang w:val="en-US" w:eastAsia="zh-CN"/>
        </w:rPr>
        <w:fldChar w:fldCharType="separate"/>
      </w:r>
      <w:r>
        <w:rPr>
          <w:rFonts w:hint="eastAsia"/>
          <w:color w:val="auto"/>
          <w:lang w:val="en-US" w:eastAsia="zh-CN"/>
        </w:rPr>
        <w:t>起重致害、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管道爆炸</w:t>
      </w:r>
      <w:r>
        <w:rPr>
          <w:rFonts w:hint="eastAsia"/>
          <w:color w:val="auto"/>
          <w:lang w:val="en-US" w:eastAsia="zh-CN"/>
        </w:rPr>
        <w:fldChar w:fldCharType="end"/>
      </w:r>
      <w:r>
        <w:rPr>
          <w:rFonts w:hint="eastAsia"/>
          <w:color w:val="auto"/>
          <w:lang w:val="en-US" w:eastAsia="zh-CN"/>
        </w:rPr>
        <w:t>、粉尘、噪声、振动</w:t>
      </w:r>
      <w:r>
        <w:rPr>
          <w:rFonts w:hint="eastAsia" w:ascii="宋体" w:hAnsi="宋体"/>
          <w:color w:val="auto"/>
          <w:sz w:val="28"/>
          <w:szCs w:val="28"/>
        </w:rPr>
        <w:t>等</w:t>
      </w:r>
      <w:r>
        <w:rPr>
          <w:rFonts w:hint="eastAsia"/>
          <w:color w:val="auto"/>
          <w:sz w:val="28"/>
          <w:szCs w:val="28"/>
          <w:lang w:val="en-US" w:eastAsia="zh-CN"/>
        </w:rPr>
        <w:t>5</w:t>
      </w:r>
      <w:r>
        <w:rPr>
          <w:rFonts w:hint="eastAsia" w:ascii="宋体" w:hAnsi="宋体"/>
          <w:color w:val="auto"/>
          <w:sz w:val="28"/>
          <w:szCs w:val="28"/>
        </w:rPr>
        <w:t>种危险、有害因素，危险程度为稍有危险，可以接受。</w:t>
      </w:r>
    </w:p>
    <w:p w14:paraId="698612F1">
      <w:pPr>
        <w:pStyle w:val="5"/>
        <w:bidi w:val="0"/>
        <w:rPr>
          <w:rFonts w:hint="eastAsia"/>
          <w:color w:val="auto"/>
          <w:lang w:val="en-US" w:eastAsia="zh-CN"/>
        </w:rPr>
      </w:pPr>
      <w:r>
        <w:rPr>
          <w:rFonts w:hint="eastAsia"/>
          <w:color w:val="auto"/>
          <w:lang w:val="en-US" w:eastAsia="zh-CN"/>
        </w:rPr>
        <w:t>5.12.2 安全检查表综合评价</w:t>
      </w:r>
      <w:bookmarkEnd w:id="980"/>
      <w:bookmarkEnd w:id="981"/>
      <w:bookmarkEnd w:id="982"/>
      <w:bookmarkEnd w:id="983"/>
    </w:p>
    <w:p w14:paraId="6253B287">
      <w:pPr>
        <w:bidi w:val="0"/>
        <w:rPr>
          <w:rFonts w:hint="eastAsia"/>
          <w:color w:val="auto"/>
          <w:lang w:val="en-US" w:eastAsia="zh-CN"/>
        </w:rPr>
      </w:pPr>
      <w:r>
        <w:rPr>
          <w:rFonts w:hint="eastAsia"/>
          <w:color w:val="auto"/>
          <w:lang w:val="en-US" w:eastAsia="zh-CN"/>
        </w:rPr>
        <w:t>茅排金矿</w:t>
      </w:r>
      <w:r>
        <w:rPr>
          <w:rFonts w:hint="eastAsia"/>
          <w:color w:val="auto"/>
        </w:rPr>
        <w:t>地下开采生产系统、辅助生产系统和安全保障系统，根据其功能分为综合管理、开采综合系统、井下爆破系统、矿井通风与防尘系统、电气安全系统、运输系统、防排水</w:t>
      </w:r>
      <w:r>
        <w:rPr>
          <w:rFonts w:hint="eastAsia"/>
          <w:color w:val="auto"/>
          <w:lang w:val="en-US" w:eastAsia="zh-CN"/>
        </w:rPr>
        <w:t>和</w:t>
      </w:r>
      <w:r>
        <w:rPr>
          <w:rFonts w:hint="eastAsia"/>
          <w:color w:val="auto"/>
        </w:rPr>
        <w:t>防雷电系统、井下消防供水系统、</w:t>
      </w:r>
      <w:r>
        <w:rPr>
          <w:rFonts w:hint="eastAsia"/>
          <w:color w:val="auto"/>
          <w:lang w:val="en-US" w:eastAsia="zh-CN"/>
        </w:rPr>
        <w:t>废石场单元、</w:t>
      </w:r>
      <w:r>
        <w:rPr>
          <w:rFonts w:hint="eastAsia"/>
          <w:color w:val="auto"/>
        </w:rPr>
        <w:t>井下供气系统10个子系统。通过充分辨识矿井生产、辅助生产及安全保障系统中存在的危险、有害因素，建立矿井综合安全生产条件评价指标体系。再根据各子系统的评价结果汇总得到全矿井的综合安全生产条件评价结果，</w:t>
      </w:r>
      <w:r>
        <w:rPr>
          <w:rFonts w:hint="eastAsia"/>
          <w:color w:val="auto"/>
          <w:lang w:val="en-US" w:eastAsia="zh-CN"/>
        </w:rPr>
        <w:t>安全检查表综合评价见表5.12-2。</w:t>
      </w:r>
    </w:p>
    <w:p w14:paraId="5AD4FA34">
      <w:pPr>
        <w:bidi w:val="0"/>
        <w:jc w:val="center"/>
        <w:rPr>
          <w:rFonts w:hint="eastAsia"/>
          <w:color w:val="auto"/>
          <w:lang w:val="en-US" w:eastAsia="zh-CN"/>
        </w:rPr>
      </w:pPr>
      <w:r>
        <w:rPr>
          <w:rFonts w:hint="eastAsia"/>
          <w:color w:val="auto"/>
          <w:lang w:val="en-US" w:eastAsia="zh-CN"/>
        </w:rPr>
        <w:t>表 5.12-2 安全检查表综合评价表</w:t>
      </w:r>
    </w:p>
    <w:tbl>
      <w:tblPr>
        <w:tblStyle w:val="27"/>
        <w:tblW w:w="84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2"/>
        <w:gridCol w:w="2223"/>
        <w:gridCol w:w="827"/>
        <w:gridCol w:w="898"/>
        <w:gridCol w:w="898"/>
        <w:gridCol w:w="856"/>
        <w:gridCol w:w="992"/>
        <w:gridCol w:w="1031"/>
      </w:tblGrid>
      <w:tr w14:paraId="7436A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jc w:val="center"/>
        </w:trPr>
        <w:tc>
          <w:tcPr>
            <w:tcW w:w="712" w:type="dxa"/>
            <w:tcBorders>
              <w:right w:val="single" w:color="000000" w:sz="4" w:space="0"/>
            </w:tcBorders>
            <w:vAlign w:val="center"/>
          </w:tcPr>
          <w:p w14:paraId="46C568DF">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序号</w:t>
            </w:r>
          </w:p>
        </w:tc>
        <w:tc>
          <w:tcPr>
            <w:tcW w:w="2223" w:type="dxa"/>
            <w:tcBorders>
              <w:left w:val="single" w:color="000000" w:sz="4" w:space="0"/>
              <w:right w:val="single" w:color="000000" w:sz="4" w:space="0"/>
            </w:tcBorders>
            <w:vAlign w:val="center"/>
          </w:tcPr>
          <w:p w14:paraId="04A17E8C">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评价单元</w:t>
            </w:r>
          </w:p>
        </w:tc>
        <w:tc>
          <w:tcPr>
            <w:tcW w:w="827" w:type="dxa"/>
            <w:tcBorders>
              <w:left w:val="single" w:color="000000" w:sz="4" w:space="0"/>
              <w:right w:val="single" w:color="000000" w:sz="4" w:space="0"/>
            </w:tcBorders>
            <w:vAlign w:val="center"/>
          </w:tcPr>
          <w:p w14:paraId="5765C4E5">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总分</w:t>
            </w:r>
          </w:p>
        </w:tc>
        <w:tc>
          <w:tcPr>
            <w:tcW w:w="898" w:type="dxa"/>
            <w:tcBorders>
              <w:left w:val="single" w:color="000000" w:sz="4" w:space="0"/>
              <w:right w:val="single" w:color="000000" w:sz="4" w:space="0"/>
            </w:tcBorders>
            <w:vAlign w:val="center"/>
          </w:tcPr>
          <w:p w14:paraId="33EB89A4">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无关项分</w:t>
            </w:r>
          </w:p>
        </w:tc>
        <w:tc>
          <w:tcPr>
            <w:tcW w:w="898" w:type="dxa"/>
            <w:tcBorders>
              <w:left w:val="single" w:color="000000" w:sz="4" w:space="0"/>
              <w:right w:val="single" w:color="000000" w:sz="4" w:space="0"/>
            </w:tcBorders>
            <w:vAlign w:val="center"/>
          </w:tcPr>
          <w:p w14:paraId="69DD1E13">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应得分</w:t>
            </w:r>
          </w:p>
        </w:tc>
        <w:tc>
          <w:tcPr>
            <w:tcW w:w="856" w:type="dxa"/>
            <w:tcBorders>
              <w:left w:val="single" w:color="000000" w:sz="4" w:space="0"/>
              <w:right w:val="single" w:color="000000" w:sz="4" w:space="0"/>
            </w:tcBorders>
            <w:vAlign w:val="center"/>
          </w:tcPr>
          <w:p w14:paraId="6D4BAE5C">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扣分</w:t>
            </w:r>
          </w:p>
        </w:tc>
        <w:tc>
          <w:tcPr>
            <w:tcW w:w="992" w:type="dxa"/>
            <w:tcBorders>
              <w:left w:val="single" w:color="000000" w:sz="4" w:space="0"/>
              <w:right w:val="single" w:color="000000" w:sz="4" w:space="0"/>
            </w:tcBorders>
            <w:vAlign w:val="center"/>
          </w:tcPr>
          <w:p w14:paraId="4E39C38D">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实得分</w:t>
            </w:r>
          </w:p>
        </w:tc>
        <w:tc>
          <w:tcPr>
            <w:tcW w:w="1031" w:type="dxa"/>
            <w:tcBorders>
              <w:left w:val="single" w:color="000000" w:sz="4" w:space="0"/>
            </w:tcBorders>
            <w:vAlign w:val="center"/>
          </w:tcPr>
          <w:p w14:paraId="0DDDAF88">
            <w:pPr>
              <w:keepNext w:val="0"/>
              <w:keepLines w:val="0"/>
              <w:pageBreakBefore w:val="0"/>
              <w:widowControl/>
              <w:kinsoku w:val="0"/>
              <w:wordWrap/>
              <w:overflowPunct/>
              <w:topLinePunct w:val="0"/>
              <w:autoSpaceDE/>
              <w:autoSpaceDN/>
              <w:bidi w:val="0"/>
              <w:adjustRightInd w:val="0"/>
              <w:snapToGrid w:val="0"/>
              <w:spacing w:before="121" w:line="240" w:lineRule="exact"/>
              <w:ind w:left="0" w:leftChars="0" w:firstLine="0" w:firstLineChars="0"/>
              <w:jc w:val="center"/>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得分率</w:t>
            </w:r>
          </w:p>
        </w:tc>
      </w:tr>
      <w:tr w14:paraId="6FF4D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338A0DC6">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1</w:t>
            </w:r>
          </w:p>
        </w:tc>
        <w:tc>
          <w:tcPr>
            <w:tcW w:w="2223" w:type="dxa"/>
            <w:tcBorders>
              <w:left w:val="single" w:color="000000" w:sz="4" w:space="0"/>
              <w:right w:val="single" w:color="000000" w:sz="4" w:space="0"/>
            </w:tcBorders>
            <w:vAlign w:val="center"/>
          </w:tcPr>
          <w:p w14:paraId="3939AAE2">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综合管理单元</w:t>
            </w:r>
          </w:p>
        </w:tc>
        <w:tc>
          <w:tcPr>
            <w:tcW w:w="827" w:type="dxa"/>
            <w:tcBorders>
              <w:left w:val="single" w:color="000000" w:sz="4" w:space="0"/>
              <w:right w:val="single" w:color="000000" w:sz="4" w:space="0"/>
            </w:tcBorders>
            <w:vAlign w:val="center"/>
          </w:tcPr>
          <w:p w14:paraId="40DF8FEE">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124</w:t>
            </w:r>
          </w:p>
        </w:tc>
        <w:tc>
          <w:tcPr>
            <w:tcW w:w="898" w:type="dxa"/>
            <w:tcBorders>
              <w:left w:val="single" w:color="000000" w:sz="4" w:space="0"/>
              <w:right w:val="single" w:color="000000" w:sz="4" w:space="0"/>
            </w:tcBorders>
            <w:vAlign w:val="center"/>
          </w:tcPr>
          <w:p w14:paraId="70231915">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10</w:t>
            </w:r>
          </w:p>
        </w:tc>
        <w:tc>
          <w:tcPr>
            <w:tcW w:w="898" w:type="dxa"/>
            <w:tcBorders>
              <w:left w:val="single" w:color="000000" w:sz="4" w:space="0"/>
              <w:right w:val="single" w:color="000000" w:sz="4" w:space="0"/>
            </w:tcBorders>
            <w:vAlign w:val="center"/>
          </w:tcPr>
          <w:p w14:paraId="40A37508">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114</w:t>
            </w:r>
          </w:p>
        </w:tc>
        <w:tc>
          <w:tcPr>
            <w:tcW w:w="856" w:type="dxa"/>
            <w:tcBorders>
              <w:left w:val="single" w:color="000000" w:sz="4" w:space="0"/>
              <w:right w:val="single" w:color="000000" w:sz="4" w:space="0"/>
            </w:tcBorders>
            <w:vAlign w:val="center"/>
          </w:tcPr>
          <w:p w14:paraId="40624E1C">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w:t>
            </w:r>
            <w:r>
              <w:rPr>
                <w:rFonts w:hint="eastAsia" w:ascii="Times New Roman" w:hAnsi="Times New Roman" w:cs="Times New Roman"/>
                <w:color w:val="auto"/>
                <w:sz w:val="21"/>
                <w:szCs w:val="21"/>
                <w:lang w:val="en-US" w:eastAsia="zh-CN"/>
              </w:rPr>
              <w:t>1</w:t>
            </w:r>
          </w:p>
        </w:tc>
        <w:tc>
          <w:tcPr>
            <w:tcW w:w="992" w:type="dxa"/>
            <w:tcBorders>
              <w:left w:val="single" w:color="000000" w:sz="4" w:space="0"/>
              <w:right w:val="single" w:color="000000" w:sz="4" w:space="0"/>
            </w:tcBorders>
            <w:vAlign w:val="center"/>
          </w:tcPr>
          <w:p w14:paraId="48EE04B6">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10</w:t>
            </w:r>
            <w:r>
              <w:rPr>
                <w:rFonts w:hint="eastAsia" w:ascii="Times New Roman" w:hAnsi="Times New Roman" w:cs="Times New Roman"/>
                <w:color w:val="auto"/>
                <w:sz w:val="21"/>
                <w:szCs w:val="21"/>
                <w:lang w:val="en-US" w:eastAsia="zh-CN"/>
              </w:rPr>
              <w:t>3</w:t>
            </w:r>
          </w:p>
        </w:tc>
        <w:tc>
          <w:tcPr>
            <w:tcW w:w="1031" w:type="dxa"/>
            <w:tcBorders>
              <w:left w:val="single" w:color="000000" w:sz="4" w:space="0"/>
            </w:tcBorders>
            <w:vAlign w:val="center"/>
          </w:tcPr>
          <w:p w14:paraId="09C63DC9">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color w:val="auto"/>
                <w:sz w:val="21"/>
                <w:szCs w:val="21"/>
                <w:lang w:val="en-US" w:eastAsia="zh-CN"/>
              </w:rPr>
              <w:t>90.35</w:t>
            </w:r>
            <w:r>
              <w:rPr>
                <w:rFonts w:hint="eastAsia" w:ascii="Times New Roman" w:hAnsi="Times New Roman" w:eastAsia="宋体" w:cs="Times New Roman"/>
                <w:color w:val="auto"/>
                <w:sz w:val="21"/>
                <w:szCs w:val="21"/>
                <w:lang w:val="en-US" w:eastAsia="zh-CN"/>
              </w:rPr>
              <w:t>%</w:t>
            </w:r>
          </w:p>
        </w:tc>
      </w:tr>
      <w:tr w14:paraId="4F384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1E10575A">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2</w:t>
            </w:r>
          </w:p>
        </w:tc>
        <w:tc>
          <w:tcPr>
            <w:tcW w:w="2223" w:type="dxa"/>
            <w:tcBorders>
              <w:left w:val="single" w:color="000000" w:sz="4" w:space="0"/>
              <w:right w:val="single" w:color="000000" w:sz="4" w:space="0"/>
            </w:tcBorders>
            <w:vAlign w:val="center"/>
          </w:tcPr>
          <w:p w14:paraId="64B72A6D">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开采综合单元</w:t>
            </w:r>
          </w:p>
        </w:tc>
        <w:tc>
          <w:tcPr>
            <w:tcW w:w="827" w:type="dxa"/>
            <w:tcBorders>
              <w:left w:val="single" w:color="000000" w:sz="4" w:space="0"/>
              <w:right w:val="single" w:color="000000" w:sz="4" w:space="0"/>
            </w:tcBorders>
            <w:vAlign w:val="center"/>
          </w:tcPr>
          <w:p w14:paraId="0F4D3247">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rPr>
              <w:t>80</w:t>
            </w:r>
          </w:p>
        </w:tc>
        <w:tc>
          <w:tcPr>
            <w:tcW w:w="898" w:type="dxa"/>
            <w:tcBorders>
              <w:left w:val="single" w:color="000000" w:sz="4" w:space="0"/>
              <w:right w:val="single" w:color="000000" w:sz="4" w:space="0"/>
            </w:tcBorders>
            <w:vAlign w:val="center"/>
          </w:tcPr>
          <w:p w14:paraId="0AD23257">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26</w:t>
            </w:r>
          </w:p>
        </w:tc>
        <w:tc>
          <w:tcPr>
            <w:tcW w:w="898" w:type="dxa"/>
            <w:tcBorders>
              <w:left w:val="single" w:color="000000" w:sz="4" w:space="0"/>
              <w:right w:val="single" w:color="000000" w:sz="4" w:space="0"/>
            </w:tcBorders>
            <w:vAlign w:val="center"/>
          </w:tcPr>
          <w:p w14:paraId="36F52E0E">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54</w:t>
            </w:r>
          </w:p>
        </w:tc>
        <w:tc>
          <w:tcPr>
            <w:tcW w:w="856" w:type="dxa"/>
            <w:tcBorders>
              <w:left w:val="single" w:color="000000" w:sz="4" w:space="0"/>
              <w:right w:val="single" w:color="000000" w:sz="4" w:space="0"/>
            </w:tcBorders>
            <w:vAlign w:val="center"/>
          </w:tcPr>
          <w:p w14:paraId="265EBBAF">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13</w:t>
            </w:r>
          </w:p>
        </w:tc>
        <w:tc>
          <w:tcPr>
            <w:tcW w:w="992" w:type="dxa"/>
            <w:tcBorders>
              <w:left w:val="single" w:color="000000" w:sz="4" w:space="0"/>
              <w:right w:val="single" w:color="000000" w:sz="4" w:space="0"/>
            </w:tcBorders>
            <w:vAlign w:val="center"/>
          </w:tcPr>
          <w:p w14:paraId="0EFB1C6D">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41</w:t>
            </w:r>
          </w:p>
        </w:tc>
        <w:tc>
          <w:tcPr>
            <w:tcW w:w="1031" w:type="dxa"/>
            <w:tcBorders>
              <w:left w:val="single" w:color="000000" w:sz="4" w:space="0"/>
            </w:tcBorders>
            <w:vAlign w:val="center"/>
          </w:tcPr>
          <w:p w14:paraId="3132E683">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75.93</w:t>
            </w:r>
            <w:r>
              <w:rPr>
                <w:rFonts w:hint="eastAsia" w:ascii="Times New Roman" w:hAnsi="Times New Roman" w:eastAsia="宋体" w:cs="Times New Roman"/>
                <w:color w:val="auto"/>
                <w:sz w:val="21"/>
                <w:szCs w:val="21"/>
              </w:rPr>
              <w:t>%</w:t>
            </w:r>
          </w:p>
        </w:tc>
      </w:tr>
      <w:tr w14:paraId="6C09A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2AA267FC">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3</w:t>
            </w:r>
          </w:p>
        </w:tc>
        <w:tc>
          <w:tcPr>
            <w:tcW w:w="2223" w:type="dxa"/>
            <w:tcBorders>
              <w:left w:val="single" w:color="000000" w:sz="4" w:space="0"/>
              <w:right w:val="single" w:color="000000" w:sz="4" w:space="0"/>
            </w:tcBorders>
            <w:vAlign w:val="center"/>
          </w:tcPr>
          <w:p w14:paraId="3D6AB4AF">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爆破单元</w:t>
            </w:r>
          </w:p>
        </w:tc>
        <w:tc>
          <w:tcPr>
            <w:tcW w:w="827" w:type="dxa"/>
            <w:tcBorders>
              <w:left w:val="single" w:color="000000" w:sz="4" w:space="0"/>
              <w:right w:val="single" w:color="000000" w:sz="4" w:space="0"/>
            </w:tcBorders>
            <w:vAlign w:val="center"/>
          </w:tcPr>
          <w:p w14:paraId="2CA12198">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rPr>
              <w:t>40</w:t>
            </w:r>
          </w:p>
        </w:tc>
        <w:tc>
          <w:tcPr>
            <w:tcW w:w="898" w:type="dxa"/>
            <w:tcBorders>
              <w:left w:val="single" w:color="000000" w:sz="4" w:space="0"/>
              <w:right w:val="single" w:color="000000" w:sz="4" w:space="0"/>
            </w:tcBorders>
            <w:vAlign w:val="center"/>
          </w:tcPr>
          <w:p w14:paraId="6FF21961">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9</w:t>
            </w:r>
          </w:p>
        </w:tc>
        <w:tc>
          <w:tcPr>
            <w:tcW w:w="898" w:type="dxa"/>
            <w:tcBorders>
              <w:left w:val="single" w:color="000000" w:sz="4" w:space="0"/>
              <w:right w:val="single" w:color="000000" w:sz="4" w:space="0"/>
            </w:tcBorders>
            <w:vAlign w:val="center"/>
          </w:tcPr>
          <w:p w14:paraId="098F549B">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31</w:t>
            </w:r>
          </w:p>
        </w:tc>
        <w:tc>
          <w:tcPr>
            <w:tcW w:w="856" w:type="dxa"/>
            <w:tcBorders>
              <w:left w:val="single" w:color="000000" w:sz="4" w:space="0"/>
              <w:right w:val="single" w:color="000000" w:sz="4" w:space="0"/>
            </w:tcBorders>
            <w:vAlign w:val="center"/>
          </w:tcPr>
          <w:p w14:paraId="1D81F9A2">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2</w:t>
            </w:r>
          </w:p>
        </w:tc>
        <w:tc>
          <w:tcPr>
            <w:tcW w:w="992" w:type="dxa"/>
            <w:tcBorders>
              <w:left w:val="single" w:color="000000" w:sz="4" w:space="0"/>
              <w:right w:val="single" w:color="000000" w:sz="4" w:space="0"/>
            </w:tcBorders>
            <w:vAlign w:val="center"/>
          </w:tcPr>
          <w:p w14:paraId="1EB4FF12">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29</w:t>
            </w:r>
          </w:p>
        </w:tc>
        <w:tc>
          <w:tcPr>
            <w:tcW w:w="1031" w:type="dxa"/>
            <w:tcBorders>
              <w:left w:val="single" w:color="000000" w:sz="4" w:space="0"/>
            </w:tcBorders>
            <w:vAlign w:val="center"/>
          </w:tcPr>
          <w:p w14:paraId="4294D6E2">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93.55</w:t>
            </w:r>
            <w:r>
              <w:rPr>
                <w:rFonts w:hint="eastAsia" w:ascii="Times New Roman" w:hAnsi="Times New Roman" w:eastAsia="宋体" w:cs="Times New Roman"/>
                <w:color w:val="auto"/>
                <w:sz w:val="21"/>
                <w:szCs w:val="21"/>
              </w:rPr>
              <w:t>%</w:t>
            </w:r>
          </w:p>
        </w:tc>
      </w:tr>
      <w:tr w14:paraId="2FA65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56766104">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w:t>
            </w:r>
          </w:p>
        </w:tc>
        <w:tc>
          <w:tcPr>
            <w:tcW w:w="2223" w:type="dxa"/>
            <w:tcBorders>
              <w:left w:val="single" w:color="000000" w:sz="4" w:space="0"/>
              <w:right w:val="single" w:color="000000" w:sz="4" w:space="0"/>
            </w:tcBorders>
            <w:vAlign w:val="center"/>
          </w:tcPr>
          <w:p w14:paraId="01454373">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矿井通风与防尘单元</w:t>
            </w:r>
          </w:p>
        </w:tc>
        <w:tc>
          <w:tcPr>
            <w:tcW w:w="827" w:type="dxa"/>
            <w:tcBorders>
              <w:left w:val="single" w:color="000000" w:sz="4" w:space="0"/>
              <w:right w:val="single" w:color="000000" w:sz="4" w:space="0"/>
            </w:tcBorders>
            <w:vAlign w:val="center"/>
          </w:tcPr>
          <w:p w14:paraId="7C8B02DC">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30</w:t>
            </w:r>
          </w:p>
        </w:tc>
        <w:tc>
          <w:tcPr>
            <w:tcW w:w="898" w:type="dxa"/>
            <w:tcBorders>
              <w:left w:val="single" w:color="000000" w:sz="4" w:space="0"/>
              <w:right w:val="single" w:color="000000" w:sz="4" w:space="0"/>
            </w:tcBorders>
            <w:vAlign w:val="center"/>
          </w:tcPr>
          <w:p w14:paraId="387A9FFD">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2</w:t>
            </w:r>
          </w:p>
        </w:tc>
        <w:tc>
          <w:tcPr>
            <w:tcW w:w="898" w:type="dxa"/>
            <w:tcBorders>
              <w:left w:val="single" w:color="000000" w:sz="4" w:space="0"/>
              <w:right w:val="single" w:color="000000" w:sz="4" w:space="0"/>
            </w:tcBorders>
            <w:vAlign w:val="center"/>
          </w:tcPr>
          <w:p w14:paraId="04F1CDD6">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28</w:t>
            </w:r>
          </w:p>
        </w:tc>
        <w:tc>
          <w:tcPr>
            <w:tcW w:w="856" w:type="dxa"/>
            <w:tcBorders>
              <w:left w:val="single" w:color="000000" w:sz="4" w:space="0"/>
              <w:right w:val="single" w:color="000000" w:sz="4" w:space="0"/>
            </w:tcBorders>
            <w:vAlign w:val="center"/>
          </w:tcPr>
          <w:p w14:paraId="13CEDD48">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color w:val="auto"/>
                <w:sz w:val="21"/>
                <w:szCs w:val="21"/>
                <w:lang w:val="en-US" w:eastAsia="zh-CN"/>
              </w:rPr>
              <w:t>1</w:t>
            </w:r>
          </w:p>
        </w:tc>
        <w:tc>
          <w:tcPr>
            <w:tcW w:w="992" w:type="dxa"/>
            <w:tcBorders>
              <w:left w:val="single" w:color="000000" w:sz="4" w:space="0"/>
              <w:right w:val="single" w:color="000000" w:sz="4" w:space="0"/>
            </w:tcBorders>
            <w:vAlign w:val="center"/>
          </w:tcPr>
          <w:p w14:paraId="375A0E6D">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2</w:t>
            </w:r>
            <w:r>
              <w:rPr>
                <w:rFonts w:hint="eastAsia" w:ascii="Times New Roman" w:hAnsi="Times New Roman" w:cs="Times New Roman"/>
                <w:color w:val="auto"/>
                <w:sz w:val="21"/>
                <w:szCs w:val="21"/>
                <w:lang w:val="en-US" w:eastAsia="zh-CN"/>
              </w:rPr>
              <w:t>7</w:t>
            </w:r>
          </w:p>
        </w:tc>
        <w:tc>
          <w:tcPr>
            <w:tcW w:w="1031" w:type="dxa"/>
            <w:tcBorders>
              <w:left w:val="single" w:color="000000" w:sz="4" w:space="0"/>
            </w:tcBorders>
            <w:vAlign w:val="center"/>
          </w:tcPr>
          <w:p w14:paraId="38EB1015">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9</w:t>
            </w:r>
            <w:r>
              <w:rPr>
                <w:rFonts w:hint="eastAsia" w:ascii="Times New Roman" w:hAnsi="Times New Roman" w:cs="Times New Roman"/>
                <w:color w:val="auto"/>
                <w:sz w:val="21"/>
                <w:szCs w:val="21"/>
                <w:lang w:val="en-US" w:eastAsia="zh-CN"/>
              </w:rPr>
              <w:t>6</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43</w:t>
            </w:r>
            <w:r>
              <w:rPr>
                <w:rFonts w:hint="eastAsia" w:ascii="Times New Roman" w:hAnsi="Times New Roman" w:eastAsia="宋体" w:cs="Times New Roman"/>
                <w:color w:val="auto"/>
                <w:sz w:val="21"/>
                <w:szCs w:val="21"/>
                <w:lang w:val="en-US" w:eastAsia="zh-CN"/>
              </w:rPr>
              <w:t>%</w:t>
            </w:r>
          </w:p>
        </w:tc>
      </w:tr>
      <w:tr w14:paraId="23F61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5A59D80B">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w:t>
            </w:r>
          </w:p>
        </w:tc>
        <w:tc>
          <w:tcPr>
            <w:tcW w:w="2223" w:type="dxa"/>
            <w:tcBorders>
              <w:left w:val="single" w:color="000000" w:sz="4" w:space="0"/>
              <w:right w:val="single" w:color="000000" w:sz="4" w:space="0"/>
            </w:tcBorders>
            <w:vAlign w:val="center"/>
          </w:tcPr>
          <w:p w14:paraId="75EDB179">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电气安全单元</w:t>
            </w:r>
          </w:p>
        </w:tc>
        <w:tc>
          <w:tcPr>
            <w:tcW w:w="827" w:type="dxa"/>
            <w:tcBorders>
              <w:left w:val="single" w:color="000000" w:sz="4" w:space="0"/>
              <w:right w:val="single" w:color="000000" w:sz="4" w:space="0"/>
            </w:tcBorders>
            <w:shd w:val="clear" w:color="auto" w:fill="auto"/>
            <w:vAlign w:val="center"/>
          </w:tcPr>
          <w:p w14:paraId="4E9BF01F">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spacing w:val="0"/>
                <w:kern w:val="0"/>
                <w:sz w:val="21"/>
                <w:szCs w:val="21"/>
                <w:lang w:val="en-US" w:eastAsia="zh-CN" w:bidi="ar"/>
              </w:rPr>
            </w:pPr>
            <w:r>
              <w:rPr>
                <w:rFonts w:hint="eastAsia" w:ascii="Times New Roman" w:hAnsi="Times New Roman" w:eastAsia="宋体" w:cs="Times New Roman"/>
                <w:color w:val="auto"/>
                <w:sz w:val="21"/>
                <w:szCs w:val="21"/>
                <w:lang w:val="en-US" w:eastAsia="zh-CN"/>
              </w:rPr>
              <w:t>30</w:t>
            </w:r>
          </w:p>
        </w:tc>
        <w:tc>
          <w:tcPr>
            <w:tcW w:w="898" w:type="dxa"/>
            <w:tcBorders>
              <w:left w:val="single" w:color="000000" w:sz="4" w:space="0"/>
              <w:right w:val="single" w:color="000000" w:sz="4" w:space="0"/>
            </w:tcBorders>
            <w:shd w:val="clear" w:color="auto" w:fill="auto"/>
            <w:vAlign w:val="center"/>
          </w:tcPr>
          <w:p w14:paraId="6CC7AC23">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spacing w:val="0"/>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6</w:t>
            </w:r>
          </w:p>
        </w:tc>
        <w:tc>
          <w:tcPr>
            <w:tcW w:w="898" w:type="dxa"/>
            <w:tcBorders>
              <w:left w:val="single" w:color="000000" w:sz="4" w:space="0"/>
              <w:right w:val="single" w:color="000000" w:sz="4" w:space="0"/>
            </w:tcBorders>
            <w:shd w:val="clear" w:color="auto" w:fill="auto"/>
            <w:vAlign w:val="center"/>
          </w:tcPr>
          <w:p w14:paraId="104A2D53">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spacing w:val="0"/>
                <w:kern w:val="0"/>
                <w:sz w:val="21"/>
                <w:szCs w:val="21"/>
                <w:lang w:val="en-US" w:eastAsia="zh-CN" w:bidi="ar"/>
              </w:rPr>
            </w:pPr>
            <w:r>
              <w:rPr>
                <w:rFonts w:hint="eastAsia" w:ascii="Times New Roman" w:hAnsi="Times New Roman" w:eastAsia="宋体" w:cs="Times New Roman"/>
                <w:color w:val="auto"/>
                <w:sz w:val="21"/>
                <w:szCs w:val="21"/>
                <w:lang w:val="en-US" w:eastAsia="zh-CN"/>
              </w:rPr>
              <w:t>24</w:t>
            </w:r>
          </w:p>
        </w:tc>
        <w:tc>
          <w:tcPr>
            <w:tcW w:w="856" w:type="dxa"/>
            <w:tcBorders>
              <w:left w:val="single" w:color="000000" w:sz="4" w:space="0"/>
              <w:right w:val="single" w:color="000000" w:sz="4" w:space="0"/>
            </w:tcBorders>
            <w:shd w:val="clear" w:color="auto" w:fill="auto"/>
            <w:vAlign w:val="center"/>
          </w:tcPr>
          <w:p w14:paraId="5B0732F7">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spacing w:val="0"/>
                <w:kern w:val="0"/>
                <w:sz w:val="21"/>
                <w:szCs w:val="21"/>
                <w:lang w:val="en-US" w:eastAsia="zh-CN" w:bidi="ar"/>
              </w:rPr>
            </w:pPr>
            <w:r>
              <w:rPr>
                <w:rFonts w:hint="eastAsia" w:ascii="Times New Roman" w:hAnsi="Times New Roman" w:eastAsia="宋体" w:cs="Times New Roman"/>
                <w:color w:val="auto"/>
                <w:sz w:val="21"/>
                <w:szCs w:val="21"/>
                <w:lang w:val="en-US" w:eastAsia="zh-CN"/>
              </w:rPr>
              <w:t>4</w:t>
            </w:r>
          </w:p>
        </w:tc>
        <w:tc>
          <w:tcPr>
            <w:tcW w:w="992" w:type="dxa"/>
            <w:tcBorders>
              <w:left w:val="single" w:color="000000" w:sz="4" w:space="0"/>
              <w:right w:val="single" w:color="000000" w:sz="4" w:space="0"/>
            </w:tcBorders>
            <w:shd w:val="clear" w:color="auto" w:fill="auto"/>
            <w:vAlign w:val="center"/>
          </w:tcPr>
          <w:p w14:paraId="30421144">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spacing w:val="0"/>
                <w:kern w:val="0"/>
                <w:sz w:val="21"/>
                <w:szCs w:val="21"/>
                <w:lang w:val="en-US" w:eastAsia="zh-CN" w:bidi="ar"/>
              </w:rPr>
            </w:pPr>
            <w:r>
              <w:rPr>
                <w:rFonts w:hint="eastAsia" w:ascii="Times New Roman" w:hAnsi="Times New Roman" w:eastAsia="宋体" w:cs="Times New Roman"/>
                <w:color w:val="auto"/>
                <w:sz w:val="21"/>
                <w:szCs w:val="21"/>
                <w:lang w:val="en-US" w:eastAsia="zh-CN"/>
              </w:rPr>
              <w:t>20</w:t>
            </w:r>
          </w:p>
        </w:tc>
        <w:tc>
          <w:tcPr>
            <w:tcW w:w="1031" w:type="dxa"/>
            <w:tcBorders>
              <w:left w:val="single" w:color="000000" w:sz="4" w:space="0"/>
            </w:tcBorders>
            <w:shd w:val="clear" w:color="auto" w:fill="auto"/>
            <w:vAlign w:val="center"/>
          </w:tcPr>
          <w:p w14:paraId="24C0BCB0">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spacing w:val="0"/>
                <w:kern w:val="0"/>
                <w:sz w:val="21"/>
                <w:szCs w:val="21"/>
                <w:lang w:val="en-US" w:eastAsia="zh-CN" w:bidi="ar"/>
              </w:rPr>
            </w:pPr>
            <w:r>
              <w:rPr>
                <w:rFonts w:hint="eastAsia" w:ascii="Times New Roman" w:hAnsi="Times New Roman" w:eastAsia="宋体" w:cs="Times New Roman"/>
                <w:color w:val="auto"/>
                <w:sz w:val="21"/>
                <w:szCs w:val="21"/>
                <w:lang w:val="en-US" w:eastAsia="zh-CN"/>
              </w:rPr>
              <w:t>83.33%</w:t>
            </w:r>
          </w:p>
        </w:tc>
      </w:tr>
      <w:tr w14:paraId="4FAF2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6B408F93">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6</w:t>
            </w:r>
          </w:p>
        </w:tc>
        <w:tc>
          <w:tcPr>
            <w:tcW w:w="2223" w:type="dxa"/>
            <w:tcBorders>
              <w:left w:val="single" w:color="000000" w:sz="4" w:space="0"/>
              <w:right w:val="single" w:color="000000" w:sz="4" w:space="0"/>
            </w:tcBorders>
            <w:vAlign w:val="center"/>
          </w:tcPr>
          <w:p w14:paraId="5AE40953">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运输单元</w:t>
            </w:r>
          </w:p>
        </w:tc>
        <w:tc>
          <w:tcPr>
            <w:tcW w:w="827" w:type="dxa"/>
            <w:tcBorders>
              <w:left w:val="single" w:color="000000" w:sz="4" w:space="0"/>
              <w:right w:val="single" w:color="000000" w:sz="4" w:space="0"/>
            </w:tcBorders>
            <w:vAlign w:val="center"/>
          </w:tcPr>
          <w:p w14:paraId="4BFBA05E">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100</w:t>
            </w:r>
          </w:p>
        </w:tc>
        <w:tc>
          <w:tcPr>
            <w:tcW w:w="898" w:type="dxa"/>
            <w:tcBorders>
              <w:left w:val="single" w:color="000000" w:sz="4" w:space="0"/>
              <w:right w:val="single" w:color="000000" w:sz="4" w:space="0"/>
            </w:tcBorders>
            <w:vAlign w:val="center"/>
          </w:tcPr>
          <w:p w14:paraId="7C7AA4A4">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89</w:t>
            </w:r>
          </w:p>
        </w:tc>
        <w:tc>
          <w:tcPr>
            <w:tcW w:w="898" w:type="dxa"/>
            <w:tcBorders>
              <w:left w:val="single" w:color="000000" w:sz="4" w:space="0"/>
              <w:right w:val="single" w:color="000000" w:sz="4" w:space="0"/>
            </w:tcBorders>
            <w:vAlign w:val="center"/>
          </w:tcPr>
          <w:p w14:paraId="1739CAA1">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11</w:t>
            </w:r>
          </w:p>
        </w:tc>
        <w:tc>
          <w:tcPr>
            <w:tcW w:w="856" w:type="dxa"/>
            <w:tcBorders>
              <w:left w:val="single" w:color="000000" w:sz="4" w:space="0"/>
              <w:right w:val="single" w:color="000000" w:sz="4" w:space="0"/>
            </w:tcBorders>
            <w:vAlign w:val="center"/>
          </w:tcPr>
          <w:p w14:paraId="67A9B191">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w:t>
            </w:r>
          </w:p>
        </w:tc>
        <w:tc>
          <w:tcPr>
            <w:tcW w:w="992" w:type="dxa"/>
            <w:tcBorders>
              <w:left w:val="single" w:color="000000" w:sz="4" w:space="0"/>
              <w:right w:val="single" w:color="000000" w:sz="4" w:space="0"/>
            </w:tcBorders>
            <w:vAlign w:val="center"/>
          </w:tcPr>
          <w:p w14:paraId="78CEFC67">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10</w:t>
            </w:r>
          </w:p>
        </w:tc>
        <w:tc>
          <w:tcPr>
            <w:tcW w:w="1031" w:type="dxa"/>
            <w:tcBorders>
              <w:left w:val="single" w:color="000000" w:sz="4" w:space="0"/>
            </w:tcBorders>
            <w:vAlign w:val="center"/>
          </w:tcPr>
          <w:p w14:paraId="797A2282">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90.91%</w:t>
            </w:r>
          </w:p>
        </w:tc>
      </w:tr>
      <w:tr w14:paraId="1F3E7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39362AE1">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7</w:t>
            </w:r>
          </w:p>
        </w:tc>
        <w:tc>
          <w:tcPr>
            <w:tcW w:w="2223" w:type="dxa"/>
            <w:tcBorders>
              <w:left w:val="single" w:color="000000" w:sz="4" w:space="0"/>
              <w:right w:val="single" w:color="000000" w:sz="4" w:space="0"/>
            </w:tcBorders>
            <w:vAlign w:val="center"/>
          </w:tcPr>
          <w:p w14:paraId="07483442">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防排水及防雷电单元</w:t>
            </w:r>
          </w:p>
        </w:tc>
        <w:tc>
          <w:tcPr>
            <w:tcW w:w="827" w:type="dxa"/>
            <w:tcBorders>
              <w:left w:val="single" w:color="000000" w:sz="4" w:space="0"/>
              <w:right w:val="single" w:color="000000" w:sz="4" w:space="0"/>
            </w:tcBorders>
            <w:vAlign w:val="center"/>
          </w:tcPr>
          <w:p w14:paraId="0BF9C7B3">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40</w:t>
            </w:r>
          </w:p>
        </w:tc>
        <w:tc>
          <w:tcPr>
            <w:tcW w:w="898" w:type="dxa"/>
            <w:tcBorders>
              <w:left w:val="single" w:color="000000" w:sz="4" w:space="0"/>
              <w:right w:val="single" w:color="000000" w:sz="4" w:space="0"/>
            </w:tcBorders>
            <w:vAlign w:val="center"/>
          </w:tcPr>
          <w:p w14:paraId="76467662">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color w:val="auto"/>
                <w:sz w:val="21"/>
                <w:szCs w:val="21"/>
                <w:lang w:val="en-US" w:eastAsia="zh-CN"/>
              </w:rPr>
              <w:t>19</w:t>
            </w:r>
          </w:p>
        </w:tc>
        <w:tc>
          <w:tcPr>
            <w:tcW w:w="898" w:type="dxa"/>
            <w:tcBorders>
              <w:left w:val="single" w:color="000000" w:sz="4" w:space="0"/>
              <w:right w:val="single" w:color="000000" w:sz="4" w:space="0"/>
            </w:tcBorders>
            <w:vAlign w:val="center"/>
          </w:tcPr>
          <w:p w14:paraId="1075588B">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21</w:t>
            </w:r>
          </w:p>
        </w:tc>
        <w:tc>
          <w:tcPr>
            <w:tcW w:w="856" w:type="dxa"/>
            <w:tcBorders>
              <w:left w:val="single" w:color="000000" w:sz="4" w:space="0"/>
              <w:right w:val="single" w:color="000000" w:sz="4" w:space="0"/>
            </w:tcBorders>
            <w:vAlign w:val="center"/>
          </w:tcPr>
          <w:p w14:paraId="398457E4">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2</w:t>
            </w:r>
          </w:p>
        </w:tc>
        <w:tc>
          <w:tcPr>
            <w:tcW w:w="992" w:type="dxa"/>
            <w:tcBorders>
              <w:left w:val="single" w:color="000000" w:sz="4" w:space="0"/>
              <w:right w:val="single" w:color="000000" w:sz="4" w:space="0"/>
            </w:tcBorders>
            <w:vAlign w:val="center"/>
          </w:tcPr>
          <w:p w14:paraId="0EC5C8CB">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19</w:t>
            </w:r>
          </w:p>
        </w:tc>
        <w:tc>
          <w:tcPr>
            <w:tcW w:w="1031" w:type="dxa"/>
            <w:tcBorders>
              <w:left w:val="single" w:color="000000" w:sz="4" w:space="0"/>
            </w:tcBorders>
            <w:vAlign w:val="center"/>
          </w:tcPr>
          <w:p w14:paraId="76026B52">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90.48%</w:t>
            </w:r>
          </w:p>
        </w:tc>
      </w:tr>
      <w:tr w14:paraId="5081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5819A6C8">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8</w:t>
            </w:r>
          </w:p>
        </w:tc>
        <w:tc>
          <w:tcPr>
            <w:tcW w:w="2223" w:type="dxa"/>
            <w:tcBorders>
              <w:left w:val="single" w:color="000000" w:sz="4" w:space="0"/>
              <w:right w:val="single" w:color="000000" w:sz="4" w:space="0"/>
            </w:tcBorders>
            <w:vAlign w:val="center"/>
          </w:tcPr>
          <w:p w14:paraId="09260E3C">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firstLine="0" w:firstLineChars="0"/>
              <w:jc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井下防灭火单元</w:t>
            </w:r>
          </w:p>
        </w:tc>
        <w:tc>
          <w:tcPr>
            <w:tcW w:w="827" w:type="dxa"/>
            <w:tcBorders>
              <w:left w:val="single" w:color="000000" w:sz="4" w:space="0"/>
              <w:right w:val="single" w:color="000000" w:sz="4" w:space="0"/>
            </w:tcBorders>
            <w:vAlign w:val="center"/>
          </w:tcPr>
          <w:p w14:paraId="4D0578C9">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10</w:t>
            </w:r>
          </w:p>
        </w:tc>
        <w:tc>
          <w:tcPr>
            <w:tcW w:w="898" w:type="dxa"/>
            <w:tcBorders>
              <w:left w:val="single" w:color="000000" w:sz="4" w:space="0"/>
              <w:right w:val="single" w:color="000000" w:sz="4" w:space="0"/>
            </w:tcBorders>
            <w:vAlign w:val="center"/>
          </w:tcPr>
          <w:p w14:paraId="77914B70">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cs="Times New Roman"/>
                <w:color w:val="auto"/>
                <w:sz w:val="21"/>
                <w:szCs w:val="21"/>
                <w:lang w:val="en-US" w:eastAsia="zh-CN"/>
              </w:rPr>
              <w:t>0</w:t>
            </w:r>
          </w:p>
        </w:tc>
        <w:tc>
          <w:tcPr>
            <w:tcW w:w="898" w:type="dxa"/>
            <w:tcBorders>
              <w:left w:val="single" w:color="000000" w:sz="4" w:space="0"/>
              <w:right w:val="single" w:color="000000" w:sz="4" w:space="0"/>
            </w:tcBorders>
            <w:vAlign w:val="center"/>
          </w:tcPr>
          <w:p w14:paraId="726E2C9E">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10</w:t>
            </w:r>
          </w:p>
        </w:tc>
        <w:tc>
          <w:tcPr>
            <w:tcW w:w="856" w:type="dxa"/>
            <w:tcBorders>
              <w:left w:val="single" w:color="000000" w:sz="4" w:space="0"/>
              <w:right w:val="single" w:color="000000" w:sz="4" w:space="0"/>
            </w:tcBorders>
            <w:vAlign w:val="center"/>
          </w:tcPr>
          <w:p w14:paraId="55CE640A">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0</w:t>
            </w:r>
          </w:p>
        </w:tc>
        <w:tc>
          <w:tcPr>
            <w:tcW w:w="992" w:type="dxa"/>
            <w:tcBorders>
              <w:left w:val="single" w:color="000000" w:sz="4" w:space="0"/>
              <w:right w:val="single" w:color="000000" w:sz="4" w:space="0"/>
            </w:tcBorders>
            <w:vAlign w:val="center"/>
          </w:tcPr>
          <w:p w14:paraId="6F446260">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10</w:t>
            </w:r>
          </w:p>
        </w:tc>
        <w:tc>
          <w:tcPr>
            <w:tcW w:w="1031" w:type="dxa"/>
            <w:tcBorders>
              <w:left w:val="single" w:color="000000" w:sz="4" w:space="0"/>
            </w:tcBorders>
            <w:vAlign w:val="center"/>
          </w:tcPr>
          <w:p w14:paraId="5068463C">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100%</w:t>
            </w:r>
          </w:p>
        </w:tc>
      </w:tr>
      <w:tr w14:paraId="67684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2201E6F2">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rightChars="0" w:firstLine="0" w:firstLineChars="0"/>
              <w:jc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9</w:t>
            </w:r>
          </w:p>
        </w:tc>
        <w:tc>
          <w:tcPr>
            <w:tcW w:w="2223" w:type="dxa"/>
            <w:tcBorders>
              <w:left w:val="single" w:color="000000" w:sz="4" w:space="0"/>
              <w:right w:val="single" w:color="000000" w:sz="4" w:space="0"/>
            </w:tcBorders>
            <w:vAlign w:val="center"/>
          </w:tcPr>
          <w:p w14:paraId="148C00AA">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rightChars="0" w:firstLine="0" w:firstLineChars="0"/>
              <w:jc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废石场单元</w:t>
            </w:r>
          </w:p>
        </w:tc>
        <w:tc>
          <w:tcPr>
            <w:tcW w:w="827" w:type="dxa"/>
            <w:tcBorders>
              <w:left w:val="single" w:color="000000" w:sz="4" w:space="0"/>
              <w:right w:val="single" w:color="000000" w:sz="4" w:space="0"/>
            </w:tcBorders>
            <w:vAlign w:val="center"/>
          </w:tcPr>
          <w:p w14:paraId="1292834F">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snapToGrid/>
                <w:color w:val="auto"/>
                <w:kern w:val="2"/>
                <w:sz w:val="21"/>
                <w:szCs w:val="21"/>
                <w:lang w:val="en-US" w:eastAsia="zh-CN" w:bidi="ar-SA"/>
              </w:rPr>
              <w:t>20</w:t>
            </w:r>
          </w:p>
        </w:tc>
        <w:tc>
          <w:tcPr>
            <w:tcW w:w="898" w:type="dxa"/>
            <w:tcBorders>
              <w:left w:val="single" w:color="000000" w:sz="4" w:space="0"/>
              <w:right w:val="single" w:color="000000" w:sz="4" w:space="0"/>
            </w:tcBorders>
            <w:vAlign w:val="center"/>
          </w:tcPr>
          <w:p w14:paraId="0B379BA4">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snapToGrid/>
                <w:color w:val="auto"/>
                <w:kern w:val="2"/>
                <w:sz w:val="21"/>
                <w:szCs w:val="21"/>
                <w:lang w:val="en-US" w:eastAsia="zh-CN" w:bidi="ar-SA"/>
              </w:rPr>
              <w:t>9</w:t>
            </w:r>
          </w:p>
        </w:tc>
        <w:tc>
          <w:tcPr>
            <w:tcW w:w="898" w:type="dxa"/>
            <w:tcBorders>
              <w:left w:val="single" w:color="000000" w:sz="4" w:space="0"/>
              <w:right w:val="single" w:color="000000" w:sz="4" w:space="0"/>
            </w:tcBorders>
            <w:vAlign w:val="center"/>
          </w:tcPr>
          <w:p w14:paraId="089A7858">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snapToGrid/>
                <w:color w:val="auto"/>
                <w:kern w:val="2"/>
                <w:sz w:val="21"/>
                <w:szCs w:val="21"/>
                <w:lang w:val="en-US" w:eastAsia="zh-CN" w:bidi="ar-SA"/>
              </w:rPr>
              <w:t>11</w:t>
            </w:r>
          </w:p>
        </w:tc>
        <w:tc>
          <w:tcPr>
            <w:tcW w:w="856" w:type="dxa"/>
            <w:tcBorders>
              <w:left w:val="single" w:color="000000" w:sz="4" w:space="0"/>
              <w:right w:val="single" w:color="000000" w:sz="4" w:space="0"/>
            </w:tcBorders>
            <w:vAlign w:val="center"/>
          </w:tcPr>
          <w:p w14:paraId="7CAFB41F">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t>1</w:t>
            </w:r>
          </w:p>
        </w:tc>
        <w:tc>
          <w:tcPr>
            <w:tcW w:w="992" w:type="dxa"/>
            <w:tcBorders>
              <w:left w:val="single" w:color="000000" w:sz="4" w:space="0"/>
              <w:right w:val="single" w:color="000000" w:sz="4" w:space="0"/>
            </w:tcBorders>
            <w:vAlign w:val="center"/>
          </w:tcPr>
          <w:p w14:paraId="494905E8">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t>10</w:t>
            </w:r>
          </w:p>
        </w:tc>
        <w:tc>
          <w:tcPr>
            <w:tcW w:w="1031" w:type="dxa"/>
            <w:tcBorders>
              <w:left w:val="single" w:color="000000" w:sz="4" w:space="0"/>
            </w:tcBorders>
            <w:vAlign w:val="center"/>
          </w:tcPr>
          <w:p w14:paraId="1306A0E4">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snapToGrid/>
                <w:color w:val="auto"/>
                <w:kern w:val="2"/>
                <w:sz w:val="21"/>
                <w:szCs w:val="21"/>
                <w:lang w:val="en-US" w:eastAsia="zh-CN" w:bidi="ar-SA"/>
              </w:rPr>
              <w:t>90.91%</w:t>
            </w:r>
          </w:p>
        </w:tc>
      </w:tr>
      <w:tr w14:paraId="733B2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712" w:type="dxa"/>
            <w:tcBorders>
              <w:right w:val="single" w:color="000000" w:sz="4" w:space="0"/>
            </w:tcBorders>
            <w:vAlign w:val="center"/>
          </w:tcPr>
          <w:p w14:paraId="7C2D7414">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rightChars="0" w:firstLine="0" w:firstLineChars="0"/>
              <w:jc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10</w:t>
            </w:r>
          </w:p>
        </w:tc>
        <w:tc>
          <w:tcPr>
            <w:tcW w:w="2223" w:type="dxa"/>
            <w:tcBorders>
              <w:left w:val="single" w:color="000000" w:sz="4" w:space="0"/>
              <w:right w:val="single" w:color="000000" w:sz="4" w:space="0"/>
            </w:tcBorders>
            <w:vAlign w:val="center"/>
          </w:tcPr>
          <w:p w14:paraId="1C75AA86">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rightChars="0" w:firstLine="0" w:firstLineChars="0"/>
              <w:jc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供气单元</w:t>
            </w:r>
          </w:p>
        </w:tc>
        <w:tc>
          <w:tcPr>
            <w:tcW w:w="827" w:type="dxa"/>
            <w:tcBorders>
              <w:left w:val="single" w:color="000000" w:sz="4" w:space="0"/>
              <w:right w:val="single" w:color="000000" w:sz="4" w:space="0"/>
            </w:tcBorders>
            <w:vAlign w:val="center"/>
          </w:tcPr>
          <w:p w14:paraId="66B10899">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t>20</w:t>
            </w:r>
          </w:p>
        </w:tc>
        <w:tc>
          <w:tcPr>
            <w:tcW w:w="898" w:type="dxa"/>
            <w:tcBorders>
              <w:left w:val="single" w:color="000000" w:sz="4" w:space="0"/>
              <w:right w:val="single" w:color="000000" w:sz="4" w:space="0"/>
            </w:tcBorders>
            <w:vAlign w:val="center"/>
          </w:tcPr>
          <w:p w14:paraId="11D5F8F2">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b w:val="0"/>
                <w:bCs w:val="0"/>
                <w:i w:val="0"/>
                <w:iCs w:val="0"/>
                <w:snapToGrid w:val="0"/>
                <w:color w:val="auto"/>
                <w:kern w:val="0"/>
                <w:sz w:val="21"/>
                <w:szCs w:val="21"/>
                <w:u w:val="none"/>
                <w:lang w:val="en-US" w:eastAsia="zh-CN" w:bidi="ar"/>
              </w:rPr>
              <w:t>0</w:t>
            </w:r>
          </w:p>
        </w:tc>
        <w:tc>
          <w:tcPr>
            <w:tcW w:w="898" w:type="dxa"/>
            <w:tcBorders>
              <w:left w:val="single" w:color="000000" w:sz="4" w:space="0"/>
              <w:right w:val="single" w:color="000000" w:sz="4" w:space="0"/>
            </w:tcBorders>
            <w:vAlign w:val="center"/>
          </w:tcPr>
          <w:p w14:paraId="6709BCBD">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t>20</w:t>
            </w:r>
          </w:p>
        </w:tc>
        <w:tc>
          <w:tcPr>
            <w:tcW w:w="856" w:type="dxa"/>
            <w:tcBorders>
              <w:left w:val="single" w:color="000000" w:sz="4" w:space="0"/>
              <w:right w:val="single" w:color="000000" w:sz="4" w:space="0"/>
            </w:tcBorders>
            <w:vAlign w:val="center"/>
          </w:tcPr>
          <w:p w14:paraId="27D874B8">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t>0</w:t>
            </w:r>
          </w:p>
        </w:tc>
        <w:tc>
          <w:tcPr>
            <w:tcW w:w="992" w:type="dxa"/>
            <w:tcBorders>
              <w:left w:val="single" w:color="000000" w:sz="4" w:space="0"/>
              <w:right w:val="single" w:color="000000" w:sz="4" w:space="0"/>
            </w:tcBorders>
            <w:vAlign w:val="center"/>
          </w:tcPr>
          <w:p w14:paraId="68C0F1EE">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t>20</w:t>
            </w:r>
          </w:p>
        </w:tc>
        <w:tc>
          <w:tcPr>
            <w:tcW w:w="1031" w:type="dxa"/>
            <w:tcBorders>
              <w:left w:val="single" w:color="000000" w:sz="4" w:space="0"/>
            </w:tcBorders>
            <w:vAlign w:val="center"/>
          </w:tcPr>
          <w:p w14:paraId="660F503B">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t>100%</w:t>
            </w:r>
          </w:p>
        </w:tc>
      </w:tr>
      <w:tr w14:paraId="206B1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712" w:type="dxa"/>
            <w:tcBorders>
              <w:right w:val="single" w:color="000000" w:sz="4" w:space="0"/>
            </w:tcBorders>
            <w:vAlign w:val="center"/>
          </w:tcPr>
          <w:p w14:paraId="1893D952">
            <w:pPr>
              <w:keepNext w:val="0"/>
              <w:keepLines w:val="0"/>
              <w:pageBreakBefore w:val="0"/>
              <w:widowControl/>
              <w:kinsoku w:val="0"/>
              <w:wordWrap/>
              <w:overflowPunct/>
              <w:topLinePunct w:val="0"/>
              <w:autoSpaceDE/>
              <w:autoSpaceDN/>
              <w:bidi w:val="0"/>
              <w:adjustRightInd w:val="0"/>
              <w:snapToGrid w:val="0"/>
              <w:spacing w:before="57" w:line="240" w:lineRule="exact"/>
              <w:ind w:left="0" w:leftChars="0" w:right="119" w:rightChars="0" w:firstLine="0" w:firstLineChars="0"/>
              <w:jc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总计</w:t>
            </w:r>
          </w:p>
        </w:tc>
        <w:tc>
          <w:tcPr>
            <w:tcW w:w="2223" w:type="dxa"/>
            <w:tcBorders>
              <w:left w:val="single" w:color="000000" w:sz="4" w:space="0"/>
              <w:right w:val="single" w:color="000000" w:sz="4" w:space="0"/>
            </w:tcBorders>
            <w:vAlign w:val="center"/>
          </w:tcPr>
          <w:p w14:paraId="393303EC">
            <w:pPr>
              <w:keepNext w:val="0"/>
              <w:keepLines w:val="0"/>
              <w:pageBreakBefore w:val="0"/>
              <w:widowControl/>
              <w:kinsoku w:val="0"/>
              <w:wordWrap/>
              <w:overflowPunct/>
              <w:topLinePunct w:val="0"/>
              <w:autoSpaceDE/>
              <w:autoSpaceDN/>
              <w:bidi w:val="0"/>
              <w:adjustRightInd w:val="0"/>
              <w:snapToGrid w:val="0"/>
              <w:spacing w:before="57" w:line="240" w:lineRule="exact"/>
              <w:ind w:right="119" w:rightChars="0" w:firstLine="210" w:firstLineChars="100"/>
              <w:jc w:val="center"/>
              <w:rPr>
                <w:rFonts w:hint="eastAsia" w:ascii="Times New Roman" w:hAnsi="Times New Roman" w:eastAsia="宋体" w:cs="Times New Roman"/>
                <w:b w:val="0"/>
                <w:bCs w:val="0"/>
                <w:snapToGrid w:val="0"/>
                <w:color w:val="auto"/>
                <w:kern w:val="0"/>
                <w:sz w:val="21"/>
                <w:szCs w:val="21"/>
                <w:lang w:val="en-US" w:eastAsia="zh-CN" w:bidi="ar"/>
              </w:rPr>
            </w:pPr>
          </w:p>
        </w:tc>
        <w:tc>
          <w:tcPr>
            <w:tcW w:w="827" w:type="dxa"/>
            <w:tcBorders>
              <w:left w:val="single" w:color="000000" w:sz="4" w:space="0"/>
              <w:right w:val="single" w:color="000000" w:sz="4" w:space="0"/>
            </w:tcBorders>
            <w:vAlign w:val="center"/>
          </w:tcPr>
          <w:p w14:paraId="220EC51A">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fldChar w:fldCharType="begin"/>
            </w:r>
            <w:r>
              <w:rPr>
                <w:rFonts w:hint="eastAsia" w:ascii="Times New Roman" w:hAnsi="Times New Roman" w:eastAsia="宋体" w:cs="Times New Roman"/>
                <w:b w:val="0"/>
                <w:bCs w:val="0"/>
                <w:snapToGrid w:val="0"/>
                <w:color w:val="auto"/>
                <w:kern w:val="0"/>
                <w:sz w:val="21"/>
                <w:szCs w:val="21"/>
                <w:lang w:val="en-US" w:eastAsia="zh-CN" w:bidi="ar"/>
              </w:rPr>
              <w:instrText xml:space="preserve"> = sum(C2:C11) \* MERGEFORMAT </w:instrText>
            </w:r>
            <w:r>
              <w:rPr>
                <w:rFonts w:hint="eastAsia" w:ascii="Times New Roman" w:hAnsi="Times New Roman" w:eastAsia="宋体" w:cs="Times New Roman"/>
                <w:b w:val="0"/>
                <w:bCs w:val="0"/>
                <w:snapToGrid w:val="0"/>
                <w:color w:val="auto"/>
                <w:kern w:val="0"/>
                <w:sz w:val="21"/>
                <w:szCs w:val="21"/>
                <w:lang w:val="en-US" w:eastAsia="zh-CN" w:bidi="ar"/>
              </w:rPr>
              <w:fldChar w:fldCharType="separate"/>
            </w:r>
            <w:r>
              <w:rPr>
                <w:rFonts w:hint="eastAsia" w:ascii="Times New Roman" w:hAnsi="Times New Roman" w:eastAsia="宋体" w:cs="Times New Roman"/>
                <w:b w:val="0"/>
                <w:bCs w:val="0"/>
                <w:snapToGrid w:val="0"/>
                <w:color w:val="auto"/>
                <w:kern w:val="0"/>
                <w:sz w:val="21"/>
                <w:szCs w:val="21"/>
                <w:lang w:val="en-US" w:eastAsia="zh-CN" w:bidi="ar"/>
              </w:rPr>
              <w:t>494</w:t>
            </w:r>
            <w:r>
              <w:rPr>
                <w:rFonts w:hint="eastAsia" w:ascii="Times New Roman" w:hAnsi="Times New Roman" w:eastAsia="宋体" w:cs="Times New Roman"/>
                <w:b w:val="0"/>
                <w:bCs w:val="0"/>
                <w:snapToGrid w:val="0"/>
                <w:color w:val="auto"/>
                <w:kern w:val="0"/>
                <w:sz w:val="21"/>
                <w:szCs w:val="21"/>
                <w:lang w:val="en-US" w:eastAsia="zh-CN" w:bidi="ar"/>
              </w:rPr>
              <w:fldChar w:fldCharType="end"/>
            </w:r>
          </w:p>
        </w:tc>
        <w:tc>
          <w:tcPr>
            <w:tcW w:w="898" w:type="dxa"/>
            <w:tcBorders>
              <w:left w:val="single" w:color="000000" w:sz="4" w:space="0"/>
              <w:right w:val="single" w:color="000000" w:sz="4" w:space="0"/>
            </w:tcBorders>
            <w:vAlign w:val="center"/>
          </w:tcPr>
          <w:p w14:paraId="26C5ED3F">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i w:val="0"/>
                <w:iCs w:val="0"/>
                <w:snapToGrid w:val="0"/>
                <w:color w:val="auto"/>
                <w:kern w:val="0"/>
                <w:sz w:val="21"/>
                <w:szCs w:val="21"/>
                <w:u w:val="none"/>
                <w:lang w:val="en-US" w:eastAsia="zh-CN" w:bidi="ar"/>
              </w:rPr>
            </w:pPr>
            <w:r>
              <w:rPr>
                <w:rFonts w:hint="eastAsia" w:ascii="Times New Roman" w:hAnsi="Times New Roman" w:eastAsia="宋体" w:cs="Times New Roman"/>
                <w:b w:val="0"/>
                <w:bCs w:val="0"/>
                <w:i w:val="0"/>
                <w:iCs w:val="0"/>
                <w:snapToGrid w:val="0"/>
                <w:color w:val="auto"/>
                <w:kern w:val="0"/>
                <w:sz w:val="21"/>
                <w:szCs w:val="21"/>
                <w:u w:val="none"/>
                <w:lang w:val="en-US" w:eastAsia="zh-CN" w:bidi="ar"/>
              </w:rPr>
              <w:fldChar w:fldCharType="begin"/>
            </w:r>
            <w:r>
              <w:rPr>
                <w:rFonts w:hint="eastAsia" w:ascii="Times New Roman" w:hAnsi="Times New Roman" w:eastAsia="宋体" w:cs="Times New Roman"/>
                <w:b w:val="0"/>
                <w:bCs w:val="0"/>
                <w:i w:val="0"/>
                <w:iCs w:val="0"/>
                <w:snapToGrid w:val="0"/>
                <w:color w:val="auto"/>
                <w:kern w:val="0"/>
                <w:sz w:val="21"/>
                <w:szCs w:val="21"/>
                <w:u w:val="none"/>
                <w:lang w:val="en-US" w:eastAsia="zh-CN" w:bidi="ar"/>
              </w:rPr>
              <w:instrText xml:space="preserve"> = sum(D2:D11) \* MERGEFORMAT </w:instrText>
            </w:r>
            <w:r>
              <w:rPr>
                <w:rFonts w:hint="eastAsia" w:ascii="Times New Roman" w:hAnsi="Times New Roman" w:eastAsia="宋体" w:cs="Times New Roman"/>
                <w:b w:val="0"/>
                <w:bCs w:val="0"/>
                <w:i w:val="0"/>
                <w:iCs w:val="0"/>
                <w:snapToGrid w:val="0"/>
                <w:color w:val="auto"/>
                <w:kern w:val="0"/>
                <w:sz w:val="21"/>
                <w:szCs w:val="21"/>
                <w:u w:val="none"/>
                <w:lang w:val="en-US" w:eastAsia="zh-CN" w:bidi="ar"/>
              </w:rPr>
              <w:fldChar w:fldCharType="separate"/>
            </w:r>
            <w:r>
              <w:rPr>
                <w:rFonts w:hint="eastAsia" w:ascii="Times New Roman" w:hAnsi="Times New Roman" w:eastAsia="宋体" w:cs="Times New Roman"/>
                <w:b w:val="0"/>
                <w:bCs w:val="0"/>
                <w:i w:val="0"/>
                <w:iCs w:val="0"/>
                <w:snapToGrid w:val="0"/>
                <w:color w:val="auto"/>
                <w:kern w:val="0"/>
                <w:sz w:val="21"/>
                <w:szCs w:val="21"/>
                <w:u w:val="none"/>
                <w:lang w:val="en-US" w:eastAsia="zh-CN" w:bidi="ar"/>
              </w:rPr>
              <w:t>1</w:t>
            </w:r>
            <w:r>
              <w:rPr>
                <w:rFonts w:hint="eastAsia" w:ascii="Times New Roman" w:hAnsi="Times New Roman" w:cs="Times New Roman"/>
                <w:b w:val="0"/>
                <w:bCs w:val="0"/>
                <w:i w:val="0"/>
                <w:iCs w:val="0"/>
                <w:snapToGrid w:val="0"/>
                <w:color w:val="auto"/>
                <w:kern w:val="0"/>
                <w:sz w:val="21"/>
                <w:szCs w:val="21"/>
                <w:u w:val="none"/>
                <w:lang w:val="en-US" w:eastAsia="zh-CN" w:bidi="ar"/>
              </w:rPr>
              <w:t>7</w:t>
            </w:r>
            <w:r>
              <w:rPr>
                <w:rFonts w:hint="eastAsia" w:ascii="Times New Roman" w:hAnsi="Times New Roman" w:eastAsia="宋体" w:cs="Times New Roman"/>
                <w:b w:val="0"/>
                <w:bCs w:val="0"/>
                <w:i w:val="0"/>
                <w:iCs w:val="0"/>
                <w:snapToGrid w:val="0"/>
                <w:color w:val="auto"/>
                <w:kern w:val="0"/>
                <w:sz w:val="21"/>
                <w:szCs w:val="21"/>
                <w:u w:val="none"/>
                <w:lang w:val="en-US" w:eastAsia="zh-CN" w:bidi="ar"/>
              </w:rPr>
              <w:t>0</w:t>
            </w:r>
            <w:r>
              <w:rPr>
                <w:rFonts w:hint="eastAsia" w:ascii="Times New Roman" w:hAnsi="Times New Roman" w:eastAsia="宋体" w:cs="Times New Roman"/>
                <w:b w:val="0"/>
                <w:bCs w:val="0"/>
                <w:i w:val="0"/>
                <w:iCs w:val="0"/>
                <w:snapToGrid w:val="0"/>
                <w:color w:val="auto"/>
                <w:kern w:val="0"/>
                <w:sz w:val="21"/>
                <w:szCs w:val="21"/>
                <w:u w:val="none"/>
                <w:lang w:val="en-US" w:eastAsia="zh-CN" w:bidi="ar"/>
              </w:rPr>
              <w:fldChar w:fldCharType="end"/>
            </w:r>
          </w:p>
        </w:tc>
        <w:tc>
          <w:tcPr>
            <w:tcW w:w="898" w:type="dxa"/>
            <w:tcBorders>
              <w:left w:val="single" w:color="000000" w:sz="4" w:space="0"/>
              <w:right w:val="single" w:color="000000" w:sz="4" w:space="0"/>
            </w:tcBorders>
            <w:vAlign w:val="center"/>
          </w:tcPr>
          <w:p w14:paraId="05AFEAB5">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fldChar w:fldCharType="begin"/>
            </w:r>
            <w:r>
              <w:rPr>
                <w:rFonts w:hint="eastAsia" w:ascii="Times New Roman" w:hAnsi="Times New Roman" w:eastAsia="宋体" w:cs="Times New Roman"/>
                <w:b w:val="0"/>
                <w:bCs w:val="0"/>
                <w:snapToGrid w:val="0"/>
                <w:color w:val="auto"/>
                <w:kern w:val="0"/>
                <w:sz w:val="21"/>
                <w:szCs w:val="21"/>
                <w:lang w:val="en-US" w:eastAsia="zh-CN" w:bidi="ar"/>
              </w:rPr>
              <w:instrText xml:space="preserve"> = sum(E2:E11) \* MERGEFORMAT </w:instrText>
            </w:r>
            <w:r>
              <w:rPr>
                <w:rFonts w:hint="eastAsia" w:ascii="Times New Roman" w:hAnsi="Times New Roman" w:eastAsia="宋体" w:cs="Times New Roman"/>
                <w:b w:val="0"/>
                <w:bCs w:val="0"/>
                <w:snapToGrid w:val="0"/>
                <w:color w:val="auto"/>
                <w:kern w:val="0"/>
                <w:sz w:val="21"/>
                <w:szCs w:val="21"/>
                <w:lang w:val="en-US" w:eastAsia="zh-CN" w:bidi="ar"/>
              </w:rPr>
              <w:fldChar w:fldCharType="separate"/>
            </w:r>
            <w:r>
              <w:rPr>
                <w:rFonts w:hint="eastAsia" w:ascii="Times New Roman" w:hAnsi="Times New Roman" w:eastAsia="宋体" w:cs="Times New Roman"/>
                <w:b w:val="0"/>
                <w:bCs w:val="0"/>
                <w:snapToGrid w:val="0"/>
                <w:color w:val="auto"/>
                <w:kern w:val="0"/>
                <w:sz w:val="21"/>
                <w:szCs w:val="21"/>
                <w:lang w:val="en-US" w:eastAsia="zh-CN" w:bidi="ar"/>
              </w:rPr>
              <w:t>324</w:t>
            </w:r>
            <w:r>
              <w:rPr>
                <w:rFonts w:hint="eastAsia" w:ascii="Times New Roman" w:hAnsi="Times New Roman" w:eastAsia="宋体" w:cs="Times New Roman"/>
                <w:b w:val="0"/>
                <w:bCs w:val="0"/>
                <w:snapToGrid w:val="0"/>
                <w:color w:val="auto"/>
                <w:kern w:val="0"/>
                <w:sz w:val="21"/>
                <w:szCs w:val="21"/>
                <w:lang w:val="en-US" w:eastAsia="zh-CN" w:bidi="ar"/>
              </w:rPr>
              <w:fldChar w:fldCharType="end"/>
            </w:r>
          </w:p>
        </w:tc>
        <w:tc>
          <w:tcPr>
            <w:tcW w:w="856" w:type="dxa"/>
            <w:tcBorders>
              <w:left w:val="single" w:color="000000" w:sz="4" w:space="0"/>
              <w:right w:val="single" w:color="000000" w:sz="4" w:space="0"/>
            </w:tcBorders>
            <w:vAlign w:val="center"/>
          </w:tcPr>
          <w:p w14:paraId="36DAC081">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fldChar w:fldCharType="begin"/>
            </w:r>
            <w:r>
              <w:rPr>
                <w:rFonts w:hint="eastAsia" w:ascii="Times New Roman" w:hAnsi="Times New Roman" w:eastAsia="宋体" w:cs="Times New Roman"/>
                <w:b w:val="0"/>
                <w:bCs w:val="0"/>
                <w:snapToGrid w:val="0"/>
                <w:color w:val="auto"/>
                <w:kern w:val="0"/>
                <w:sz w:val="21"/>
                <w:szCs w:val="21"/>
                <w:lang w:val="en-US" w:eastAsia="zh-CN" w:bidi="ar"/>
              </w:rPr>
              <w:instrText xml:space="preserve"> = sum(F2:F11) \* MERGEFORMAT </w:instrText>
            </w:r>
            <w:r>
              <w:rPr>
                <w:rFonts w:hint="eastAsia" w:ascii="Times New Roman" w:hAnsi="Times New Roman" w:eastAsia="宋体" w:cs="Times New Roman"/>
                <w:b w:val="0"/>
                <w:bCs w:val="0"/>
                <w:snapToGrid w:val="0"/>
                <w:color w:val="auto"/>
                <w:kern w:val="0"/>
                <w:sz w:val="21"/>
                <w:szCs w:val="21"/>
                <w:lang w:val="en-US" w:eastAsia="zh-CN" w:bidi="ar"/>
              </w:rPr>
              <w:fldChar w:fldCharType="separate"/>
            </w:r>
            <w:r>
              <w:rPr>
                <w:rFonts w:hint="eastAsia" w:ascii="Times New Roman" w:hAnsi="Times New Roman" w:eastAsia="宋体" w:cs="Times New Roman"/>
                <w:b w:val="0"/>
                <w:bCs w:val="0"/>
                <w:snapToGrid w:val="0"/>
                <w:color w:val="auto"/>
                <w:kern w:val="0"/>
                <w:sz w:val="21"/>
                <w:szCs w:val="21"/>
                <w:lang w:val="en-US" w:eastAsia="zh-CN" w:bidi="ar"/>
              </w:rPr>
              <w:t>3</w:t>
            </w:r>
            <w:r>
              <w:rPr>
                <w:rFonts w:hint="eastAsia" w:ascii="Times New Roman" w:hAnsi="Times New Roman" w:cs="Times New Roman"/>
                <w:b w:val="0"/>
                <w:bCs w:val="0"/>
                <w:snapToGrid w:val="0"/>
                <w:color w:val="auto"/>
                <w:kern w:val="0"/>
                <w:sz w:val="21"/>
                <w:szCs w:val="21"/>
                <w:lang w:val="en-US" w:eastAsia="zh-CN" w:bidi="ar"/>
              </w:rPr>
              <w:t>5</w:t>
            </w:r>
            <w:r>
              <w:rPr>
                <w:rFonts w:hint="eastAsia" w:ascii="Times New Roman" w:hAnsi="Times New Roman" w:eastAsia="宋体" w:cs="Times New Roman"/>
                <w:b w:val="0"/>
                <w:bCs w:val="0"/>
                <w:snapToGrid w:val="0"/>
                <w:color w:val="auto"/>
                <w:kern w:val="0"/>
                <w:sz w:val="21"/>
                <w:szCs w:val="21"/>
                <w:lang w:val="en-US" w:eastAsia="zh-CN" w:bidi="ar"/>
              </w:rPr>
              <w:fldChar w:fldCharType="end"/>
            </w:r>
          </w:p>
        </w:tc>
        <w:tc>
          <w:tcPr>
            <w:tcW w:w="992" w:type="dxa"/>
            <w:tcBorders>
              <w:left w:val="single" w:color="000000" w:sz="4" w:space="0"/>
              <w:right w:val="single" w:color="000000" w:sz="4" w:space="0"/>
            </w:tcBorders>
            <w:vAlign w:val="center"/>
          </w:tcPr>
          <w:p w14:paraId="27CBFEEB">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eastAsia"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eastAsia="宋体" w:cs="Times New Roman"/>
                <w:b w:val="0"/>
                <w:bCs w:val="0"/>
                <w:snapToGrid w:val="0"/>
                <w:color w:val="auto"/>
                <w:kern w:val="0"/>
                <w:sz w:val="21"/>
                <w:szCs w:val="21"/>
                <w:lang w:val="en-US" w:eastAsia="zh-CN" w:bidi="ar"/>
              </w:rPr>
              <w:fldChar w:fldCharType="begin"/>
            </w:r>
            <w:r>
              <w:rPr>
                <w:rFonts w:hint="eastAsia" w:ascii="Times New Roman" w:hAnsi="Times New Roman" w:eastAsia="宋体" w:cs="Times New Roman"/>
                <w:b w:val="0"/>
                <w:bCs w:val="0"/>
                <w:snapToGrid w:val="0"/>
                <w:color w:val="auto"/>
                <w:kern w:val="0"/>
                <w:sz w:val="21"/>
                <w:szCs w:val="21"/>
                <w:lang w:val="en-US" w:eastAsia="zh-CN" w:bidi="ar"/>
              </w:rPr>
              <w:instrText xml:space="preserve"> = sum(G2:G11) \* MERGEFORMAT </w:instrText>
            </w:r>
            <w:r>
              <w:rPr>
                <w:rFonts w:hint="eastAsia" w:ascii="Times New Roman" w:hAnsi="Times New Roman" w:eastAsia="宋体" w:cs="Times New Roman"/>
                <w:b w:val="0"/>
                <w:bCs w:val="0"/>
                <w:snapToGrid w:val="0"/>
                <w:color w:val="auto"/>
                <w:kern w:val="0"/>
                <w:sz w:val="21"/>
                <w:szCs w:val="21"/>
                <w:lang w:val="en-US" w:eastAsia="zh-CN" w:bidi="ar"/>
              </w:rPr>
              <w:fldChar w:fldCharType="separate"/>
            </w:r>
            <w:r>
              <w:rPr>
                <w:rFonts w:hint="eastAsia" w:ascii="Times New Roman" w:hAnsi="Times New Roman" w:eastAsia="宋体" w:cs="Times New Roman"/>
                <w:b w:val="0"/>
                <w:bCs w:val="0"/>
                <w:snapToGrid w:val="0"/>
                <w:color w:val="auto"/>
                <w:kern w:val="0"/>
                <w:sz w:val="21"/>
                <w:szCs w:val="21"/>
                <w:lang w:val="en-US" w:eastAsia="zh-CN" w:bidi="ar"/>
              </w:rPr>
              <w:t>289</w:t>
            </w:r>
            <w:r>
              <w:rPr>
                <w:rFonts w:hint="eastAsia" w:ascii="Times New Roman" w:hAnsi="Times New Roman" w:eastAsia="宋体" w:cs="Times New Roman"/>
                <w:b w:val="0"/>
                <w:bCs w:val="0"/>
                <w:snapToGrid w:val="0"/>
                <w:color w:val="auto"/>
                <w:kern w:val="0"/>
                <w:sz w:val="21"/>
                <w:szCs w:val="21"/>
                <w:lang w:val="en-US" w:eastAsia="zh-CN" w:bidi="ar"/>
              </w:rPr>
              <w:fldChar w:fldCharType="end"/>
            </w:r>
          </w:p>
        </w:tc>
        <w:tc>
          <w:tcPr>
            <w:tcW w:w="1031" w:type="dxa"/>
            <w:tcBorders>
              <w:left w:val="single" w:color="000000" w:sz="4" w:space="0"/>
            </w:tcBorders>
            <w:vAlign w:val="center"/>
          </w:tcPr>
          <w:p w14:paraId="6EFF3DA0">
            <w:pPr>
              <w:keepNext w:val="0"/>
              <w:keepLines w:val="0"/>
              <w:pageBreakBefore w:val="0"/>
              <w:widowControl/>
              <w:suppressLineNumbers w:val="0"/>
              <w:kinsoku w:val="0"/>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宋体" w:cs="Times New Roman"/>
                <w:b w:val="0"/>
                <w:bCs w:val="0"/>
                <w:snapToGrid w:val="0"/>
                <w:color w:val="auto"/>
                <w:kern w:val="0"/>
                <w:sz w:val="21"/>
                <w:szCs w:val="21"/>
                <w:lang w:val="en-US" w:eastAsia="zh-CN" w:bidi="ar"/>
              </w:rPr>
            </w:pPr>
            <w:r>
              <w:rPr>
                <w:rFonts w:hint="eastAsia" w:ascii="Times New Roman" w:hAnsi="Times New Roman" w:cs="Times New Roman"/>
                <w:b w:val="0"/>
                <w:bCs w:val="0"/>
                <w:snapToGrid w:val="0"/>
                <w:color w:val="auto"/>
                <w:kern w:val="0"/>
                <w:sz w:val="21"/>
                <w:szCs w:val="21"/>
                <w:lang w:val="en-US" w:eastAsia="zh-CN" w:bidi="ar"/>
              </w:rPr>
              <w:t>89.2%</w:t>
            </w:r>
          </w:p>
        </w:tc>
      </w:tr>
    </w:tbl>
    <w:p w14:paraId="140A5D9D">
      <w:pPr>
        <w:bidi w:val="0"/>
        <w:rPr>
          <w:rFonts w:hint="eastAsia"/>
          <w:color w:val="auto"/>
          <w:lang w:val="en-US" w:eastAsia="zh-CN"/>
        </w:rPr>
      </w:pPr>
      <w:r>
        <w:rPr>
          <w:rFonts w:hint="eastAsia"/>
          <w:color w:val="auto"/>
          <w:lang w:val="en-US" w:eastAsia="zh-CN"/>
        </w:rPr>
        <w:t>从上表5.12-2可知，总分为494分，应得分为324分，扣分35分，实得分为289分，得分率为89.2%。</w:t>
      </w:r>
    </w:p>
    <w:p w14:paraId="0A9E5751">
      <w:pPr>
        <w:spacing w:line="600" w:lineRule="exact"/>
        <w:ind w:firstLine="560" w:firstLineChars="200"/>
        <w:jc w:val="left"/>
        <w:rPr>
          <w:rFonts w:hint="eastAsia" w:ascii="宋体" w:hAnsi="宋体" w:eastAsia="宋体" w:cs="Times New Roman"/>
          <w:color w:val="auto"/>
          <w:sz w:val="28"/>
          <w:szCs w:val="28"/>
          <w:lang w:val="en-US" w:eastAsia="zh-CN"/>
        </w:rPr>
      </w:pPr>
      <w:r>
        <w:rPr>
          <w:rFonts w:hint="eastAsia"/>
          <w:color w:val="auto"/>
          <w:lang w:val="en-US" w:eastAsia="zh-CN"/>
        </w:rPr>
        <w:t>依据表4-2，江西临川鲁金矿业有限公司茅排金矿地下开采系统属于B类矿山，“安全生产条件一般，能满足基本的安全生产活动”。</w:t>
      </w:r>
    </w:p>
    <w:p w14:paraId="466A69C1">
      <w:pPr>
        <w:spacing w:line="14" w:lineRule="auto"/>
        <w:rPr>
          <w:rFonts w:ascii="Arial"/>
          <w:color w:val="auto"/>
          <w:sz w:val="18"/>
          <w:szCs w:val="18"/>
        </w:rPr>
      </w:pPr>
    </w:p>
    <w:p w14:paraId="47397DA6">
      <w:pPr>
        <w:spacing w:line="14" w:lineRule="auto"/>
        <w:rPr>
          <w:rFonts w:ascii="Arial"/>
          <w:color w:val="auto"/>
          <w:sz w:val="2"/>
        </w:rPr>
      </w:pPr>
    </w:p>
    <w:p w14:paraId="7EA1C56F">
      <w:pPr>
        <w:spacing w:line="14" w:lineRule="auto"/>
        <w:rPr>
          <w:rFonts w:ascii="Arial"/>
          <w:color w:val="auto"/>
          <w:sz w:val="2"/>
        </w:rPr>
      </w:pPr>
    </w:p>
    <w:p w14:paraId="13F07362">
      <w:pPr>
        <w:spacing w:line="14" w:lineRule="auto"/>
        <w:rPr>
          <w:rFonts w:ascii="Arial"/>
          <w:color w:val="auto"/>
          <w:sz w:val="2"/>
        </w:rPr>
      </w:pPr>
      <w:r>
        <w:rPr>
          <w:rFonts w:ascii="Arial" w:hAnsi="Arial" w:eastAsia="Arial" w:cs="Arial"/>
          <w:color w:val="auto"/>
          <w:sz w:val="18"/>
          <w:szCs w:val="18"/>
        </w:rPr>
        <w:br w:type="column"/>
      </w:r>
    </w:p>
    <w:p w14:paraId="59347826">
      <w:pPr>
        <w:spacing w:line="14" w:lineRule="auto"/>
        <w:rPr>
          <w:rFonts w:ascii="Arial" w:hAnsi="Arial" w:eastAsia="Arial" w:cs="Arial"/>
          <w:color w:val="auto"/>
          <w:sz w:val="2"/>
          <w:szCs w:val="2"/>
        </w:rPr>
      </w:pPr>
    </w:p>
    <w:p w14:paraId="05AF8843">
      <w:pPr>
        <w:spacing w:line="14" w:lineRule="auto"/>
        <w:rPr>
          <w:rFonts w:ascii="Arial" w:hAnsi="Arial" w:eastAsia="Arial" w:cs="Arial"/>
          <w:color w:val="auto"/>
          <w:sz w:val="2"/>
          <w:szCs w:val="2"/>
        </w:rPr>
      </w:pPr>
    </w:p>
    <w:p w14:paraId="00B0131D">
      <w:pPr>
        <w:spacing w:line="14" w:lineRule="auto"/>
        <w:rPr>
          <w:rFonts w:ascii="Arial" w:hAnsi="Arial" w:eastAsia="Arial" w:cs="Arial"/>
          <w:color w:val="auto"/>
          <w:sz w:val="2"/>
          <w:szCs w:val="2"/>
        </w:rPr>
      </w:pPr>
    </w:p>
    <w:p w14:paraId="50C9CD34">
      <w:pPr>
        <w:spacing w:line="14" w:lineRule="auto"/>
        <w:rPr>
          <w:rFonts w:ascii="Arial" w:hAnsi="Arial" w:eastAsia="Arial" w:cs="Arial"/>
          <w:color w:val="auto"/>
          <w:sz w:val="2"/>
          <w:szCs w:val="2"/>
        </w:rPr>
      </w:pPr>
    </w:p>
    <w:p w14:paraId="7BE681DA">
      <w:pPr>
        <w:spacing w:line="14" w:lineRule="auto"/>
        <w:rPr>
          <w:rFonts w:ascii="Arial" w:hAnsi="Arial" w:eastAsia="Arial" w:cs="Arial"/>
          <w:color w:val="auto"/>
          <w:sz w:val="2"/>
          <w:szCs w:val="2"/>
        </w:rPr>
      </w:pPr>
    </w:p>
    <w:p w14:paraId="0B4614CC">
      <w:pPr>
        <w:spacing w:line="14" w:lineRule="auto"/>
        <w:rPr>
          <w:rFonts w:ascii="Arial" w:hAnsi="Arial" w:eastAsia="Arial" w:cs="Arial"/>
          <w:color w:val="auto"/>
          <w:sz w:val="2"/>
          <w:szCs w:val="2"/>
        </w:rPr>
      </w:pPr>
    </w:p>
    <w:p w14:paraId="4F652A2A">
      <w:pPr>
        <w:spacing w:line="14" w:lineRule="auto"/>
        <w:rPr>
          <w:rFonts w:ascii="Arial" w:hAnsi="Arial" w:eastAsia="Arial" w:cs="Arial"/>
          <w:color w:val="auto"/>
          <w:sz w:val="2"/>
          <w:szCs w:val="2"/>
        </w:rPr>
      </w:pPr>
    </w:p>
    <w:p w14:paraId="1D5DA674">
      <w:pPr>
        <w:spacing w:line="14" w:lineRule="auto"/>
        <w:rPr>
          <w:rFonts w:ascii="Arial" w:hAnsi="Arial" w:eastAsia="Arial" w:cs="Arial"/>
          <w:color w:val="auto"/>
          <w:sz w:val="2"/>
          <w:szCs w:val="2"/>
        </w:rPr>
      </w:pPr>
    </w:p>
    <w:p w14:paraId="1C9AD3D1">
      <w:pPr>
        <w:spacing w:line="14" w:lineRule="auto"/>
        <w:rPr>
          <w:rFonts w:ascii="Arial" w:hAnsi="Arial" w:eastAsia="Arial" w:cs="Arial"/>
          <w:color w:val="auto"/>
          <w:sz w:val="2"/>
          <w:szCs w:val="2"/>
        </w:rPr>
      </w:pPr>
    </w:p>
    <w:p w14:paraId="6A992F46">
      <w:pPr>
        <w:spacing w:line="14" w:lineRule="auto"/>
        <w:rPr>
          <w:rFonts w:ascii="Arial" w:hAnsi="Arial" w:eastAsia="Arial" w:cs="Arial"/>
          <w:color w:val="auto"/>
          <w:sz w:val="2"/>
          <w:szCs w:val="2"/>
        </w:rPr>
      </w:pPr>
    </w:p>
    <w:p w14:paraId="0413D6AF">
      <w:pPr>
        <w:spacing w:line="14" w:lineRule="auto"/>
        <w:rPr>
          <w:rFonts w:ascii="Arial" w:hAnsi="Arial" w:eastAsia="Arial" w:cs="Arial"/>
          <w:color w:val="auto"/>
          <w:sz w:val="2"/>
          <w:szCs w:val="2"/>
        </w:rPr>
      </w:pPr>
    </w:p>
    <w:p w14:paraId="1F66E646">
      <w:pPr>
        <w:spacing w:line="14" w:lineRule="auto"/>
        <w:rPr>
          <w:rFonts w:ascii="Arial" w:hAnsi="Arial" w:eastAsia="Arial" w:cs="Arial"/>
          <w:color w:val="auto"/>
          <w:sz w:val="2"/>
          <w:szCs w:val="2"/>
        </w:rPr>
      </w:pPr>
    </w:p>
    <w:p w14:paraId="4BB6513E">
      <w:pPr>
        <w:spacing w:line="14" w:lineRule="auto"/>
        <w:rPr>
          <w:rFonts w:ascii="Arial" w:hAnsi="Arial" w:eastAsia="Arial" w:cs="Arial"/>
          <w:color w:val="auto"/>
          <w:sz w:val="2"/>
          <w:szCs w:val="2"/>
        </w:rPr>
      </w:pPr>
    </w:p>
    <w:p w14:paraId="4286F275">
      <w:pPr>
        <w:spacing w:line="14" w:lineRule="auto"/>
        <w:rPr>
          <w:rFonts w:ascii="Arial" w:hAnsi="Arial" w:eastAsia="Arial" w:cs="Arial"/>
          <w:color w:val="auto"/>
          <w:sz w:val="2"/>
          <w:szCs w:val="2"/>
        </w:rPr>
      </w:pPr>
    </w:p>
    <w:p w14:paraId="33E351FD">
      <w:pPr>
        <w:spacing w:line="14" w:lineRule="auto"/>
        <w:rPr>
          <w:rFonts w:ascii="Arial" w:hAnsi="Arial" w:eastAsia="Arial" w:cs="Arial"/>
          <w:color w:val="auto"/>
          <w:sz w:val="2"/>
          <w:szCs w:val="2"/>
        </w:rPr>
      </w:pPr>
    </w:p>
    <w:p w14:paraId="3B801740">
      <w:pPr>
        <w:spacing w:line="14" w:lineRule="auto"/>
        <w:rPr>
          <w:rFonts w:ascii="Arial" w:hAnsi="Arial" w:eastAsia="Arial" w:cs="Arial"/>
          <w:color w:val="auto"/>
          <w:sz w:val="2"/>
          <w:szCs w:val="2"/>
        </w:rPr>
      </w:pPr>
    </w:p>
    <w:p w14:paraId="7213CCF1">
      <w:pPr>
        <w:spacing w:line="14" w:lineRule="auto"/>
        <w:rPr>
          <w:rFonts w:ascii="Arial" w:hAnsi="Arial" w:eastAsia="Arial" w:cs="Arial"/>
          <w:color w:val="auto"/>
          <w:sz w:val="2"/>
          <w:szCs w:val="2"/>
        </w:rPr>
      </w:pPr>
    </w:p>
    <w:p w14:paraId="58541B1A">
      <w:pPr>
        <w:spacing w:line="14" w:lineRule="auto"/>
        <w:rPr>
          <w:rFonts w:ascii="Arial" w:hAnsi="Arial" w:eastAsia="Arial" w:cs="Arial"/>
          <w:color w:val="auto"/>
          <w:sz w:val="2"/>
          <w:szCs w:val="2"/>
        </w:rPr>
      </w:pPr>
    </w:p>
    <w:p w14:paraId="5C79F5DD">
      <w:pPr>
        <w:spacing w:line="14" w:lineRule="auto"/>
        <w:rPr>
          <w:rFonts w:ascii="Arial" w:hAnsi="Arial" w:eastAsia="Arial" w:cs="Arial"/>
          <w:color w:val="auto"/>
          <w:sz w:val="2"/>
          <w:szCs w:val="2"/>
        </w:rPr>
      </w:pPr>
    </w:p>
    <w:p w14:paraId="2C724DCB">
      <w:pPr>
        <w:spacing w:line="14" w:lineRule="auto"/>
        <w:rPr>
          <w:rFonts w:ascii="Arial" w:hAnsi="Arial" w:eastAsia="Arial" w:cs="Arial"/>
          <w:color w:val="auto"/>
          <w:sz w:val="2"/>
          <w:szCs w:val="2"/>
        </w:rPr>
      </w:pPr>
    </w:p>
    <w:p w14:paraId="107704A3">
      <w:pPr>
        <w:spacing w:line="14" w:lineRule="auto"/>
        <w:rPr>
          <w:rFonts w:ascii="Arial"/>
          <w:color w:val="auto"/>
          <w:sz w:val="18"/>
          <w:szCs w:val="18"/>
        </w:rPr>
      </w:pPr>
    </w:p>
    <w:p w14:paraId="66CFCE31">
      <w:pPr>
        <w:pStyle w:val="2"/>
        <w:keepNext w:val="0"/>
        <w:keepLines w:val="0"/>
        <w:pageBreakBefore w:val="0"/>
        <w:widowControl w:val="0"/>
        <w:wordWrap/>
        <w:overflowPunct/>
        <w:topLinePunct w:val="0"/>
        <w:bidi w:val="0"/>
        <w:spacing w:beforeLines="0" w:afterLines="0"/>
        <w:rPr>
          <w:rFonts w:hint="eastAsia"/>
          <w:color w:val="auto"/>
          <w:lang w:val="en-US" w:eastAsia="zh-CN"/>
        </w:rPr>
      </w:pPr>
      <w:bookmarkStart w:id="984" w:name="_Toc10337"/>
      <w:bookmarkStart w:id="985" w:name="_Toc2390"/>
      <w:bookmarkStart w:id="986" w:name="_Toc15287"/>
      <w:bookmarkStart w:id="987" w:name="_Toc8680"/>
      <w:bookmarkStart w:id="988" w:name="_Toc13686"/>
      <w:bookmarkStart w:id="989" w:name="_Toc22480"/>
      <w:bookmarkStart w:id="990" w:name="_Toc27436"/>
      <w:bookmarkStart w:id="991" w:name="_Toc1420"/>
      <w:bookmarkStart w:id="992" w:name="_Toc8011"/>
      <w:bookmarkStart w:id="993" w:name="_Toc1922"/>
      <w:r>
        <w:rPr>
          <w:rFonts w:hint="eastAsia"/>
          <w:color w:val="auto"/>
          <w:lang w:val="en-US" w:eastAsia="zh-CN"/>
        </w:rPr>
        <w:t>6 安全管理对策措施</w:t>
      </w:r>
      <w:bookmarkEnd w:id="984"/>
      <w:bookmarkEnd w:id="985"/>
      <w:bookmarkEnd w:id="986"/>
      <w:bookmarkEnd w:id="987"/>
      <w:bookmarkEnd w:id="988"/>
      <w:bookmarkEnd w:id="989"/>
      <w:bookmarkEnd w:id="990"/>
      <w:bookmarkEnd w:id="991"/>
      <w:bookmarkEnd w:id="992"/>
      <w:bookmarkEnd w:id="993"/>
      <w:bookmarkStart w:id="994" w:name="_Toc23055"/>
      <w:bookmarkStart w:id="995" w:name="_Toc95"/>
    </w:p>
    <w:p w14:paraId="63037293">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996" w:name="_Toc4404"/>
      <w:bookmarkStart w:id="997" w:name="_Toc1393"/>
      <w:bookmarkStart w:id="998" w:name="_Toc7962"/>
      <w:bookmarkStart w:id="999" w:name="_Toc29592"/>
      <w:bookmarkStart w:id="1000" w:name="_Toc32359"/>
      <w:bookmarkStart w:id="1001" w:name="_Toc22932"/>
      <w:bookmarkStart w:id="1002" w:name="_Toc9706"/>
      <w:bookmarkStart w:id="1003" w:name="_Toc19102"/>
      <w:bookmarkStart w:id="1004" w:name="_Toc11492"/>
      <w:r>
        <w:rPr>
          <w:rFonts w:hint="eastAsia"/>
          <w:color w:val="auto"/>
          <w:lang w:val="en-US" w:eastAsia="zh-CN"/>
        </w:rPr>
        <w:t>6.1 安全管理对策措施</w:t>
      </w:r>
      <w:bookmarkEnd w:id="996"/>
      <w:bookmarkEnd w:id="997"/>
      <w:bookmarkEnd w:id="998"/>
    </w:p>
    <w:p w14:paraId="52C24A05">
      <w:pPr>
        <w:keepNext w:val="0"/>
        <w:keepLines w:val="0"/>
        <w:pageBreakBefore w:val="0"/>
        <w:widowControl w:val="0"/>
        <w:wordWrap/>
        <w:overflowPunct/>
        <w:topLinePunct w:val="0"/>
        <w:bidi w:val="0"/>
        <w:rPr>
          <w:rFonts w:hint="eastAsia"/>
          <w:color w:val="auto"/>
          <w:lang w:val="en-US" w:eastAsia="zh-CN"/>
        </w:rPr>
      </w:pPr>
      <w:bookmarkStart w:id="1005" w:name="_Toc500748728"/>
      <w:r>
        <w:rPr>
          <w:rFonts w:hint="eastAsia"/>
          <w:color w:val="auto"/>
          <w:lang w:val="en-US" w:eastAsia="zh-CN"/>
        </w:rPr>
        <w:t>1)在醒目位置和重点区域分别设置安全风险公告栏，制作岗位安全风险告知卡，注明主要安全风险、可能引发的事故类别和后果、控制和应急措施等内容，确保每名员工都能掌握安全风险的基本情况及防范、应急措施。对存在重大安全风险的工作场所和岗位，要设置明显警示标志，并强化危险源监测和预警。</w:t>
      </w:r>
    </w:p>
    <w:p w14:paraId="6DA37FE1">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应加强员工安全生产和自我保护的安全意识教育，普及安全知识和安全法律知识，进行技术和业务培训；对所有人员，每年至少接受20小时的安全教育。新进员工必须进行不少于72小时安全教育，经考试合格后，方可独立工作。调换工种的人员，必须进行新岗位安全操作教育的培训。各类安全教育和培训做到有培训记录。</w:t>
      </w:r>
    </w:p>
    <w:p w14:paraId="063F76F9">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3)公司应坚持每季度1次对井下工程图纸更新和技术资料收集整理分类归档工作，以指导矿山安全生产。</w:t>
      </w:r>
    </w:p>
    <w:p w14:paraId="12573E52">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4)矿山应完善现场安全确认制度，形成相关的确认记录。</w:t>
      </w:r>
    </w:p>
    <w:p w14:paraId="19F95F9A">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5)切实落实外包爆破作业单位的统一安全管理，做到管理、培训、检查、考核、奖惩“五统一”,严禁“以包代管、包而不管”。严禁承包单位转包和非法分包采掘工程项目。</w:t>
      </w:r>
      <w:r>
        <w:rPr>
          <w:rFonts w:hint="eastAsia" w:ascii="宋体" w:hAnsi="宋体" w:eastAsia="宋体" w:cs="宋体"/>
          <w:i w:val="0"/>
          <w:iCs w:val="0"/>
          <w:caps w:val="0"/>
          <w:color w:val="auto"/>
          <w:spacing w:val="0"/>
          <w:sz w:val="28"/>
          <w:szCs w:val="28"/>
          <w:shd w:val="clear" w:color="auto" w:fill="FFFFFF"/>
        </w:rPr>
        <w:t>企业</w:t>
      </w:r>
      <w:r>
        <w:rPr>
          <w:rFonts w:hint="eastAsia"/>
          <w:color w:val="auto"/>
          <w:lang w:val="en-US" w:eastAsia="zh-CN"/>
        </w:rPr>
        <w:t>建立本单位采掘施工队伍或者委托具备相应条件的企业整体管理。</w:t>
      </w:r>
    </w:p>
    <w:p w14:paraId="4E856649">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6)配备</w:t>
      </w:r>
      <w:r>
        <w:rPr>
          <w:rFonts w:hint="default"/>
          <w:color w:val="auto"/>
          <w:lang w:val="en-US" w:eastAsia="zh-CN"/>
        </w:rPr>
        <w:t>注册安全工程师从事安全生产管理工作</w:t>
      </w:r>
      <w:r>
        <w:rPr>
          <w:rFonts w:hint="eastAsia"/>
          <w:color w:val="auto"/>
          <w:lang w:val="en-US" w:eastAsia="zh-CN"/>
        </w:rPr>
        <w:t>。</w:t>
      </w:r>
    </w:p>
    <w:p w14:paraId="4A761179">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7）巩固矿山安全生产标准化成果，持续改进矿山安全生产标准化所做的各项基础工作；继续深化班组标准化建设，以及风险管控体系与隐患排查体系双重预防机制建设。</w:t>
      </w:r>
    </w:p>
    <w:p w14:paraId="608B9561">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8）加强对安全出口设施的维护，确保出口畅通，照明良好，所有井下作业人员都必须熟悉矿井安全出口。</w:t>
      </w:r>
    </w:p>
    <w:bookmarkEnd w:id="1005"/>
    <w:p w14:paraId="6004CE27">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06" w:name="_Toc31482"/>
      <w:bookmarkStart w:id="1007" w:name="_Toc29654"/>
      <w:bookmarkStart w:id="1008" w:name="_Toc21419"/>
      <w:r>
        <w:rPr>
          <w:rFonts w:hint="eastAsia"/>
          <w:color w:val="auto"/>
          <w:lang w:val="en-US" w:eastAsia="zh-CN"/>
        </w:rPr>
        <w:t>6.2 爆破安全对策措施</w:t>
      </w:r>
      <w:bookmarkEnd w:id="1006"/>
      <w:bookmarkEnd w:id="1007"/>
      <w:bookmarkEnd w:id="1008"/>
    </w:p>
    <w:p w14:paraId="1119D89C">
      <w:pPr>
        <w:keepNext w:val="0"/>
        <w:keepLines w:val="0"/>
        <w:pageBreakBefore w:val="0"/>
        <w:widowControl w:val="0"/>
        <w:wordWrap/>
        <w:overflowPunct/>
        <w:topLinePunct w:val="0"/>
        <w:bidi w:val="0"/>
        <w:rPr>
          <w:rFonts w:hint="eastAsia"/>
          <w:color w:val="auto"/>
          <w:lang w:val="en-US" w:eastAsia="zh-CN"/>
        </w:rPr>
      </w:pPr>
      <w:r>
        <w:rPr>
          <w:rFonts w:hint="eastAsia"/>
          <w:color w:val="auto"/>
          <w:spacing w:val="-6"/>
          <w:sz w:val="28"/>
          <w:lang w:val="en-US" w:eastAsia="zh-CN"/>
        </w:rPr>
        <w:t>1)强化炸药运送过程中的安全管理，坚持双人双锁、爆破器材领用退管理制度；坚持临时爆破器材存放点炸药与雷管分箱存放并上锁，防止丢失。</w:t>
      </w:r>
    </w:p>
    <w:p w14:paraId="2FC724F3">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2)井下爆破时一定要规定时间、要设置爆破警戒线、其它作业人员要撤离作业现场到安全区避炮，在醒目的位置设置明显安全警示牌。</w:t>
      </w:r>
    </w:p>
    <w:p w14:paraId="51A81903">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3)每次爆破后，爆破员应认真填写爆破记录，记录内容包括爆破时间、警戒情况、领药量、用药量、退料情况、爆破效果、盲炮处理、安全情况及下一个班应注意的事项。</w:t>
      </w:r>
    </w:p>
    <w:p w14:paraId="1801C907">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09" w:name="_Toc2854"/>
      <w:bookmarkStart w:id="1010" w:name="_Toc31409"/>
      <w:bookmarkStart w:id="1011" w:name="_Toc32537"/>
      <w:r>
        <w:rPr>
          <w:rFonts w:hint="eastAsia"/>
          <w:color w:val="auto"/>
          <w:lang w:val="en-US" w:eastAsia="zh-CN"/>
        </w:rPr>
        <w:t>6.3 防</w:t>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t>安全对策措施</w:t>
      </w:r>
      <w:bookmarkEnd w:id="1009"/>
      <w:bookmarkEnd w:id="1010"/>
      <w:bookmarkEnd w:id="1011"/>
    </w:p>
    <w:p w14:paraId="5BECE0A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对所有支护的井巷，均应进行定期检查。地压较大的井巷和人员活动频繁的采矿巷道，应每班进行检查，检查发现的问题，应及时处理，并作好记录。对于暂时不作业的采场和不进入的中段，应采取及时封闭，封闭之前，入口处应设有明显标志，禁止人员人内。</w:t>
      </w:r>
    </w:p>
    <w:p w14:paraId="1526183F">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2)加强地压管理，对保安矿柱、斜井、天井、回风井、巷道、采场顶板实行分级管理、专业检查、建立检查台帐，及时整理分析，掌握地压变化情况。</w:t>
      </w:r>
    </w:p>
    <w:p w14:paraId="7AB358D0">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3)在松软的岩层及地质破碎带、断层带顶底板不稳定掘进时，采取前探支护采用短掘短支，并加强临时支护。</w:t>
      </w:r>
    </w:p>
    <w:p w14:paraId="6BD7F28F">
      <w:pPr>
        <w:keepNext w:val="0"/>
        <w:keepLines w:val="0"/>
        <w:pageBreakBefore w:val="0"/>
        <w:widowControl w:val="0"/>
        <w:wordWrap/>
        <w:overflowPunct/>
        <w:topLinePunct w:val="0"/>
        <w:bidi w:val="0"/>
        <w:rPr>
          <w:rFonts w:hint="eastAsia" w:ascii="宋体" w:hAnsi="宋体" w:eastAsia="宋体" w:cs="Times New Roman"/>
          <w:color w:val="auto"/>
          <w:spacing w:val="-6"/>
          <w:sz w:val="28"/>
          <w:lang w:val="en-US" w:eastAsia="zh-CN"/>
        </w:rPr>
      </w:pPr>
      <w:r>
        <w:rPr>
          <w:rFonts w:hint="eastAsia" w:ascii="宋体" w:hAnsi="宋体" w:eastAsia="宋体" w:cs="Times New Roman"/>
          <w:color w:val="auto"/>
          <w:spacing w:val="-6"/>
          <w:sz w:val="28"/>
          <w:lang w:val="en-US" w:eastAsia="zh-CN"/>
        </w:rPr>
        <w:t>4)裸露运输巷道必须坚持巡回检查，及时处理顶、帮松石；监督支柱工、凿岩工、运矿工坚持敲帮问顶工作；对不安全的地段及时进行永久性支护。</w:t>
      </w:r>
    </w:p>
    <w:p w14:paraId="40057CCE">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cs="Times New Roman"/>
          <w:color w:val="auto"/>
          <w:sz w:val="28"/>
          <w:szCs w:val="28"/>
          <w:lang w:val="en-US" w:eastAsia="zh-CN"/>
        </w:rPr>
        <w:t>5</w:t>
      </w:r>
      <w:r>
        <w:rPr>
          <w:rFonts w:hint="eastAsia" w:ascii="宋体" w:hAnsi="宋体" w:eastAsia="宋体" w:cs="Times New Roman"/>
          <w:color w:val="auto"/>
          <w:sz w:val="28"/>
          <w:szCs w:val="28"/>
          <w:lang w:val="en-US" w:eastAsia="zh-CN"/>
        </w:rPr>
        <w:t>)按设计开采顺序进行采矿，回采过程中应认真检查顶板，处理浮石。</w:t>
      </w:r>
    </w:p>
    <w:p w14:paraId="20C35A22">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cs="Times New Roman"/>
          <w:color w:val="auto"/>
          <w:sz w:val="28"/>
          <w:szCs w:val="28"/>
          <w:lang w:val="en-US" w:eastAsia="zh-CN"/>
        </w:rPr>
        <w:t>6</w:t>
      </w:r>
      <w:r>
        <w:rPr>
          <w:rFonts w:hint="eastAsia" w:ascii="宋体" w:hAnsi="宋体" w:eastAsia="宋体" w:cs="Times New Roman"/>
          <w:color w:val="auto"/>
          <w:sz w:val="28"/>
          <w:szCs w:val="28"/>
          <w:lang w:val="en-US" w:eastAsia="zh-CN"/>
        </w:rPr>
        <w:t>)按设计要求留设矿柱，应严格保持矿柱(含顶柱、间柱等)的尺寸、形状和直立度，且应有专人检查和管理，以保证其在整个利用期间的稳性。</w:t>
      </w:r>
    </w:p>
    <w:p w14:paraId="646D9244">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cs="Times New Roman"/>
          <w:color w:val="auto"/>
          <w:sz w:val="28"/>
          <w:szCs w:val="28"/>
          <w:lang w:val="en-US" w:eastAsia="zh-CN"/>
        </w:rPr>
        <w:t>7</w:t>
      </w:r>
      <w:r>
        <w:rPr>
          <w:rFonts w:hint="eastAsia" w:ascii="宋体" w:hAnsi="宋体" w:eastAsia="宋体" w:cs="Times New Roman"/>
          <w:color w:val="auto"/>
          <w:sz w:val="28"/>
          <w:szCs w:val="28"/>
          <w:lang w:val="en-US" w:eastAsia="zh-CN"/>
        </w:rPr>
        <w:t>)围岩松软或节理裂隙发育的不稳固的回采工作面、采准和切割巷道，应采取支护措施；因爆破或其他原因而受破坏的支护，应及时修复，确认安全后方准作业。</w:t>
      </w:r>
    </w:p>
    <w:bookmarkEnd w:id="999"/>
    <w:bookmarkEnd w:id="1000"/>
    <w:bookmarkEnd w:id="1001"/>
    <w:bookmarkEnd w:id="1002"/>
    <w:bookmarkEnd w:id="1003"/>
    <w:bookmarkEnd w:id="1004"/>
    <w:p w14:paraId="115774E6">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12" w:name="_Toc28445"/>
      <w:r>
        <w:rPr>
          <w:rFonts w:hint="eastAsia"/>
          <w:color w:val="auto"/>
          <w:lang w:val="en-US" w:eastAsia="zh-CN"/>
        </w:rPr>
        <w:t>6.4 防中毒、窒息安全对策措施</w:t>
      </w:r>
      <w:bookmarkEnd w:id="1012"/>
    </w:p>
    <w:p w14:paraId="74E2BEE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1)加强矿山通风系统的管理，通风设备设施保持完好；坚持值班人员巡回检查；保持主扇、局扇按时开启和运行；发挥风速风压监控技术作用；认真做好通风设备运行记录。</w:t>
      </w:r>
    </w:p>
    <w:p w14:paraId="049DAD34">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2)及时密闭采空区或废弃巷道，检查维护保持好通风建构筑物，防止上下中段、各作业点巷道污风串联现象发生；通风困难的掘进面或采场实行局部通风，保证通风良好。</w:t>
      </w:r>
    </w:p>
    <w:p w14:paraId="24FC484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3)管理人员应监督作业人员爆破后、放矿时的洒水降尘，监督检查作业人员正确佩戴防尘口罩；在有可能产生有毒有害气体的采空区要及时密闭，并设置安全警示牌，严禁人员误入，防止意外中毒。</w:t>
      </w:r>
    </w:p>
    <w:p w14:paraId="2B486436">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4)确保足够数量的压缩氧自救器和便携式综合气体检测仪，监督井下员工正确使用压缩氧自救器和便携式综合气体检测仪。</w:t>
      </w:r>
    </w:p>
    <w:p w14:paraId="2C57DDAE">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5)配齐主扇检测仪，定时对主扇运行情况检测；加强局部风机管理及阻燃风筒的平直悬挂，减少通风阻力。</w:t>
      </w:r>
    </w:p>
    <w:p w14:paraId="084795AC">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6)报废的井巷和硐室的入口，应及时封闭。封闭之前，入口处应设有明显标志，禁止人员人内。报废的竖井、斜井和平巷，地面入口周围还应设有高度不低于1.5m的栅栏，并标明原来井巷的名称。</w:t>
      </w:r>
    </w:p>
    <w:p w14:paraId="734230EC">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7)停止作业并己撤除通风设备而又无贯穿风流通风的采场、独头上山或较长的独头巷道，应设栅栏和警示标志，防止人员进入。若需要重新进入，应进行通风和分析空气成分，确认安全方准进入。</w:t>
      </w:r>
    </w:p>
    <w:p w14:paraId="0BD4005C">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8)应定期测定矿井风量，掌握矿井总进风、有效风量等情况，为矿井合理分配风量提供依据。</w:t>
      </w:r>
    </w:p>
    <w:p w14:paraId="705B8B7E">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9)根据矿井用风地点分布、通风网络情况，合理设置通风设施，尽可能避免串联通风，提高矿井通风质量。</w:t>
      </w:r>
    </w:p>
    <w:p w14:paraId="29CC5620">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10)加强对通风设施的检查维护，确保通风设施完好、有效。</w:t>
      </w:r>
    </w:p>
    <w:p w14:paraId="6EABA4EF">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11)要合理安排爆破时间和爆破顺序，所有的作业面在规定的时间段内完成爆破作业，爆破前，所有人员撤离到安全地带。独头巷道掘进工作面爆破时，采用局扇加强通风，保持工作面与新鲜风流巷道之畅通；爆破后作业人员进入工作面之前，采用局扇将爆破后产生的炮烟、粉尘导入回风巷，由主扇排出地表，并用水喷洒爆堆。</w:t>
      </w:r>
    </w:p>
    <w:p w14:paraId="78C95122">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13" w:name="_Toc14391"/>
      <w:bookmarkStart w:id="1014" w:name="_Toc23743"/>
      <w:bookmarkStart w:id="1015" w:name="_Toc7957"/>
      <w:bookmarkStart w:id="1016" w:name="_Toc67404295"/>
      <w:r>
        <w:rPr>
          <w:rFonts w:hint="eastAsia"/>
          <w:color w:val="auto"/>
          <w:lang w:val="en-US" w:eastAsia="zh-CN"/>
        </w:rPr>
        <w:t>6.5 防高处坠落安全对策措施</w:t>
      </w:r>
      <w:bookmarkEnd w:id="1013"/>
      <w:bookmarkEnd w:id="1014"/>
      <w:bookmarkEnd w:id="1015"/>
      <w:bookmarkEnd w:id="1016"/>
    </w:p>
    <w:p w14:paraId="2C9C8D14">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1)加强高处作业管理，加强安全培训，增强职工安全意识，在井口临边作业系好安全带（绳），做好安全防护；从事高处作业时要采用“工作票”制度，作业人员必须系好安全带；作业平台设置防护栏或安全网。</w:t>
      </w:r>
    </w:p>
    <w:p w14:paraId="107DF934">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2)在天井明显位置设置安全警示牌、照明灯、护栏或盖板。</w:t>
      </w:r>
    </w:p>
    <w:p w14:paraId="03071DFC">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3)加强对天井、溜井安全设施的维护保养，确保天井、溜井安全设施完好。</w:t>
      </w:r>
    </w:p>
    <w:p w14:paraId="390B1D98">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4)在天井、溜井和漏斗口上方作业，以及在相对于坠落基准面2m及以上的其他地点作业，作业人员应系安全带，或者在作业点下方设防坠保护平台或安全网。作业时，应设专人监护。</w:t>
      </w:r>
    </w:p>
    <w:p w14:paraId="0286872F">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17" w:name="_Toc11984"/>
      <w:r>
        <w:rPr>
          <w:rFonts w:hint="eastAsia"/>
          <w:color w:val="auto"/>
          <w:lang w:val="en-US" w:eastAsia="zh-CN"/>
        </w:rPr>
        <w:t>6.6 防火灾安全对策措施</w:t>
      </w:r>
      <w:bookmarkEnd w:id="1017"/>
    </w:p>
    <w:p w14:paraId="70760319">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1)井下电线、电缆使用低烟、低卤或无卤阻燃电缆；井下需要支护的巷道采用阻燃材料支护。</w:t>
      </w:r>
    </w:p>
    <w:p w14:paraId="7D50CF72">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2)矿区周边杂草、杂物应经常清理；重要场所应配置一定数量的符合要求的消防器材或灭火器，明确责任人，定期检查、确保有效。</w:t>
      </w:r>
    </w:p>
    <w:p w14:paraId="5877928C">
      <w:pPr>
        <w:keepNext w:val="0"/>
        <w:keepLines w:val="0"/>
        <w:pageBreakBefore w:val="0"/>
        <w:widowControl w:val="0"/>
        <w:kinsoku/>
        <w:wordWrap/>
        <w:overflowPunct/>
        <w:topLinePunct w:val="0"/>
        <w:autoSpaceDE/>
        <w:autoSpaceDN/>
        <w:bidi w:val="0"/>
        <w:adjustRightInd/>
        <w:snapToGrid/>
        <w:spacing w:beforeAutospacing="0" w:line="600" w:lineRule="exact"/>
        <w:ind w:firstLine="536" w:firstLineChars="200"/>
        <w:jc w:val="left"/>
        <w:textAlignment w:val="auto"/>
        <w:rPr>
          <w:rFonts w:hint="eastAsia" w:ascii="宋体" w:hAnsi="宋体" w:eastAsia="宋体" w:cs="Times New Roman"/>
          <w:color w:val="auto"/>
          <w:sz w:val="28"/>
          <w:szCs w:val="28"/>
          <w:lang w:val="en-US" w:eastAsia="zh-CN"/>
        </w:rPr>
      </w:pPr>
      <w:r>
        <w:rPr>
          <w:rFonts w:hint="eastAsia" w:ascii="宋体" w:hAnsi="宋体" w:eastAsia="宋体" w:cs="Times New Roman"/>
          <w:color w:val="auto"/>
          <w:spacing w:val="-6"/>
          <w:sz w:val="28"/>
          <w:szCs w:val="28"/>
          <w:lang w:val="en-US" w:eastAsia="zh-CN"/>
        </w:rPr>
        <w:t>3)井下动火作业必须采用“工作票”制度，有可靠的防火措施方可作业。</w:t>
      </w:r>
    </w:p>
    <w:p w14:paraId="2F04F6BA">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4)加强井下易燃物的管理，与当地消防部门建立联系信息。</w:t>
      </w:r>
    </w:p>
    <w:p w14:paraId="1CA7A1AF">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18" w:name="_Toc421"/>
      <w:r>
        <w:rPr>
          <w:rFonts w:hint="eastAsia"/>
          <w:color w:val="auto"/>
          <w:lang w:val="en-US" w:eastAsia="zh-CN"/>
        </w:rPr>
        <w:t>6.7 防触电安全对策措施</w:t>
      </w:r>
      <w:bookmarkEnd w:id="1018"/>
    </w:p>
    <w:p w14:paraId="0A926CBA">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1)电工从事高压停、送电时要采用“工作票”制度；电气检修应采取停电、验电、接地、上锁（挂牌）措施后方可作业；带电作业时必须有监护人在场。</w:t>
      </w:r>
    </w:p>
    <w:p w14:paraId="70C336F5">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2)定期检查检测避雷装置的完好性；定期检测地面设备外壳接地电阻和井下接地网的接地电阻；按照规定每天对漏电保护装置进行检查及试验，并做好记录。</w:t>
      </w:r>
    </w:p>
    <w:p w14:paraId="3189E5DF">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3)井下所有电气设备的金属外壳及电缆的配件、金属外皮等，均应接地。巷道中接近电缆线路的金属构筑物等也应接地。</w:t>
      </w:r>
    </w:p>
    <w:p w14:paraId="237E6413">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硐室内各种电气设备的控制装置，应注明编号和用途，并有停送电标志。硐室入口应悬挂“非工作人员禁止人内”的标志牌，高压电气设备应悬挂“高压危险”的标志牌，并应有照明。没有安排专人值班的硐室，应关门加锁。</w:t>
      </w:r>
    </w:p>
    <w:p w14:paraId="2C6E033D">
      <w:pPr>
        <w:pStyle w:val="4"/>
        <w:keepNext w:val="0"/>
        <w:keepLines w:val="0"/>
        <w:pageBreakBefore w:val="0"/>
        <w:widowControl w:val="0"/>
        <w:wordWrap/>
        <w:overflowPunct/>
        <w:topLinePunct w:val="0"/>
        <w:bidi w:val="0"/>
        <w:spacing w:beforeLines="0" w:afterLines="0"/>
        <w:rPr>
          <w:rFonts w:hint="eastAsia" w:ascii="Arial" w:hAnsi="Arial" w:eastAsia="宋体" w:cs="Times New Roman"/>
          <w:color w:val="auto"/>
          <w:lang w:val="en-US" w:eastAsia="zh-CN"/>
        </w:rPr>
      </w:pPr>
      <w:bookmarkStart w:id="1019" w:name="_Toc30796"/>
      <w:bookmarkStart w:id="1020" w:name="_Toc32215"/>
      <w:bookmarkStart w:id="1021" w:name="_Toc27883"/>
      <w:bookmarkStart w:id="1022" w:name="_Toc17777"/>
      <w:bookmarkStart w:id="1023" w:name="_Toc28357"/>
      <w:bookmarkStart w:id="1024" w:name="_Toc32707"/>
      <w:bookmarkStart w:id="1025" w:name="_Toc8261"/>
      <w:r>
        <w:rPr>
          <w:rFonts w:hint="eastAsia"/>
          <w:color w:val="auto"/>
          <w:lang w:val="en-US" w:eastAsia="zh-CN"/>
        </w:rPr>
        <w:t>6.8 防</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安全对策措施</w:t>
      </w:r>
      <w:bookmarkEnd w:id="1019"/>
      <w:bookmarkEnd w:id="1020"/>
      <w:bookmarkEnd w:id="1021"/>
      <w:bookmarkEnd w:id="1022"/>
      <w:bookmarkEnd w:id="1023"/>
      <w:bookmarkEnd w:id="1024"/>
      <w:bookmarkEnd w:id="1025"/>
    </w:p>
    <w:p w14:paraId="08072B18">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1)加强对运矿设备设施的检查与维护，确保运矿设备性能良好，其各个工作系统能正常工作；</w:t>
      </w:r>
    </w:p>
    <w:p w14:paraId="54BC846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2)现场作业时，配备专职人员对现场进行指挥，确保装车过程中，各设备设施之间的安全距离符合要求；</w:t>
      </w:r>
    </w:p>
    <w:p w14:paraId="2B0BDCDA">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3）加强对驾驶员的技能培训和安全意识培训以及现场的安全管理，对存在超载、超速、疲劳驾驶等违章行为进行专项检查。</w:t>
      </w:r>
    </w:p>
    <w:p w14:paraId="687357C7">
      <w:pPr>
        <w:keepNext w:val="0"/>
        <w:keepLines w:val="0"/>
        <w:pageBreakBefore w:val="0"/>
        <w:widowControl w:val="0"/>
        <w:wordWrap/>
        <w:overflowPunct/>
        <w:topLinePunct w:val="0"/>
        <w:bidi w:val="0"/>
        <w:rPr>
          <w:rFonts w:hint="default"/>
          <w:color w:val="auto"/>
          <w:lang w:val="en-US" w:eastAsia="zh-CN"/>
        </w:rPr>
      </w:pPr>
      <w:r>
        <w:rPr>
          <w:rFonts w:hint="eastAsia"/>
          <w:color w:val="auto"/>
          <w:lang w:val="en-US" w:eastAsia="zh-CN"/>
        </w:rPr>
        <w:t>4）严禁司机酒后上岗。</w:t>
      </w:r>
    </w:p>
    <w:p w14:paraId="16ED4486">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26" w:name="_Toc67404299"/>
      <w:bookmarkStart w:id="1027" w:name="_Toc16735"/>
      <w:bookmarkStart w:id="1028" w:name="_Toc26390"/>
      <w:bookmarkStart w:id="1029" w:name="_Toc26488"/>
      <w:r>
        <w:rPr>
          <w:rFonts w:hint="eastAsia"/>
          <w:color w:val="auto"/>
          <w:lang w:val="en-US" w:eastAsia="zh-CN"/>
        </w:rPr>
        <w:t>6.9 防容器爆炸安全对策措施</w:t>
      </w:r>
      <w:bookmarkEnd w:id="1026"/>
      <w:bookmarkEnd w:id="1027"/>
      <w:bookmarkEnd w:id="1028"/>
      <w:bookmarkEnd w:id="1029"/>
    </w:p>
    <w:p w14:paraId="33CE8313">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1)按有关规定定期检测储气罐、安全阀、压力表，并取得检测合格证或报告。</w:t>
      </w:r>
    </w:p>
    <w:p w14:paraId="5A3D088F">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2)加强空压机维护保养，停机按照规程操作，储气罐及时卸压、放水保养。</w:t>
      </w:r>
    </w:p>
    <w:p w14:paraId="4CE73E6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3)空压机和储气罐内的油垢要定期清除。</w:t>
      </w:r>
    </w:p>
    <w:p w14:paraId="47732D19">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4)空压机起动前检查曲轴和注油器油位不应低于油标规定，长期停车或修理后的空压机或间断运行的空压机，启动前应盘车几圈，确定无故障后，方可启动运行；</w:t>
      </w:r>
    </w:p>
    <w:p w14:paraId="5FE5953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2)有下列状况之一的，应马上停车：如空压机和电机有特别声响，部分或全部气温特别上升；表、针损坏，经调整无效；润滑中断，冷却风扇因故障停机，有漏油、漏气现象。</w:t>
      </w:r>
    </w:p>
    <w:p w14:paraId="3B03457E">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30" w:name="_Toc12123"/>
      <w:r>
        <w:rPr>
          <w:rFonts w:hint="eastAsia"/>
          <w:color w:val="auto"/>
          <w:lang w:val="en-US" w:eastAsia="zh-CN"/>
        </w:rPr>
        <w:t>6.10 防水害安全对策措施</w:t>
      </w:r>
      <w:bookmarkEnd w:id="1030"/>
    </w:p>
    <w:p w14:paraId="3A99614A">
      <w:pPr>
        <w:keepNext w:val="0"/>
        <w:keepLines w:val="0"/>
        <w:pageBreakBefore w:val="0"/>
        <w:widowControl w:val="0"/>
        <w:wordWrap/>
        <w:overflowPunct/>
        <w:topLinePunct w:val="0"/>
        <w:bidi w:val="0"/>
        <w:rPr>
          <w:rFonts w:hint="eastAsia" w:ascii="宋体" w:hAnsi="宋体" w:eastAsia="宋体" w:cs="Times New Roman"/>
          <w:color w:val="auto"/>
          <w:spacing w:val="-6"/>
          <w:sz w:val="28"/>
          <w:lang w:val="en-US" w:eastAsia="zh-CN"/>
        </w:rPr>
      </w:pPr>
      <w:r>
        <w:rPr>
          <w:rFonts w:hint="eastAsia" w:ascii="宋体" w:hAnsi="宋体" w:eastAsia="宋体" w:cs="Times New Roman"/>
          <w:color w:val="auto"/>
          <w:spacing w:val="-6"/>
          <w:sz w:val="28"/>
          <w:lang w:val="en-US" w:eastAsia="zh-CN"/>
        </w:rPr>
        <w:t>1）雨季应设专人检查矿区防洪情况，尤其是地面塌陷、裂缝区的周围。</w:t>
      </w:r>
    </w:p>
    <w:p w14:paraId="0C56188D">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2）对可能与水体有联系的地段，应坚持“有疑必探，先探后掘”的原则，编制探水设计。</w:t>
      </w:r>
    </w:p>
    <w:p w14:paraId="21B9B741">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3）及时清理井口截洪沟杂物淤泥、平硐排水沟杂物淤泥，确保水沟畅通、防止地表水进入井下和井下积水及时疏干。</w:t>
      </w:r>
    </w:p>
    <w:p w14:paraId="0E8EF287">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4)每年编制防水计划和实施方案，并定期检查措施的执行情况。</w:t>
      </w:r>
    </w:p>
    <w:p w14:paraId="07640C5D">
      <w:pPr>
        <w:keepNext w:val="0"/>
        <w:keepLines w:val="0"/>
        <w:pageBreakBefore w:val="0"/>
        <w:widowControl w:val="0"/>
        <w:wordWrap/>
        <w:overflowPunct/>
        <w:topLinePunct w:val="0"/>
        <w:bidi w:val="0"/>
        <w:rPr>
          <w:rFonts w:hint="eastAsia" w:ascii="宋体" w:hAnsi="宋体" w:eastAsia="宋体" w:cs="宋体"/>
          <w:b w:val="0"/>
          <w:bCs w:val="0"/>
          <w:snapToGrid/>
          <w:color w:val="auto"/>
          <w:kern w:val="2"/>
          <w:szCs w:val="28"/>
          <w:lang w:val="en-US" w:eastAsia="zh-CN" w:bidi="ar-SA"/>
        </w:rPr>
      </w:pPr>
      <w:r>
        <w:rPr>
          <w:rFonts w:hint="eastAsia"/>
          <w:color w:val="auto"/>
          <w:lang w:val="en-US" w:eastAsia="zh-CN"/>
        </w:rPr>
        <w:t>5)若涌水量大于设计依据、遇极端天气时，及时停止作业、撤出现场作业人员。</w:t>
      </w:r>
    </w:p>
    <w:p w14:paraId="60BC158E">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31" w:name="_Toc11058"/>
      <w:r>
        <w:rPr>
          <w:rFonts w:hint="eastAsia"/>
          <w:color w:val="auto"/>
          <w:lang w:val="en-US" w:eastAsia="zh-CN"/>
        </w:rPr>
        <w:t>6.11 废石场安全对策措施</w:t>
      </w:r>
      <w:bookmarkEnd w:id="1031"/>
    </w:p>
    <w:p w14:paraId="203D5B0D">
      <w:pPr>
        <w:keepNext w:val="0"/>
        <w:keepLines w:val="0"/>
        <w:pageBreakBefore w:val="0"/>
        <w:widowControl w:val="0"/>
        <w:wordWrap/>
        <w:overflowPunct/>
        <w:topLinePunct w:val="0"/>
        <w:bidi w:val="0"/>
        <w:rPr>
          <w:color w:val="auto"/>
        </w:rPr>
      </w:pPr>
      <w:r>
        <w:rPr>
          <w:rFonts w:hint="eastAsia"/>
          <w:color w:val="auto"/>
          <w:lang w:val="en-US" w:eastAsia="zh-CN"/>
        </w:rPr>
        <w:t>1）</w:t>
      </w:r>
      <w:r>
        <w:rPr>
          <w:color w:val="auto"/>
        </w:rPr>
        <w:t>应配备数量充足、质量合格、性能匹配的满足载重汽车突发事故时救援使用的应急工具如钢丝绳、大卸扣等物件。</w:t>
      </w:r>
    </w:p>
    <w:p w14:paraId="3FDD6DCA">
      <w:pPr>
        <w:keepNext w:val="0"/>
        <w:keepLines w:val="0"/>
        <w:pageBreakBefore w:val="0"/>
        <w:widowControl w:val="0"/>
        <w:wordWrap/>
        <w:overflowPunct/>
        <w:topLinePunct w:val="0"/>
        <w:bidi w:val="0"/>
        <w:rPr>
          <w:color w:val="auto"/>
        </w:rPr>
      </w:pPr>
      <w:r>
        <w:rPr>
          <w:rFonts w:hint="eastAsia"/>
          <w:color w:val="auto"/>
          <w:lang w:val="en-US" w:eastAsia="zh-CN"/>
        </w:rPr>
        <w:t>2）</w:t>
      </w:r>
      <w:r>
        <w:rPr>
          <w:rFonts w:hint="eastAsia"/>
          <w:color w:val="auto"/>
        </w:rPr>
        <w:t>圈定</w:t>
      </w:r>
      <w:r>
        <w:rPr>
          <w:rFonts w:hint="eastAsia"/>
          <w:color w:val="auto"/>
          <w:lang w:val="en-US" w:eastAsia="zh-CN"/>
        </w:rPr>
        <w:t>废石场</w:t>
      </w:r>
      <w:r>
        <w:rPr>
          <w:rFonts w:hint="eastAsia"/>
          <w:color w:val="auto"/>
        </w:rPr>
        <w:t xml:space="preserve">危险范围，设置醒目的安全警示标志，作业过程中禁止人员进入危险范围。 </w:t>
      </w:r>
    </w:p>
    <w:p w14:paraId="0C7C76BD">
      <w:pPr>
        <w:keepNext w:val="0"/>
        <w:keepLines w:val="0"/>
        <w:pageBreakBefore w:val="0"/>
        <w:widowControl w:val="0"/>
        <w:wordWrap/>
        <w:overflowPunct/>
        <w:topLinePunct w:val="0"/>
        <w:bidi w:val="0"/>
        <w:rPr>
          <w:color w:val="auto"/>
        </w:rPr>
      </w:pPr>
      <w:r>
        <w:rPr>
          <w:rFonts w:hint="eastAsia"/>
          <w:color w:val="auto"/>
          <w:lang w:val="en-US" w:eastAsia="zh-CN"/>
        </w:rPr>
        <w:t>3）</w:t>
      </w:r>
      <w:r>
        <w:rPr>
          <w:rFonts w:hint="eastAsia"/>
          <w:color w:val="auto"/>
        </w:rPr>
        <w:t>加强对</w:t>
      </w:r>
      <w:r>
        <w:rPr>
          <w:rFonts w:hint="eastAsia"/>
          <w:color w:val="auto"/>
          <w:lang w:val="en-US" w:eastAsia="zh-CN"/>
        </w:rPr>
        <w:t>废石场</w:t>
      </w:r>
      <w:r>
        <w:rPr>
          <w:rFonts w:hint="eastAsia"/>
          <w:color w:val="auto"/>
        </w:rPr>
        <w:t>巡视、检查，雨季注意收听当地的天气预报，及时发现安全隐患，及时处理，确保</w:t>
      </w:r>
      <w:r>
        <w:rPr>
          <w:rFonts w:hint="eastAsia"/>
          <w:color w:val="auto"/>
          <w:lang w:val="en-US" w:eastAsia="zh-CN"/>
        </w:rPr>
        <w:t>废石场</w:t>
      </w:r>
      <w:r>
        <w:rPr>
          <w:rFonts w:hint="eastAsia"/>
          <w:color w:val="auto"/>
        </w:rPr>
        <w:t>的长期稳定。</w:t>
      </w:r>
    </w:p>
    <w:p w14:paraId="6166BA1C">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32" w:name="_Toc4508"/>
      <w:bookmarkStart w:id="1033" w:name="_Toc5156"/>
      <w:bookmarkStart w:id="1034" w:name="_Toc14449"/>
      <w:bookmarkStart w:id="1035" w:name="_Toc7151"/>
      <w:bookmarkStart w:id="1036" w:name="_Toc5537"/>
      <w:bookmarkStart w:id="1037" w:name="_Toc22376"/>
      <w:bookmarkStart w:id="1038" w:name="_Toc31065"/>
      <w:r>
        <w:rPr>
          <w:rFonts w:hint="eastAsia"/>
          <w:color w:val="auto"/>
          <w:lang w:val="en-US" w:eastAsia="zh-CN"/>
        </w:rPr>
        <w:t>6.12 防粉尘危害安全对策措施</w:t>
      </w:r>
      <w:bookmarkEnd w:id="1032"/>
      <w:bookmarkEnd w:id="1033"/>
      <w:bookmarkEnd w:id="1034"/>
      <w:bookmarkEnd w:id="1035"/>
      <w:bookmarkEnd w:id="1036"/>
      <w:bookmarkEnd w:id="1037"/>
      <w:bookmarkEnd w:id="1038"/>
    </w:p>
    <w:p w14:paraId="64D83691">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1)井下凿岩应坚持湿式作业，杜绝打干眼；爆破后、放矿点、卸矿点应喷雾洒水降尘。</w:t>
      </w:r>
    </w:p>
    <w:p w14:paraId="4251830F">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2)定期对井下有毒有害气体的测定，建立台帐、积累数据、及时分析、采取相应措施。</w:t>
      </w:r>
    </w:p>
    <w:p w14:paraId="1D766E74">
      <w:pPr>
        <w:keepNext w:val="0"/>
        <w:keepLines w:val="0"/>
        <w:pageBreakBefore w:val="0"/>
        <w:widowControl w:val="0"/>
        <w:kinsoku/>
        <w:wordWrap/>
        <w:overflowPunct/>
        <w:topLinePunct w:val="0"/>
        <w:autoSpaceDE/>
        <w:autoSpaceDN/>
        <w:bidi w:val="0"/>
        <w:adjustRightInd/>
        <w:snapToGrid/>
        <w:spacing w:beforeAutospacing="0" w:line="600" w:lineRule="exact"/>
        <w:ind w:firstLine="560" w:firstLineChars="200"/>
        <w:jc w:val="left"/>
        <w:textAlignment w:val="auto"/>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3)经常检查监督员工正确佩戴防尘口罩，定期对接尘员工健康检查，建立健康档案。</w:t>
      </w:r>
    </w:p>
    <w:p w14:paraId="0780B1FD">
      <w:pPr>
        <w:pStyle w:val="4"/>
        <w:keepNext w:val="0"/>
        <w:keepLines w:val="0"/>
        <w:pageBreakBefore w:val="0"/>
        <w:widowControl w:val="0"/>
        <w:wordWrap/>
        <w:overflowPunct/>
        <w:topLinePunct w:val="0"/>
        <w:bidi w:val="0"/>
        <w:spacing w:beforeLines="0" w:afterLines="0"/>
        <w:rPr>
          <w:rFonts w:hint="eastAsia"/>
          <w:color w:val="auto"/>
          <w:lang w:val="en-US" w:eastAsia="zh-CN"/>
        </w:rPr>
      </w:pPr>
      <w:bookmarkStart w:id="1039" w:name="_Toc21839"/>
      <w:r>
        <w:rPr>
          <w:rFonts w:hint="eastAsia"/>
          <w:color w:val="auto"/>
          <w:lang w:val="en-US" w:eastAsia="zh-CN"/>
        </w:rPr>
        <w:t>6.13 坑探工程施工对地下开采影响的安全对策措施及建议</w:t>
      </w:r>
      <w:bookmarkEnd w:id="1039"/>
    </w:p>
    <w:p w14:paraId="6CC1AD2B">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1）</w:t>
      </w:r>
      <w:r>
        <w:rPr>
          <w:rFonts w:hint="default"/>
          <w:color w:val="auto"/>
        </w:rPr>
        <w:t>每月</w:t>
      </w:r>
      <w:r>
        <w:rPr>
          <w:rFonts w:hint="eastAsia"/>
          <w:color w:val="auto"/>
          <w:lang w:val="en-US" w:eastAsia="zh-CN"/>
        </w:rPr>
        <w:t>至少</w:t>
      </w:r>
      <w:r>
        <w:rPr>
          <w:rFonts w:hint="default"/>
          <w:color w:val="auto"/>
        </w:rPr>
        <w:t>组织一次覆盖两套系统的安全大检查，</w:t>
      </w:r>
      <w:r>
        <w:rPr>
          <w:rFonts w:hint="eastAsia"/>
          <w:color w:val="auto"/>
          <w:lang w:val="en-US" w:eastAsia="zh-CN"/>
        </w:rPr>
        <w:t>包括</w:t>
      </w:r>
      <w:r>
        <w:rPr>
          <w:rFonts w:hint="default"/>
          <w:color w:val="auto"/>
        </w:rPr>
        <w:t>衔接</w:t>
      </w:r>
      <w:r>
        <w:rPr>
          <w:rFonts w:hint="eastAsia"/>
          <w:color w:val="auto"/>
          <w:lang w:eastAsia="zh-CN"/>
        </w:rPr>
        <w:t>、</w:t>
      </w:r>
      <w:r>
        <w:rPr>
          <w:rFonts w:hint="eastAsia"/>
          <w:color w:val="auto"/>
          <w:lang w:val="en-US" w:eastAsia="zh-CN"/>
        </w:rPr>
        <w:t>交叉</w:t>
      </w:r>
      <w:r>
        <w:rPr>
          <w:rFonts w:hint="default"/>
          <w:color w:val="auto"/>
        </w:rPr>
        <w:t>部位安全隐患</w:t>
      </w:r>
      <w:r>
        <w:rPr>
          <w:rFonts w:hint="eastAsia"/>
          <w:color w:val="auto"/>
          <w:lang w:eastAsia="zh-CN"/>
        </w:rPr>
        <w:t>。</w:t>
      </w:r>
    </w:p>
    <w:p w14:paraId="7A88174C">
      <w:pPr>
        <w:keepNext w:val="0"/>
        <w:keepLines w:val="0"/>
        <w:pageBreakBefore w:val="0"/>
        <w:widowControl w:val="0"/>
        <w:wordWrap/>
        <w:overflowPunct/>
        <w:topLinePunct w:val="0"/>
        <w:bidi w:val="0"/>
        <w:rPr>
          <w:rFonts w:hint="eastAsia"/>
          <w:color w:val="auto"/>
        </w:rPr>
      </w:pPr>
      <w:r>
        <w:rPr>
          <w:rFonts w:hint="eastAsia"/>
          <w:color w:val="auto"/>
          <w:lang w:val="en-US" w:eastAsia="zh-CN"/>
        </w:rPr>
        <w:t>2</w:t>
      </w:r>
      <w:r>
        <w:rPr>
          <w:rFonts w:hint="eastAsia"/>
          <w:color w:val="auto"/>
          <w:lang w:eastAsia="zh-CN"/>
        </w:rPr>
        <w:t>）</w:t>
      </w:r>
      <w:r>
        <w:rPr>
          <w:rFonts w:hint="eastAsia"/>
          <w:color w:val="auto"/>
        </w:rPr>
        <w:t>设置栅栏和悬挂警示牌，防止无关人员误入</w:t>
      </w:r>
      <w:r>
        <w:rPr>
          <w:rFonts w:hint="eastAsia"/>
          <w:color w:val="auto"/>
          <w:lang w:val="en-US" w:eastAsia="zh-CN"/>
        </w:rPr>
        <w:t>坑探工程</w:t>
      </w:r>
      <w:r>
        <w:rPr>
          <w:rFonts w:hint="eastAsia"/>
          <w:color w:val="auto"/>
        </w:rPr>
        <w:t>。</w:t>
      </w:r>
    </w:p>
    <w:bookmarkEnd w:id="994"/>
    <w:bookmarkEnd w:id="995"/>
    <w:p w14:paraId="568B72F3">
      <w:pPr>
        <w:keepNext w:val="0"/>
        <w:keepLines w:val="0"/>
        <w:pageBreakBefore w:val="0"/>
        <w:widowControl w:val="0"/>
        <w:wordWrap/>
        <w:overflowPunct/>
        <w:topLinePunct w:val="0"/>
        <w:bidi w:val="0"/>
        <w:rPr>
          <w:rFonts w:hint="eastAsia"/>
          <w:color w:val="auto"/>
          <w:lang w:eastAsia="zh-CN"/>
        </w:rPr>
      </w:pPr>
      <w:bookmarkStart w:id="1040" w:name="_Toc7235"/>
      <w:bookmarkStart w:id="1041" w:name="_Toc6418"/>
      <w:bookmarkStart w:id="1042" w:name="_Toc8633"/>
      <w:bookmarkStart w:id="1043" w:name="_Toc23328"/>
      <w:bookmarkStart w:id="1044" w:name="_Toc9856"/>
      <w:bookmarkStart w:id="1045" w:name="_Toc10513"/>
      <w:bookmarkStart w:id="1046" w:name="_Toc6308"/>
      <w:bookmarkStart w:id="1047" w:name="_Toc2290"/>
      <w:bookmarkStart w:id="1048" w:name="_Toc21291"/>
      <w:r>
        <w:rPr>
          <w:rFonts w:hint="eastAsia"/>
          <w:color w:val="auto"/>
          <w:lang w:val="en-US" w:eastAsia="zh-CN"/>
        </w:rPr>
        <w:t>3）</w:t>
      </w:r>
      <w:r>
        <w:rPr>
          <w:color w:val="auto"/>
        </w:rPr>
        <w:t>建立通风设施同步施工机制</w:t>
      </w:r>
      <w:r>
        <w:rPr>
          <w:rFonts w:hint="eastAsia"/>
          <w:color w:val="auto"/>
          <w:lang w:eastAsia="zh-CN"/>
        </w:rPr>
        <w:t>，</w:t>
      </w:r>
      <w:r>
        <w:rPr>
          <w:color w:val="auto"/>
        </w:rPr>
        <w:t>及时设置风墙、风门</w:t>
      </w:r>
      <w:r>
        <w:rPr>
          <w:rFonts w:hint="eastAsia"/>
          <w:color w:val="auto"/>
          <w:lang w:val="en-US" w:eastAsia="zh-CN"/>
        </w:rPr>
        <w:t>等设施</w:t>
      </w:r>
      <w:r>
        <w:rPr>
          <w:color w:val="auto"/>
        </w:rPr>
        <w:t>，</w:t>
      </w:r>
    </w:p>
    <w:p w14:paraId="02735AB1">
      <w:pPr>
        <w:keepNext w:val="0"/>
        <w:keepLines w:val="0"/>
        <w:pageBreakBefore w:val="0"/>
        <w:widowControl w:val="0"/>
        <w:wordWrap/>
        <w:overflowPunct/>
        <w:topLinePunct w:val="0"/>
        <w:bidi w:val="0"/>
        <w:rPr>
          <w:rFonts w:hint="default"/>
          <w:color w:val="auto"/>
          <w:lang w:val="en-US" w:eastAsia="zh-CN"/>
        </w:rPr>
      </w:pPr>
      <w:r>
        <w:rPr>
          <w:rFonts w:hint="eastAsia"/>
          <w:color w:val="auto"/>
          <w:lang w:val="en-US" w:eastAsia="zh-CN"/>
        </w:rPr>
        <w:t>4）爆破作业前，须相互通知对方人员撤离至通风良好处，</w:t>
      </w:r>
      <w:r>
        <w:rPr>
          <w:rFonts w:hint="eastAsia"/>
          <w:color w:val="auto"/>
        </w:rPr>
        <w:t>做好爆破警戒</w:t>
      </w:r>
      <w:r>
        <w:rPr>
          <w:rFonts w:hint="eastAsia"/>
          <w:color w:val="auto"/>
          <w:lang w:eastAsia="zh-CN"/>
        </w:rPr>
        <w:t>，</w:t>
      </w:r>
      <w:r>
        <w:rPr>
          <w:rFonts w:hint="eastAsia"/>
          <w:color w:val="auto"/>
          <w:lang w:val="en-US" w:eastAsia="zh-CN"/>
        </w:rPr>
        <w:t>炮烟散净后进入作业面时，须检测空气质量且符合安全规程要求。</w:t>
      </w:r>
    </w:p>
    <w:p w14:paraId="5064B3A0">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5）</w:t>
      </w:r>
      <w:r>
        <w:rPr>
          <w:rFonts w:hint="default"/>
          <w:color w:val="auto"/>
        </w:rPr>
        <w:t>严格执行</w:t>
      </w:r>
      <w:r>
        <w:rPr>
          <w:rFonts w:hint="eastAsia"/>
          <w:color w:val="auto"/>
          <w:lang w:eastAsia="zh-CN"/>
        </w:rPr>
        <w:t>“</w:t>
      </w:r>
      <w:r>
        <w:rPr>
          <w:rFonts w:hint="default"/>
          <w:color w:val="auto"/>
        </w:rPr>
        <w:t>行人不行车、行车不行人</w:t>
      </w:r>
      <w:r>
        <w:rPr>
          <w:rFonts w:hint="eastAsia"/>
          <w:color w:val="auto"/>
          <w:lang w:eastAsia="zh-CN"/>
        </w:rPr>
        <w:t>”</w:t>
      </w:r>
      <w:r>
        <w:rPr>
          <w:rFonts w:hint="default"/>
          <w:color w:val="auto"/>
        </w:rPr>
        <w:t>制度</w:t>
      </w:r>
      <w:r>
        <w:rPr>
          <w:rFonts w:hint="eastAsia"/>
          <w:color w:val="auto"/>
          <w:lang w:val="en-US" w:eastAsia="zh-CN"/>
        </w:rPr>
        <w:t>和</w:t>
      </w:r>
      <w:r>
        <w:rPr>
          <w:color w:val="auto"/>
        </w:rPr>
        <w:t>建立统一生产调度制度</w:t>
      </w:r>
      <w:r>
        <w:rPr>
          <w:rFonts w:hint="eastAsia"/>
          <w:color w:val="auto"/>
          <w:lang w:eastAsia="zh-CN"/>
        </w:rPr>
        <w:t>，</w:t>
      </w:r>
      <w:r>
        <w:rPr>
          <w:rFonts w:hint="eastAsia"/>
          <w:color w:val="auto"/>
        </w:rPr>
        <w:t>管控好车辆</w:t>
      </w:r>
      <w:r>
        <w:rPr>
          <w:rFonts w:hint="eastAsia"/>
          <w:color w:val="auto"/>
          <w:lang w:val="en-US" w:eastAsia="zh-CN"/>
        </w:rPr>
        <w:t>致害</w:t>
      </w:r>
      <w:r>
        <w:rPr>
          <w:rFonts w:hint="eastAsia"/>
          <w:color w:val="auto"/>
        </w:rPr>
        <w:t>风险</w:t>
      </w:r>
      <w:r>
        <w:rPr>
          <w:rFonts w:hint="eastAsia"/>
          <w:color w:val="auto"/>
          <w:lang w:eastAsia="zh-CN"/>
        </w:rPr>
        <w:t>。</w:t>
      </w:r>
    </w:p>
    <w:p w14:paraId="0911BA46">
      <w:pPr>
        <w:keepNext w:val="0"/>
        <w:keepLines w:val="0"/>
        <w:pageBreakBefore w:val="0"/>
        <w:widowControl w:val="0"/>
        <w:wordWrap/>
        <w:overflowPunct/>
        <w:topLinePunct w:val="0"/>
        <w:bidi w:val="0"/>
        <w:rPr>
          <w:rFonts w:hint="eastAsia"/>
          <w:color w:val="auto"/>
          <w:lang w:val="en-US" w:eastAsia="zh-CN"/>
        </w:rPr>
      </w:pPr>
      <w:r>
        <w:rPr>
          <w:rFonts w:hint="eastAsia"/>
          <w:color w:val="auto"/>
          <w:lang w:val="en-US" w:eastAsia="zh-CN"/>
        </w:rPr>
        <w:t>4）</w:t>
      </w:r>
      <w:r>
        <w:rPr>
          <w:color w:val="auto"/>
        </w:rPr>
        <w:t>对现有+270m平硐排水沟</w:t>
      </w:r>
      <w:r>
        <w:rPr>
          <w:rFonts w:hint="eastAsia"/>
          <w:color w:val="auto"/>
          <w:lang w:val="en-US" w:eastAsia="zh-CN"/>
        </w:rPr>
        <w:t>做好</w:t>
      </w:r>
      <w:r>
        <w:rPr>
          <w:color w:val="auto"/>
        </w:rPr>
        <w:t>清淤扩容，防止</w:t>
      </w:r>
      <w:r>
        <w:rPr>
          <w:rFonts w:hint="default"/>
          <w:color w:val="auto"/>
        </w:rPr>
        <w:t>探矿</w:t>
      </w:r>
      <w:r>
        <w:rPr>
          <w:rFonts w:hint="eastAsia"/>
          <w:color w:val="auto"/>
          <w:lang w:val="en-US" w:eastAsia="zh-CN"/>
        </w:rPr>
        <w:t>水量增加后</w:t>
      </w:r>
      <w:r>
        <w:rPr>
          <w:color w:val="auto"/>
        </w:rPr>
        <w:t>溢流</w:t>
      </w:r>
      <w:r>
        <w:rPr>
          <w:rFonts w:hint="eastAsia"/>
          <w:color w:val="auto"/>
          <w:lang w:eastAsia="zh-CN"/>
        </w:rPr>
        <w:t>。</w:t>
      </w:r>
    </w:p>
    <w:p w14:paraId="05A3874F">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6）</w:t>
      </w:r>
      <w:r>
        <w:rPr>
          <w:rFonts w:hint="default"/>
          <w:color w:val="auto"/>
        </w:rPr>
        <w:t>探矿</w:t>
      </w:r>
      <w:r>
        <w:rPr>
          <w:rFonts w:hint="eastAsia"/>
          <w:color w:val="auto"/>
          <w:lang w:val="en-US" w:eastAsia="zh-CN"/>
        </w:rPr>
        <w:t>工程</w:t>
      </w:r>
      <w:r>
        <w:rPr>
          <w:rFonts w:hint="default"/>
          <w:color w:val="auto"/>
        </w:rPr>
        <w:t>需严格执行</w:t>
      </w:r>
      <w:r>
        <w:rPr>
          <w:rFonts w:hint="eastAsia"/>
          <w:color w:val="auto"/>
          <w:lang w:eastAsia="zh-CN"/>
        </w:rPr>
        <w:t>“</w:t>
      </w:r>
      <w:r>
        <w:rPr>
          <w:rFonts w:hint="default"/>
          <w:color w:val="auto"/>
        </w:rPr>
        <w:t>有疑必探、先探后掘</w:t>
      </w:r>
      <w:r>
        <w:rPr>
          <w:rFonts w:hint="eastAsia"/>
          <w:color w:val="auto"/>
          <w:lang w:eastAsia="zh-CN"/>
        </w:rPr>
        <w:t>”</w:t>
      </w:r>
      <w:r>
        <w:rPr>
          <w:rFonts w:hint="default"/>
          <w:color w:val="auto"/>
        </w:rPr>
        <w:t>制度</w:t>
      </w:r>
      <w:r>
        <w:rPr>
          <w:rFonts w:hint="eastAsia"/>
          <w:color w:val="auto"/>
          <w:lang w:eastAsia="zh-CN"/>
        </w:rPr>
        <w:t>。</w:t>
      </w:r>
    </w:p>
    <w:p w14:paraId="363829AE">
      <w:pPr>
        <w:keepNext w:val="0"/>
        <w:keepLines w:val="0"/>
        <w:pageBreakBefore w:val="0"/>
        <w:widowControl w:val="0"/>
        <w:wordWrap/>
        <w:overflowPunct/>
        <w:topLinePunct w:val="0"/>
        <w:bidi w:val="0"/>
        <w:rPr>
          <w:rFonts w:hint="eastAsia"/>
          <w:color w:val="auto"/>
          <w:lang w:eastAsia="zh-CN"/>
        </w:rPr>
      </w:pPr>
      <w:r>
        <w:rPr>
          <w:rFonts w:hint="eastAsia"/>
          <w:color w:val="auto"/>
          <w:lang w:val="en-US" w:eastAsia="zh-CN"/>
        </w:rPr>
        <w:t>7）靠近</w:t>
      </w:r>
      <w:r>
        <w:rPr>
          <w:color w:val="auto"/>
        </w:rPr>
        <w:t>+320m、+270m中段现有采空区爆破</w:t>
      </w:r>
      <w:r>
        <w:rPr>
          <w:rFonts w:hint="eastAsia"/>
          <w:color w:val="auto"/>
          <w:lang w:val="en-US" w:eastAsia="zh-CN"/>
        </w:rPr>
        <w:t>作业时，须做好设计，并按设计控制</w:t>
      </w:r>
      <w:r>
        <w:rPr>
          <w:color w:val="auto"/>
        </w:rPr>
        <w:t>最大单段药量</w:t>
      </w:r>
      <w:r>
        <w:rPr>
          <w:rFonts w:hint="eastAsia"/>
          <w:color w:val="auto"/>
          <w:lang w:eastAsia="zh-CN"/>
        </w:rPr>
        <w:t>，</w:t>
      </w:r>
      <w:r>
        <w:rPr>
          <w:rFonts w:hint="eastAsia"/>
          <w:color w:val="auto"/>
          <w:lang w:val="en-US" w:eastAsia="zh-CN"/>
        </w:rPr>
        <w:t>防止</w:t>
      </w:r>
      <w:r>
        <w:rPr>
          <w:color w:val="auto"/>
        </w:rPr>
        <w:t>探矿爆破震动诱发现有采空区失稳</w:t>
      </w:r>
      <w:r>
        <w:rPr>
          <w:rFonts w:hint="eastAsia"/>
          <w:color w:val="auto"/>
          <w:lang w:eastAsia="zh-CN"/>
        </w:rPr>
        <w:t>。</w:t>
      </w:r>
    </w:p>
    <w:p w14:paraId="75037D07">
      <w:pPr>
        <w:pStyle w:val="17"/>
        <w:keepNext w:val="0"/>
        <w:keepLines w:val="0"/>
        <w:pageBreakBefore w:val="0"/>
        <w:widowControl w:val="0"/>
        <w:wordWrap/>
        <w:overflowPunct/>
        <w:topLinePunct w:val="0"/>
        <w:bidi w:val="0"/>
        <w:spacing w:after="0"/>
        <w:rPr>
          <w:rFonts w:hint="eastAsia"/>
          <w:color w:val="auto"/>
          <w:lang w:eastAsia="zh-CN"/>
        </w:rPr>
      </w:pPr>
    </w:p>
    <w:p w14:paraId="1ACE5248">
      <w:pPr>
        <w:pStyle w:val="17"/>
        <w:keepNext w:val="0"/>
        <w:keepLines w:val="0"/>
        <w:pageBreakBefore w:val="0"/>
        <w:widowControl w:val="0"/>
        <w:wordWrap/>
        <w:overflowPunct/>
        <w:topLinePunct w:val="0"/>
        <w:bidi w:val="0"/>
        <w:spacing w:after="0"/>
        <w:rPr>
          <w:rFonts w:hint="eastAsia"/>
          <w:color w:val="auto"/>
          <w:lang w:eastAsia="zh-CN"/>
        </w:rPr>
        <w:sectPr>
          <w:pgSz w:w="11906" w:h="16839"/>
          <w:pgMar w:top="1417" w:right="1417" w:bottom="1417" w:left="1417" w:header="850" w:footer="964" w:gutter="0"/>
          <w:pgBorders>
            <w:top w:val="none" w:sz="0" w:space="0"/>
            <w:left w:val="none" w:sz="0" w:space="0"/>
            <w:bottom w:val="none" w:sz="0" w:space="0"/>
            <w:right w:val="none" w:sz="0" w:space="0"/>
          </w:pgBorders>
          <w:pgNumType w:fmt="decimal"/>
          <w:cols w:space="0" w:num="1"/>
          <w:rtlGutter w:val="0"/>
          <w:docGrid w:linePitch="0" w:charSpace="0"/>
        </w:sectPr>
      </w:pPr>
    </w:p>
    <w:p w14:paraId="6C990CF7">
      <w:pPr>
        <w:pStyle w:val="2"/>
        <w:bidi w:val="0"/>
        <w:rPr>
          <w:rFonts w:hint="eastAsia"/>
          <w:color w:val="auto"/>
          <w:lang w:val="en-US" w:eastAsia="zh-CN"/>
        </w:rPr>
      </w:pPr>
      <w:bookmarkStart w:id="1049" w:name="_Toc3036"/>
      <w:r>
        <w:rPr>
          <w:rFonts w:hint="eastAsia"/>
          <w:color w:val="auto"/>
          <w:lang w:val="en-US" w:eastAsia="zh-CN"/>
        </w:rPr>
        <w:t>7 安全评价结论</w:t>
      </w:r>
      <w:bookmarkEnd w:id="1040"/>
      <w:bookmarkEnd w:id="1041"/>
      <w:bookmarkEnd w:id="1042"/>
      <w:bookmarkEnd w:id="1043"/>
      <w:bookmarkEnd w:id="1044"/>
      <w:bookmarkEnd w:id="1045"/>
      <w:bookmarkEnd w:id="1046"/>
      <w:bookmarkEnd w:id="1047"/>
      <w:bookmarkEnd w:id="1048"/>
      <w:bookmarkEnd w:id="1049"/>
    </w:p>
    <w:p w14:paraId="22522A3C">
      <w:pPr>
        <w:pStyle w:val="4"/>
        <w:bidi w:val="0"/>
        <w:rPr>
          <w:rFonts w:hint="eastAsia"/>
          <w:color w:val="auto"/>
          <w:lang w:val="en-US" w:eastAsia="zh-CN"/>
        </w:rPr>
      </w:pPr>
      <w:bookmarkStart w:id="1050" w:name="_Toc282355296"/>
      <w:bookmarkStart w:id="1051" w:name="_Toc415903193"/>
      <w:bookmarkStart w:id="1052" w:name="_Toc28638"/>
      <w:bookmarkStart w:id="1053" w:name="_Toc28035"/>
      <w:bookmarkStart w:id="1054" w:name="_Toc23726"/>
      <w:bookmarkStart w:id="1055" w:name="_Toc26899"/>
      <w:bookmarkStart w:id="1056" w:name="_Toc20196"/>
      <w:bookmarkStart w:id="1057" w:name="_Toc8559"/>
      <w:bookmarkStart w:id="1058" w:name="_Toc6443"/>
      <w:r>
        <w:rPr>
          <w:rFonts w:hint="eastAsia"/>
          <w:color w:val="auto"/>
          <w:lang w:val="en-US" w:eastAsia="zh-CN"/>
        </w:rPr>
        <w:t>7.1</w:t>
      </w:r>
      <w:bookmarkEnd w:id="1050"/>
      <w:bookmarkEnd w:id="1051"/>
      <w:r>
        <w:rPr>
          <w:rFonts w:hint="eastAsia"/>
          <w:color w:val="auto"/>
          <w:lang w:val="en-US" w:eastAsia="zh-CN"/>
        </w:rPr>
        <w:t>危险有害因素辨识结果</w:t>
      </w:r>
      <w:bookmarkEnd w:id="1052"/>
      <w:bookmarkEnd w:id="1053"/>
      <w:bookmarkEnd w:id="1054"/>
      <w:bookmarkEnd w:id="1055"/>
    </w:p>
    <w:p w14:paraId="38324B00">
      <w:pPr>
        <w:pStyle w:val="5"/>
        <w:bidi w:val="0"/>
        <w:rPr>
          <w:rFonts w:hint="eastAsia"/>
          <w:color w:val="auto"/>
          <w:lang w:val="en-US" w:eastAsia="zh-CN"/>
        </w:rPr>
      </w:pPr>
      <w:r>
        <w:rPr>
          <w:rFonts w:hint="eastAsia"/>
          <w:color w:val="auto"/>
          <w:lang w:val="en-US" w:eastAsia="zh-CN"/>
        </w:rPr>
        <w:t>7.1.1主要危险有害因素</w:t>
      </w:r>
    </w:p>
    <w:p w14:paraId="51D03980">
      <w:pPr>
        <w:pageBreakBefore w:val="0"/>
        <w:widowControl w:val="0"/>
        <w:kinsoku/>
        <w:wordWrap/>
        <w:overflowPunct/>
        <w:topLinePunct w:val="0"/>
        <w:autoSpaceDE/>
        <w:autoSpaceDN/>
        <w:bidi w:val="0"/>
        <w:adjustRightInd/>
        <w:snapToGrid/>
        <w:spacing w:beforeAutospacing="0" w:line="580" w:lineRule="exact"/>
        <w:ind w:firstLine="560" w:firstLineChars="200"/>
        <w:textAlignment w:val="auto"/>
        <w:rPr>
          <w:rFonts w:hint="eastAsia" w:ascii="宋体" w:hAnsi="宋体"/>
          <w:color w:val="auto"/>
          <w:sz w:val="28"/>
          <w:szCs w:val="28"/>
        </w:rPr>
      </w:pPr>
      <w:r>
        <w:rPr>
          <w:rFonts w:hint="eastAsia" w:ascii="宋体" w:hAnsi="宋体" w:eastAsia="宋体" w:cs="宋体"/>
          <w:snapToGrid/>
          <w:color w:val="auto"/>
          <w:kern w:val="2"/>
          <w:sz w:val="28"/>
          <w:szCs w:val="28"/>
          <w:lang w:val="en-US" w:eastAsia="zh-CN" w:bidi="ar-SA"/>
        </w:rPr>
        <w:t>江西临川鲁金矿业有限公司茅排金矿</w:t>
      </w:r>
      <w:r>
        <w:rPr>
          <w:rFonts w:hint="eastAsia" w:ascii="宋体" w:hAnsi="宋体"/>
          <w:color w:val="auto"/>
          <w:sz w:val="28"/>
          <w:szCs w:val="28"/>
        </w:rPr>
        <w:t>地下开采过程存在的危险有害因素包括：</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_Toc13636 </w:instrText>
      </w:r>
      <w:r>
        <w:rPr>
          <w:rFonts w:hint="eastAsia"/>
          <w:color w:val="auto"/>
          <w:lang w:val="en-US" w:eastAsia="zh-CN"/>
        </w:rPr>
        <w:fldChar w:fldCharType="separate"/>
      </w:r>
      <w:r>
        <w:rPr>
          <w:rFonts w:hint="eastAsia"/>
          <w:color w:val="auto"/>
          <w:lang w:val="en-US" w:eastAsia="zh-CN"/>
        </w:rPr>
        <w:t>起重致害、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容器爆炸、管道爆炸</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_Toc20458 </w:instrText>
      </w:r>
      <w:r>
        <w:rPr>
          <w:rFonts w:hint="eastAsia"/>
          <w:color w:val="auto"/>
          <w:lang w:val="en-US" w:eastAsia="zh-CN"/>
        </w:rPr>
        <w:fldChar w:fldCharType="separate"/>
      </w:r>
      <w:r>
        <w:rPr>
          <w:rFonts w:hint="eastAsia"/>
          <w:color w:val="auto"/>
          <w:lang w:val="en-US" w:eastAsia="zh-CN"/>
        </w:rPr>
        <w:t>淹溺</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_Toc23228 </w:instrText>
      </w:r>
      <w:r>
        <w:rPr>
          <w:rFonts w:hint="eastAsia"/>
          <w:color w:val="auto"/>
          <w:lang w:val="en-US" w:eastAsia="zh-CN"/>
        </w:rPr>
        <w:fldChar w:fldCharType="separate"/>
      </w:r>
      <w:r>
        <w:rPr>
          <w:rFonts w:hint="eastAsia"/>
          <w:color w:val="auto"/>
          <w:lang w:val="en-US" w:eastAsia="zh-CN"/>
        </w:rPr>
        <w:t>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、粉尘、噪声、振动、有毒气体、有害气体、作业环境不良</w:t>
      </w:r>
      <w:r>
        <w:rPr>
          <w:rFonts w:hint="eastAsia" w:ascii="宋体" w:hAnsi="宋体"/>
          <w:color w:val="auto"/>
          <w:sz w:val="28"/>
          <w:szCs w:val="28"/>
        </w:rPr>
        <w:t>等危险、有害因素。</w:t>
      </w:r>
    </w:p>
    <w:p w14:paraId="0A633586">
      <w:pPr>
        <w:pStyle w:val="5"/>
        <w:bidi w:val="0"/>
        <w:rPr>
          <w:rFonts w:hint="eastAsia"/>
          <w:color w:val="auto"/>
          <w:lang w:val="en-US" w:eastAsia="zh-CN"/>
        </w:rPr>
      </w:pPr>
      <w:bookmarkStart w:id="1059" w:name="_Toc6884"/>
      <w:bookmarkStart w:id="1060" w:name="_Toc15009"/>
      <w:bookmarkStart w:id="1061" w:name="_Toc7646"/>
      <w:r>
        <w:rPr>
          <w:rFonts w:hint="eastAsia"/>
          <w:color w:val="auto"/>
          <w:lang w:val="en-US" w:eastAsia="zh-CN"/>
        </w:rPr>
        <w:t>7.1.2重大危险源辨识结果</w:t>
      </w:r>
      <w:bookmarkEnd w:id="1059"/>
      <w:bookmarkEnd w:id="1060"/>
      <w:bookmarkEnd w:id="1061"/>
    </w:p>
    <w:p w14:paraId="631699C7">
      <w:pPr>
        <w:bidi w:val="0"/>
        <w:rPr>
          <w:rFonts w:hint="eastAsia"/>
          <w:color w:val="auto"/>
        </w:rPr>
      </w:pPr>
      <w:r>
        <w:rPr>
          <w:rFonts w:hint="eastAsia"/>
          <w:color w:val="auto"/>
          <w:lang w:val="en-US" w:eastAsia="zh-CN"/>
        </w:rPr>
        <w:t>江西临川鲁金矿业有限公司</w:t>
      </w:r>
      <w:r>
        <w:rPr>
          <w:rFonts w:hint="eastAsia"/>
          <w:color w:val="auto"/>
        </w:rPr>
        <w:t>茅排金矿民用爆破器材储存库不构成重大危险源。</w:t>
      </w:r>
    </w:p>
    <w:p w14:paraId="123AB54F">
      <w:pPr>
        <w:pStyle w:val="5"/>
        <w:bidi w:val="0"/>
        <w:rPr>
          <w:rFonts w:hint="eastAsia"/>
          <w:color w:val="auto"/>
          <w:lang w:val="en-US" w:eastAsia="zh-CN"/>
        </w:rPr>
      </w:pPr>
      <w:bookmarkStart w:id="1062" w:name="_Toc16346"/>
      <w:bookmarkStart w:id="1063" w:name="_Toc28556"/>
      <w:r>
        <w:rPr>
          <w:rFonts w:hint="eastAsia"/>
          <w:color w:val="auto"/>
          <w:lang w:val="en-US" w:eastAsia="zh-CN"/>
        </w:rPr>
        <w:t>7.1.3重大生产安全事故隐患判结果</w:t>
      </w:r>
      <w:bookmarkEnd w:id="1062"/>
      <w:bookmarkEnd w:id="1063"/>
    </w:p>
    <w:p w14:paraId="6B74EF82">
      <w:pPr>
        <w:bidi w:val="0"/>
        <w:rPr>
          <w:rFonts w:hint="eastAsia"/>
          <w:color w:val="auto"/>
        </w:rPr>
      </w:pPr>
      <w:r>
        <w:rPr>
          <w:rFonts w:hint="eastAsia"/>
          <w:color w:val="auto"/>
        </w:rPr>
        <w:t>经重大生产安全事故隐患判定共检查3</w:t>
      </w:r>
      <w:r>
        <w:rPr>
          <w:rFonts w:hint="eastAsia"/>
          <w:color w:val="auto"/>
          <w:lang w:val="en-US" w:eastAsia="zh-CN"/>
        </w:rPr>
        <w:t>6</w:t>
      </w:r>
      <w:r>
        <w:rPr>
          <w:rFonts w:hint="eastAsia"/>
          <w:color w:val="auto"/>
        </w:rPr>
        <w:t>项，均不构成重大安全事故隐患。</w:t>
      </w:r>
    </w:p>
    <w:p w14:paraId="539D6319">
      <w:pPr>
        <w:pStyle w:val="5"/>
        <w:bidi w:val="0"/>
        <w:rPr>
          <w:rFonts w:hint="eastAsia"/>
          <w:color w:val="auto"/>
          <w:lang w:val="en-US" w:eastAsia="zh-CN"/>
        </w:rPr>
      </w:pPr>
      <w:bookmarkStart w:id="1064" w:name="_Toc27147"/>
      <w:bookmarkStart w:id="1065" w:name="_Toc14684"/>
      <w:bookmarkStart w:id="1066" w:name="_Toc2386"/>
      <w:r>
        <w:rPr>
          <w:rFonts w:hint="eastAsia"/>
          <w:color w:val="auto"/>
          <w:lang w:val="en-US" w:eastAsia="zh-CN"/>
        </w:rPr>
        <w:t>7.1.4应重点防范的重大危险有害因素</w:t>
      </w:r>
      <w:bookmarkEnd w:id="1064"/>
      <w:bookmarkEnd w:id="1065"/>
      <w:bookmarkEnd w:id="1066"/>
    </w:p>
    <w:p w14:paraId="2E9E048B">
      <w:pPr>
        <w:pageBreakBefore w:val="0"/>
        <w:widowControl w:val="0"/>
        <w:kinsoku/>
        <w:wordWrap/>
        <w:overflowPunct/>
        <w:topLinePunct w:val="0"/>
        <w:autoSpaceDE/>
        <w:autoSpaceDN/>
        <w:bidi w:val="0"/>
        <w:adjustRightInd/>
        <w:snapToGrid/>
        <w:spacing w:beforeAutospacing="0" w:line="580" w:lineRule="exact"/>
        <w:ind w:firstLine="560" w:firstLineChars="200"/>
        <w:textAlignment w:val="auto"/>
        <w:rPr>
          <w:rFonts w:hint="eastAsia" w:ascii="宋体" w:hAnsi="宋体"/>
          <w:color w:val="auto"/>
          <w:sz w:val="28"/>
          <w:szCs w:val="28"/>
        </w:rPr>
      </w:pPr>
      <w:r>
        <w:rPr>
          <w:rFonts w:hint="eastAsia"/>
          <w:color w:val="auto"/>
          <w:lang w:val="en-US" w:eastAsia="zh-CN"/>
        </w:rPr>
        <w:t>江西临川鲁金矿业有限公司</w:t>
      </w:r>
      <w:r>
        <w:rPr>
          <w:rFonts w:hint="eastAsia"/>
          <w:color w:val="auto"/>
        </w:rPr>
        <w:t>茅排金矿</w:t>
      </w:r>
      <w:r>
        <w:rPr>
          <w:rFonts w:hint="eastAsia" w:ascii="宋体" w:hAnsi="宋体"/>
          <w:color w:val="auto"/>
          <w:sz w:val="28"/>
          <w:szCs w:val="28"/>
        </w:rPr>
        <w:t>地下开采系统属于风险因素多，影响面广的高风险作业活动</w:t>
      </w:r>
      <w:r>
        <w:rPr>
          <w:rFonts w:hint="eastAsia"/>
          <w:color w:val="auto"/>
          <w:sz w:val="28"/>
          <w:szCs w:val="28"/>
          <w:lang w:eastAsia="zh-CN"/>
        </w:rPr>
        <w:t>，</w:t>
      </w:r>
      <w:r>
        <w:rPr>
          <w:rFonts w:hint="eastAsia" w:ascii="宋体" w:hAnsi="宋体"/>
          <w:color w:val="auto"/>
          <w:sz w:val="28"/>
          <w:szCs w:val="28"/>
        </w:rPr>
        <w:t>应重点防范</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_Toc20458 </w:instrText>
      </w:r>
      <w:r>
        <w:rPr>
          <w:rFonts w:hint="eastAsia"/>
          <w:color w:val="auto"/>
          <w:lang w:val="en-US" w:eastAsia="zh-CN"/>
        </w:rPr>
        <w:fldChar w:fldCharType="separate"/>
      </w:r>
      <w:r>
        <w:rPr>
          <w:rFonts w:hint="eastAsia"/>
          <w:color w:val="auto"/>
          <w:lang w:val="en-US" w:eastAsia="zh-CN"/>
        </w:rPr>
        <w:t>淹溺</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_Toc23228 </w:instrText>
      </w:r>
      <w:r>
        <w:rPr>
          <w:rFonts w:hint="eastAsia"/>
          <w:color w:val="auto"/>
          <w:lang w:val="en-US" w:eastAsia="zh-CN"/>
        </w:rPr>
        <w:fldChar w:fldCharType="separate"/>
      </w:r>
      <w:r>
        <w:rPr>
          <w:rFonts w:hint="eastAsia"/>
          <w:color w:val="auto"/>
          <w:lang w:val="en-US" w:eastAsia="zh-CN"/>
        </w:rPr>
        <w:t>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、有毒气体、有害气体、作业环境不良</w:t>
      </w:r>
      <w:r>
        <w:rPr>
          <w:rFonts w:hint="eastAsia" w:ascii="宋体" w:hAnsi="宋体"/>
          <w:color w:val="auto"/>
          <w:sz w:val="28"/>
          <w:szCs w:val="28"/>
        </w:rPr>
        <w:t>等</w:t>
      </w:r>
      <w:r>
        <w:rPr>
          <w:rFonts w:hint="eastAsia"/>
          <w:color w:val="auto"/>
        </w:rPr>
        <w:t>导致死、致伤的危险因素</w:t>
      </w:r>
      <w:r>
        <w:rPr>
          <w:rFonts w:hint="eastAsia" w:ascii="宋体" w:hAnsi="宋体"/>
          <w:color w:val="auto"/>
          <w:sz w:val="28"/>
          <w:szCs w:val="28"/>
        </w:rPr>
        <w:t>，以及严重导致职业病的粉尘危害。</w:t>
      </w:r>
    </w:p>
    <w:p w14:paraId="25A8CACD">
      <w:pPr>
        <w:pStyle w:val="4"/>
        <w:bidi w:val="0"/>
        <w:rPr>
          <w:rFonts w:hint="eastAsia"/>
          <w:color w:val="auto"/>
          <w:lang w:val="en-US" w:eastAsia="zh-CN"/>
        </w:rPr>
      </w:pPr>
      <w:bookmarkStart w:id="1067" w:name="_Toc28518"/>
      <w:bookmarkStart w:id="1068" w:name="_Toc7264"/>
      <w:bookmarkStart w:id="1069" w:name="_Toc14348"/>
      <w:bookmarkStart w:id="1070" w:name="_Toc6640"/>
      <w:r>
        <w:rPr>
          <w:rFonts w:hint="eastAsia"/>
          <w:color w:val="auto"/>
          <w:lang w:val="en-US" w:eastAsia="zh-CN"/>
        </w:rPr>
        <w:t>7.2各单元评价结果</w:t>
      </w:r>
      <w:bookmarkEnd w:id="1067"/>
      <w:bookmarkEnd w:id="1068"/>
      <w:bookmarkEnd w:id="1069"/>
      <w:bookmarkEnd w:id="1070"/>
    </w:p>
    <w:p w14:paraId="0D87E33E">
      <w:pPr>
        <w:numPr>
          <w:ilvl w:val="0"/>
          <w:numId w:val="6"/>
        </w:numPr>
        <w:bidi w:val="0"/>
        <w:rPr>
          <w:rFonts w:hint="eastAsia"/>
          <w:color w:val="auto"/>
          <w:lang w:val="en-US" w:eastAsia="zh-CN"/>
        </w:rPr>
      </w:pPr>
      <w:r>
        <w:rPr>
          <w:rFonts w:hint="eastAsia"/>
          <w:color w:val="auto"/>
          <w:lang w:val="en-US" w:eastAsia="zh-CN"/>
        </w:rPr>
        <w:t>江西临川鲁金矿业有限公司</w:t>
      </w:r>
      <w:r>
        <w:rPr>
          <w:rFonts w:hint="eastAsia"/>
          <w:color w:val="auto"/>
        </w:rPr>
        <w:t>茅排金矿地下开采系统生产系统、辅助生产系统和安全保障系统，根据其功能分为综合管理、开采综合系统、井下爆破系统、矿井通风与防尘系统、电气安全系统、运输系统、防排水</w:t>
      </w:r>
      <w:r>
        <w:rPr>
          <w:rFonts w:hint="eastAsia"/>
          <w:color w:val="auto"/>
          <w:lang w:val="en-US" w:eastAsia="zh-CN"/>
        </w:rPr>
        <w:t>和</w:t>
      </w:r>
      <w:r>
        <w:rPr>
          <w:rFonts w:hint="eastAsia"/>
          <w:color w:val="auto"/>
        </w:rPr>
        <w:t>防雷电系统、井下消防供水系统、</w:t>
      </w:r>
      <w:r>
        <w:rPr>
          <w:rFonts w:hint="eastAsia"/>
          <w:color w:val="auto"/>
          <w:lang w:val="en-US" w:eastAsia="zh-CN"/>
        </w:rPr>
        <w:t>废石场</w:t>
      </w:r>
      <w:r>
        <w:rPr>
          <w:rFonts w:hint="eastAsia"/>
          <w:color w:val="auto"/>
        </w:rPr>
        <w:t>系统</w:t>
      </w:r>
      <w:r>
        <w:rPr>
          <w:rFonts w:hint="eastAsia"/>
          <w:color w:val="auto"/>
          <w:lang w:eastAsia="zh-CN"/>
        </w:rPr>
        <w:t>、</w:t>
      </w:r>
      <w:r>
        <w:rPr>
          <w:rFonts w:hint="eastAsia"/>
          <w:color w:val="auto"/>
        </w:rPr>
        <w:t>井下供气系统10个单元。根据各单元的评价结果汇总应得分总分324</w:t>
      </w:r>
      <w:r>
        <w:rPr>
          <w:rFonts w:hint="eastAsia"/>
          <w:color w:val="auto"/>
          <w:lang w:val="en-US" w:eastAsia="zh-CN"/>
        </w:rPr>
        <w:t>分</w:t>
      </w:r>
      <w:r>
        <w:rPr>
          <w:rFonts w:hint="eastAsia"/>
          <w:color w:val="auto"/>
        </w:rPr>
        <w:t>，实际得分28</w:t>
      </w:r>
      <w:r>
        <w:rPr>
          <w:rFonts w:hint="eastAsia"/>
          <w:color w:val="auto"/>
          <w:lang w:val="en-US" w:eastAsia="zh-CN"/>
        </w:rPr>
        <w:t>9分</w:t>
      </w:r>
      <w:r>
        <w:rPr>
          <w:rFonts w:hint="eastAsia"/>
          <w:color w:val="auto"/>
        </w:rPr>
        <w:t>，得分率为8</w:t>
      </w:r>
      <w:r>
        <w:rPr>
          <w:rFonts w:hint="eastAsia"/>
          <w:color w:val="auto"/>
          <w:lang w:val="en-US" w:eastAsia="zh-CN"/>
        </w:rPr>
        <w:t>9</w:t>
      </w:r>
      <w:r>
        <w:rPr>
          <w:rFonts w:hint="eastAsia"/>
          <w:color w:val="auto"/>
        </w:rPr>
        <w:t>.</w:t>
      </w:r>
      <w:r>
        <w:rPr>
          <w:rFonts w:hint="eastAsia"/>
          <w:color w:val="auto"/>
          <w:lang w:val="en-US" w:eastAsia="zh-CN"/>
        </w:rPr>
        <w:t>2</w:t>
      </w:r>
      <w:r>
        <w:rPr>
          <w:rFonts w:hint="eastAsia"/>
          <w:color w:val="auto"/>
        </w:rPr>
        <w:t>%。根据表4-2</w:t>
      </w:r>
      <w:r>
        <w:rPr>
          <w:rFonts w:hint="eastAsia"/>
          <w:color w:val="auto"/>
          <w:lang w:val="en-US" w:eastAsia="zh-CN"/>
        </w:rPr>
        <w:t>可知江西临川鲁金矿业有限公司</w:t>
      </w:r>
      <w:r>
        <w:rPr>
          <w:rFonts w:hint="eastAsia"/>
          <w:color w:val="auto"/>
        </w:rPr>
        <w:t>茅排金矿地下开采</w:t>
      </w:r>
      <w:r>
        <w:rPr>
          <w:rFonts w:hint="eastAsia"/>
          <w:color w:val="auto"/>
          <w:lang w:val="en-US" w:eastAsia="zh-CN"/>
        </w:rPr>
        <w:t>地下开采系统为B类矿山，即属于“安全生产条件一般，能满足基本的安全生产活动。”的矿山。</w:t>
      </w:r>
    </w:p>
    <w:p w14:paraId="0B99AC95">
      <w:pPr>
        <w:bidi w:val="0"/>
        <w:rPr>
          <w:rFonts w:hint="eastAsia"/>
          <w:color w:val="auto"/>
        </w:rPr>
      </w:pPr>
      <w:r>
        <w:rPr>
          <w:rFonts w:hint="eastAsia"/>
          <w:color w:val="auto"/>
          <w:lang w:val="en-US" w:eastAsia="zh-CN"/>
        </w:rPr>
        <w:t>2）作业条件危险性评价结果表明江西临川鲁金矿业有限公司</w:t>
      </w:r>
      <w:r>
        <w:rPr>
          <w:rFonts w:hint="eastAsia"/>
          <w:color w:val="auto"/>
        </w:rPr>
        <w:t>茅排金矿</w:t>
      </w:r>
      <w:r>
        <w:rPr>
          <w:rFonts w:hint="eastAsia"/>
          <w:color w:val="auto"/>
          <w:lang w:val="en-US" w:eastAsia="zh-CN"/>
        </w:rPr>
        <w:t>地下开采系统生产过程中存在</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_Toc13636 </w:instrText>
      </w:r>
      <w:r>
        <w:rPr>
          <w:rFonts w:hint="eastAsia"/>
          <w:color w:val="auto"/>
          <w:lang w:val="en-US" w:eastAsia="zh-CN"/>
        </w:rPr>
        <w:fldChar w:fldCharType="separate"/>
      </w:r>
      <w:r>
        <w:rPr>
          <w:rFonts w:hint="eastAsia"/>
          <w:color w:val="auto"/>
          <w:lang w:val="en-US" w:eastAsia="zh-CN"/>
        </w:rPr>
        <w:t>起重致害、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容器爆炸、管道爆炸</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_Toc20458 </w:instrText>
      </w:r>
      <w:r>
        <w:rPr>
          <w:rFonts w:hint="eastAsia"/>
          <w:color w:val="auto"/>
          <w:lang w:val="en-US" w:eastAsia="zh-CN"/>
        </w:rPr>
        <w:fldChar w:fldCharType="separate"/>
      </w:r>
      <w:r>
        <w:rPr>
          <w:rFonts w:hint="eastAsia"/>
          <w:color w:val="auto"/>
          <w:lang w:val="en-US" w:eastAsia="zh-CN"/>
        </w:rPr>
        <w:t>淹溺</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_Toc23228 </w:instrText>
      </w:r>
      <w:r>
        <w:rPr>
          <w:rFonts w:hint="eastAsia"/>
          <w:color w:val="auto"/>
          <w:lang w:val="en-US" w:eastAsia="zh-CN"/>
        </w:rPr>
        <w:fldChar w:fldCharType="separate"/>
      </w:r>
      <w:r>
        <w:rPr>
          <w:rFonts w:hint="eastAsia"/>
          <w:color w:val="auto"/>
          <w:lang w:val="en-US" w:eastAsia="zh-CN"/>
        </w:rPr>
        <w:t>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、粉尘、噪声、振动、有毒气体、有害气体、作业环境不良等危险、有害因素，其中</w:t>
      </w:r>
      <w:r>
        <w:rPr>
          <w:rFonts w:hint="eastAsia"/>
          <w:color w:val="auto"/>
          <w:lang w:val="en-US" w:eastAsia="zh-CN"/>
        </w:rPr>
        <w:fldChar w:fldCharType="begin"/>
      </w:r>
      <w:r>
        <w:rPr>
          <w:rFonts w:hint="eastAsia"/>
          <w:color w:val="auto"/>
          <w:lang w:val="en-US" w:eastAsia="zh-CN"/>
        </w:rPr>
        <w:instrText xml:space="preserve"> HYPERLINK \l _Toc20125 </w:instrText>
      </w:r>
      <w:r>
        <w:rPr>
          <w:rFonts w:hint="eastAsia"/>
          <w:color w:val="auto"/>
          <w:lang w:val="en-US" w:eastAsia="zh-CN"/>
        </w:rPr>
        <w:fldChar w:fldCharType="separate"/>
      </w:r>
      <w:r>
        <w:rPr>
          <w:rFonts w:hint="eastAsia"/>
          <w:color w:val="auto"/>
          <w:lang w:val="en-US" w:eastAsia="zh-CN"/>
        </w:rPr>
        <w:t>民用爆炸物品爆炸、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_Toc15277 </w:instrText>
      </w:r>
      <w:r>
        <w:rPr>
          <w:rFonts w:hint="eastAsia"/>
          <w:color w:val="auto"/>
          <w:lang w:val="en-US" w:eastAsia="zh-CN"/>
        </w:rPr>
        <w:fldChar w:fldCharType="separate"/>
      </w:r>
      <w:r>
        <w:rPr>
          <w:rFonts w:hint="eastAsia"/>
          <w:color w:val="auto"/>
          <w:lang w:val="en-US" w:eastAsia="zh-CN"/>
        </w:rPr>
        <w:t>坍塌、</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_Toc7288 </w:instrText>
      </w:r>
      <w:r>
        <w:rPr>
          <w:rFonts w:hint="eastAsia"/>
          <w:color w:val="auto"/>
          <w:lang w:val="en-US" w:eastAsia="zh-CN"/>
        </w:rPr>
        <w:fldChar w:fldCharType="separate"/>
      </w:r>
      <w:r>
        <w:rPr>
          <w:rFonts w:hint="eastAsia"/>
          <w:color w:val="auto"/>
          <w:lang w:val="en-US" w:eastAsia="zh-CN"/>
        </w:rPr>
        <w:t>机械致害、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_Toc29878 </w:instrText>
      </w:r>
      <w:r>
        <w:rPr>
          <w:rFonts w:hint="eastAsia"/>
          <w:color w:val="auto"/>
          <w:lang w:val="en-US" w:eastAsia="zh-CN"/>
        </w:rPr>
        <w:fldChar w:fldCharType="separate"/>
      </w:r>
      <w:r>
        <w:rPr>
          <w:rFonts w:hint="eastAsia"/>
          <w:color w:val="auto"/>
          <w:lang w:val="en-US" w:eastAsia="zh-CN"/>
        </w:rPr>
        <w:t>触电</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_Toc16395 </w:instrText>
      </w:r>
      <w:r>
        <w:rPr>
          <w:rFonts w:hint="eastAsia"/>
          <w:color w:val="auto"/>
          <w:lang w:val="en-US" w:eastAsia="zh-CN"/>
        </w:rPr>
        <w:fldChar w:fldCharType="separate"/>
      </w:r>
      <w:r>
        <w:rPr>
          <w:rFonts w:hint="eastAsia"/>
          <w:color w:val="auto"/>
          <w:lang w:val="en-US" w:eastAsia="zh-CN"/>
        </w:rPr>
        <w:t>厂(场)内车辆致害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_Toc22031 </w:instrText>
      </w:r>
      <w:r>
        <w:rPr>
          <w:rFonts w:hint="eastAsia"/>
          <w:color w:val="auto"/>
          <w:lang w:val="en-US" w:eastAsia="zh-CN"/>
        </w:rPr>
        <w:fldChar w:fldCharType="separate"/>
      </w:r>
      <w:r>
        <w:rPr>
          <w:rFonts w:hint="eastAsia"/>
          <w:color w:val="auto"/>
          <w:lang w:val="en-US" w:eastAsia="zh-CN"/>
        </w:rPr>
        <w:t>高处坠落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_Toc3947 </w:instrText>
      </w:r>
      <w:r>
        <w:rPr>
          <w:rFonts w:hint="eastAsia"/>
          <w:color w:val="auto"/>
          <w:lang w:val="en-US" w:eastAsia="zh-CN"/>
        </w:rPr>
        <w:fldChar w:fldCharType="separate"/>
      </w:r>
      <w:r>
        <w:rPr>
          <w:rFonts w:hint="eastAsia"/>
          <w:color w:val="auto"/>
          <w:lang w:val="en-US" w:eastAsia="zh-CN"/>
        </w:rPr>
        <w:t>跌落</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_Toc1738 </w:instrText>
      </w:r>
      <w:r>
        <w:rPr>
          <w:rFonts w:hint="eastAsia"/>
          <w:color w:val="auto"/>
          <w:lang w:val="en-US" w:eastAsia="zh-CN"/>
        </w:rPr>
        <w:fldChar w:fldCharType="separate"/>
      </w:r>
      <w:r>
        <w:rPr>
          <w:rFonts w:hint="eastAsia"/>
          <w:color w:val="auto"/>
          <w:lang w:val="en-US" w:eastAsia="zh-CN"/>
        </w:rPr>
        <w:t>火灾</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容器爆炸、</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_Toc10101 </w:instrText>
      </w:r>
      <w:r>
        <w:rPr>
          <w:rFonts w:hint="eastAsia"/>
          <w:color w:val="auto"/>
          <w:lang w:val="en-US" w:eastAsia="zh-CN"/>
        </w:rPr>
        <w:fldChar w:fldCharType="separate"/>
      </w:r>
      <w:r>
        <w:rPr>
          <w:rFonts w:hint="eastAsia"/>
          <w:color w:val="auto"/>
          <w:lang w:val="en-US" w:eastAsia="zh-CN"/>
        </w:rPr>
        <w:t>中毒、窒息</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_Toc26880 </w:instrText>
      </w:r>
      <w:r>
        <w:rPr>
          <w:rFonts w:hint="eastAsia"/>
          <w:color w:val="auto"/>
          <w:lang w:val="en-US" w:eastAsia="zh-CN"/>
        </w:rPr>
        <w:fldChar w:fldCharType="separate"/>
      </w:r>
      <w:r>
        <w:rPr>
          <w:rFonts w:hint="eastAsia"/>
          <w:color w:val="auto"/>
          <w:lang w:val="en-US" w:eastAsia="zh-CN"/>
        </w:rPr>
        <w:t>物体打击</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_Toc20458 </w:instrText>
      </w:r>
      <w:r>
        <w:rPr>
          <w:rFonts w:hint="eastAsia"/>
          <w:color w:val="auto"/>
          <w:lang w:val="en-US" w:eastAsia="zh-CN"/>
        </w:rPr>
        <w:fldChar w:fldCharType="separate"/>
      </w:r>
      <w:r>
        <w:rPr>
          <w:rFonts w:hint="eastAsia"/>
          <w:color w:val="auto"/>
          <w:lang w:val="en-US" w:eastAsia="zh-CN"/>
        </w:rPr>
        <w:t>淹溺</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_Toc23228 </w:instrText>
      </w:r>
      <w:r>
        <w:rPr>
          <w:rFonts w:hint="eastAsia"/>
          <w:color w:val="auto"/>
          <w:lang w:val="en-US" w:eastAsia="zh-CN"/>
        </w:rPr>
        <w:fldChar w:fldCharType="separate"/>
      </w:r>
      <w:r>
        <w:rPr>
          <w:rFonts w:hint="eastAsia"/>
          <w:color w:val="auto"/>
          <w:lang w:val="en-US" w:eastAsia="zh-CN"/>
        </w:rPr>
        <w:t>水害</w:t>
      </w:r>
      <w:r>
        <w:rPr>
          <w:rFonts w:hint="eastAsia"/>
          <w:color w:val="auto"/>
          <w:lang w:val="en-US" w:eastAsia="zh-CN"/>
        </w:rPr>
        <w:fldChar w:fldCharType="end"/>
      </w:r>
      <w:r>
        <w:rPr>
          <w:rFonts w:hint="eastAsia"/>
          <w:color w:val="auto"/>
          <w:lang w:val="en-US" w:eastAsia="zh-CN"/>
        </w:rPr>
        <w:t>、</w:t>
      </w:r>
      <w:r>
        <w:rPr>
          <w:rFonts w:hint="eastAsia"/>
          <w:color w:val="auto"/>
          <w:lang w:val="en-US" w:eastAsia="zh-CN"/>
        </w:rPr>
        <w:fldChar w:fldCharType="begin"/>
      </w:r>
      <w:r>
        <w:rPr>
          <w:rFonts w:hint="eastAsia"/>
          <w:color w:val="auto"/>
          <w:lang w:val="en-US" w:eastAsia="zh-CN"/>
        </w:rPr>
        <w:instrText xml:space="preserve"> HYPERLINK \l _Toc29960 </w:instrText>
      </w:r>
      <w:r>
        <w:rPr>
          <w:rFonts w:hint="eastAsia"/>
          <w:color w:val="auto"/>
          <w:lang w:val="en-US" w:eastAsia="zh-CN"/>
        </w:rPr>
        <w:fldChar w:fldCharType="separate"/>
      </w:r>
      <w:r>
        <w:rPr>
          <w:rFonts w:hint="eastAsia"/>
          <w:color w:val="auto"/>
          <w:lang w:val="en-US" w:eastAsia="zh-CN"/>
        </w:rPr>
        <w:t>滑坡</w:t>
      </w:r>
      <w:r>
        <w:rPr>
          <w:rFonts w:hint="eastAsia"/>
          <w:color w:val="auto"/>
          <w:lang w:val="en-US" w:eastAsia="zh-CN"/>
        </w:rPr>
        <w:fldChar w:fldCharType="end"/>
      </w:r>
      <w:r>
        <w:rPr>
          <w:rFonts w:hint="eastAsia"/>
          <w:color w:val="auto"/>
          <w:lang w:val="en-US" w:eastAsia="zh-CN"/>
        </w:rPr>
        <w:t>、有毒气体、有害气体、作业环境不良等18种是主要危险、有害因素，危险程度为一般危险，需加强防范；</w:t>
      </w:r>
      <w:r>
        <w:rPr>
          <w:rFonts w:hint="eastAsia"/>
          <w:color w:val="auto"/>
          <w:lang w:val="en-US" w:eastAsia="zh-CN"/>
        </w:rPr>
        <w:fldChar w:fldCharType="begin"/>
      </w:r>
      <w:r>
        <w:rPr>
          <w:rFonts w:hint="eastAsia"/>
          <w:color w:val="auto"/>
          <w:lang w:val="en-US" w:eastAsia="zh-CN"/>
        </w:rPr>
        <w:instrText xml:space="preserve"> HYPERLINK \l _Toc13636 </w:instrText>
      </w:r>
      <w:r>
        <w:rPr>
          <w:rFonts w:hint="eastAsia"/>
          <w:color w:val="auto"/>
          <w:lang w:val="en-US" w:eastAsia="zh-CN"/>
        </w:rPr>
        <w:fldChar w:fldCharType="separate"/>
      </w:r>
      <w:r>
        <w:rPr>
          <w:rFonts w:hint="eastAsia"/>
          <w:color w:val="auto"/>
          <w:lang w:val="en-US" w:eastAsia="zh-CN"/>
        </w:rPr>
        <w:t>起重致害、</w:t>
      </w:r>
      <w:r>
        <w:rPr>
          <w:rFonts w:hint="eastAsia"/>
          <w:color w:val="auto"/>
          <w:lang w:val="en-US" w:eastAsia="zh-CN"/>
        </w:rPr>
        <w:fldChar w:fldCharType="end"/>
      </w:r>
      <w:r>
        <w:rPr>
          <w:rFonts w:hint="eastAsia"/>
          <w:color w:val="auto"/>
          <w:lang w:val="en-US" w:eastAsia="zh-CN"/>
        </w:rPr>
        <w:fldChar w:fldCharType="begin"/>
      </w:r>
      <w:r>
        <w:rPr>
          <w:rFonts w:hint="eastAsia"/>
          <w:color w:val="auto"/>
          <w:lang w:val="en-US" w:eastAsia="zh-CN"/>
        </w:rPr>
        <w:instrText xml:space="preserve"> HYPERLINK \l _Toc12099 </w:instrText>
      </w:r>
      <w:r>
        <w:rPr>
          <w:rFonts w:hint="eastAsia"/>
          <w:color w:val="auto"/>
          <w:lang w:val="en-US" w:eastAsia="zh-CN"/>
        </w:rPr>
        <w:fldChar w:fldCharType="separate"/>
      </w:r>
      <w:r>
        <w:rPr>
          <w:rFonts w:hint="eastAsia"/>
          <w:color w:val="auto"/>
          <w:lang w:val="en-US" w:eastAsia="zh-CN"/>
        </w:rPr>
        <w:t>管道爆炸</w:t>
      </w:r>
      <w:r>
        <w:rPr>
          <w:rFonts w:hint="eastAsia"/>
          <w:color w:val="auto"/>
          <w:lang w:val="en-US" w:eastAsia="zh-CN"/>
        </w:rPr>
        <w:fldChar w:fldCharType="end"/>
      </w:r>
      <w:r>
        <w:rPr>
          <w:rFonts w:hint="eastAsia"/>
          <w:color w:val="auto"/>
          <w:lang w:val="en-US" w:eastAsia="zh-CN"/>
        </w:rPr>
        <w:t>、粉尘、噪声、振动等5种危险、有害因素，危险程度为稍有危险，需保持现有的安全管理状态。</w:t>
      </w:r>
    </w:p>
    <w:bookmarkEnd w:id="1056"/>
    <w:bookmarkEnd w:id="1057"/>
    <w:bookmarkEnd w:id="1058"/>
    <w:p w14:paraId="2A37D728">
      <w:pPr>
        <w:pStyle w:val="4"/>
        <w:bidi w:val="0"/>
        <w:rPr>
          <w:rFonts w:hint="eastAsia"/>
          <w:color w:val="auto"/>
          <w:lang w:val="en-US" w:eastAsia="zh-CN"/>
        </w:rPr>
      </w:pPr>
      <w:bookmarkStart w:id="1071" w:name="_Toc8532"/>
      <w:bookmarkStart w:id="1072" w:name="_Toc2529"/>
      <w:bookmarkStart w:id="1073" w:name="_Toc7611"/>
      <w:bookmarkStart w:id="1074" w:name="_Toc1055"/>
      <w:bookmarkStart w:id="1075" w:name="_Toc5876"/>
      <w:bookmarkStart w:id="1076" w:name="_Toc30526"/>
      <w:bookmarkStart w:id="1077" w:name="_Toc18445"/>
      <w:bookmarkStart w:id="1078" w:name="_Toc2706"/>
      <w:bookmarkStart w:id="1079" w:name="_Toc7685"/>
      <w:r>
        <w:rPr>
          <w:rFonts w:hint="eastAsia"/>
          <w:color w:val="auto"/>
          <w:lang w:val="en-US" w:eastAsia="zh-CN"/>
        </w:rPr>
        <w:t>7.3评价结论</w:t>
      </w:r>
      <w:bookmarkEnd w:id="1071"/>
    </w:p>
    <w:p w14:paraId="72BFD67A">
      <w:pPr>
        <w:bidi w:val="0"/>
        <w:rPr>
          <w:rFonts w:hint="eastAsia"/>
          <w:color w:val="auto"/>
          <w:lang w:val="en-US" w:eastAsia="zh-CN"/>
        </w:rPr>
      </w:pPr>
      <w:r>
        <w:rPr>
          <w:rFonts w:hint="eastAsia"/>
          <w:color w:val="auto"/>
        </w:rPr>
        <w:t>评价结</w:t>
      </w:r>
      <w:r>
        <w:rPr>
          <w:rFonts w:hint="eastAsia"/>
          <w:color w:val="auto"/>
          <w:lang w:val="en-US" w:eastAsia="zh-CN"/>
        </w:rPr>
        <w:t>论</w:t>
      </w:r>
      <w:r>
        <w:rPr>
          <w:rFonts w:hint="eastAsia"/>
          <w:color w:val="auto"/>
        </w:rPr>
        <w:t>：</w:t>
      </w:r>
      <w:r>
        <w:rPr>
          <w:rFonts w:hint="eastAsia" w:ascii="黑体" w:hAnsi="黑体" w:eastAsia="黑体" w:cs="黑体"/>
          <w:b/>
          <w:bCs/>
          <w:color w:val="auto"/>
          <w:lang w:val="en-US" w:eastAsia="zh-CN"/>
        </w:rPr>
        <w:t>江西临川鲁金矿业有限公司</w:t>
      </w:r>
      <w:r>
        <w:rPr>
          <w:rFonts w:hint="eastAsia" w:ascii="黑体" w:hAnsi="黑体" w:eastAsia="黑体" w:cs="黑体"/>
          <w:b/>
          <w:bCs/>
          <w:color w:val="auto"/>
        </w:rPr>
        <w:t>茅排金矿</w:t>
      </w:r>
      <w:r>
        <w:rPr>
          <w:rFonts w:hint="eastAsia" w:ascii="黑体" w:hAnsi="黑体" w:eastAsia="黑体" w:cs="黑体"/>
          <w:b/>
          <w:bCs/>
          <w:color w:val="auto"/>
          <w:lang w:val="en-US" w:eastAsia="zh-CN"/>
        </w:rPr>
        <w:t>地下开采系统按照安全设施设计组织生产、具备安全生产条件。</w:t>
      </w:r>
    </w:p>
    <w:p w14:paraId="1A60412E">
      <w:pPr>
        <w:pStyle w:val="4"/>
        <w:bidi w:val="0"/>
        <w:rPr>
          <w:rFonts w:hint="eastAsia"/>
          <w:color w:val="auto"/>
          <w:lang w:val="en-US" w:eastAsia="zh-CN"/>
        </w:rPr>
      </w:pPr>
      <w:bookmarkStart w:id="1080" w:name="_Toc1206"/>
      <w:r>
        <w:rPr>
          <w:rFonts w:hint="eastAsia"/>
          <w:color w:val="auto"/>
          <w:lang w:val="en-US" w:eastAsia="zh-CN"/>
        </w:rPr>
        <w:t>7.4 说明</w:t>
      </w:r>
      <w:bookmarkEnd w:id="1072"/>
      <w:bookmarkEnd w:id="1073"/>
      <w:bookmarkEnd w:id="1074"/>
      <w:bookmarkEnd w:id="1075"/>
      <w:bookmarkEnd w:id="1076"/>
      <w:bookmarkEnd w:id="1077"/>
      <w:bookmarkEnd w:id="1078"/>
      <w:bookmarkEnd w:id="1079"/>
      <w:bookmarkEnd w:id="1080"/>
    </w:p>
    <w:p w14:paraId="186D4CDD">
      <w:pPr>
        <w:keepNext w:val="0"/>
        <w:keepLines w:val="0"/>
        <w:pageBreakBefore w:val="0"/>
        <w:widowControl w:val="0"/>
        <w:tabs>
          <w:tab w:val="left" w:pos="420"/>
        </w:tabs>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b w:val="0"/>
          <w:bCs w:val="0"/>
          <w:snapToGrid/>
          <w:color w:val="auto"/>
          <w:spacing w:val="10"/>
          <w:kern w:val="2"/>
          <w:sz w:val="28"/>
          <w:szCs w:val="28"/>
          <w:lang w:val="en-US" w:eastAsia="zh-CN" w:bidi="ar-SA"/>
        </w:rPr>
      </w:pPr>
      <w:r>
        <w:rPr>
          <w:rFonts w:hint="eastAsia" w:ascii="宋体" w:hAnsi="宋体" w:eastAsia="宋体" w:cs="宋体"/>
          <w:b w:val="0"/>
          <w:bCs w:val="0"/>
          <w:snapToGrid/>
          <w:color w:val="auto"/>
          <w:spacing w:val="10"/>
          <w:kern w:val="2"/>
          <w:sz w:val="28"/>
          <w:szCs w:val="28"/>
          <w:lang w:val="en-US" w:eastAsia="zh-CN" w:bidi="ar-SA"/>
        </w:rPr>
        <w:t>1) 本评价报告基于并信赖委托方提供的有关证照及评价技术资料是真实、客观的。</w:t>
      </w:r>
    </w:p>
    <w:p w14:paraId="20737761">
      <w:pPr>
        <w:keepNext w:val="0"/>
        <w:keepLines w:val="0"/>
        <w:pageBreakBefore w:val="0"/>
        <w:widowControl w:val="0"/>
        <w:tabs>
          <w:tab w:val="left" w:pos="420"/>
        </w:tabs>
        <w:kinsoku/>
        <w:wordWrap/>
        <w:overflowPunct/>
        <w:topLinePunct w:val="0"/>
        <w:autoSpaceDE/>
        <w:autoSpaceDN/>
        <w:bidi w:val="0"/>
        <w:adjustRightInd/>
        <w:snapToGrid/>
        <w:spacing w:line="560" w:lineRule="exact"/>
        <w:ind w:firstLine="600" w:firstLineChars="200"/>
        <w:jc w:val="both"/>
        <w:textAlignment w:val="auto"/>
        <w:rPr>
          <w:rFonts w:hint="eastAsia" w:ascii="宋体" w:hAnsi="宋体" w:eastAsia="宋体" w:cs="宋体"/>
          <w:b w:val="0"/>
          <w:bCs w:val="0"/>
          <w:snapToGrid/>
          <w:color w:val="auto"/>
          <w:spacing w:val="10"/>
          <w:kern w:val="2"/>
          <w:sz w:val="28"/>
          <w:szCs w:val="28"/>
          <w:lang w:val="en-US" w:eastAsia="zh-CN" w:bidi="ar-SA"/>
        </w:rPr>
      </w:pPr>
      <w:r>
        <w:rPr>
          <w:rFonts w:hint="eastAsia" w:ascii="宋体" w:hAnsi="宋体" w:eastAsia="宋体" w:cs="宋体"/>
          <w:b w:val="0"/>
          <w:bCs w:val="0"/>
          <w:snapToGrid/>
          <w:color w:val="auto"/>
          <w:spacing w:val="10"/>
          <w:kern w:val="2"/>
          <w:sz w:val="28"/>
          <w:szCs w:val="28"/>
          <w:lang w:val="en-US" w:eastAsia="zh-CN" w:bidi="ar-SA"/>
        </w:rPr>
        <w:t>2)</w:t>
      </w:r>
      <w:r>
        <w:rPr>
          <w:rFonts w:hint="eastAsia" w:cs="宋体"/>
          <w:b w:val="0"/>
          <w:bCs w:val="0"/>
          <w:snapToGrid/>
          <w:color w:val="auto"/>
          <w:spacing w:val="10"/>
          <w:kern w:val="2"/>
          <w:sz w:val="28"/>
          <w:szCs w:val="28"/>
          <w:lang w:val="en-US" w:eastAsia="zh-CN" w:bidi="ar-SA"/>
        </w:rPr>
        <w:t xml:space="preserve"> </w:t>
      </w:r>
      <w:r>
        <w:rPr>
          <w:rFonts w:hint="eastAsia" w:ascii="宋体" w:hAnsi="宋体" w:eastAsia="宋体" w:cs="宋体"/>
          <w:b w:val="0"/>
          <w:bCs w:val="0"/>
          <w:snapToGrid/>
          <w:color w:val="auto"/>
          <w:spacing w:val="10"/>
          <w:kern w:val="2"/>
          <w:sz w:val="28"/>
          <w:szCs w:val="28"/>
          <w:lang w:val="en-US" w:eastAsia="zh-CN" w:bidi="ar-SA"/>
        </w:rPr>
        <w:t>当开采范围、周边环境、主要生产及辅助系统发生变化时，应对该矿进行重新评价。</w:t>
      </w:r>
    </w:p>
    <w:p w14:paraId="4D221784">
      <w:pPr>
        <w:keepNext w:val="0"/>
        <w:keepLines w:val="0"/>
        <w:pageBreakBefore w:val="0"/>
        <w:widowControl w:val="0"/>
        <w:tabs>
          <w:tab w:val="left" w:pos="420"/>
        </w:tabs>
        <w:kinsoku/>
        <w:wordWrap/>
        <w:overflowPunct/>
        <w:topLinePunct w:val="0"/>
        <w:autoSpaceDE/>
        <w:autoSpaceDN/>
        <w:bidi w:val="0"/>
        <w:adjustRightInd/>
        <w:snapToGrid/>
        <w:spacing w:line="560" w:lineRule="exact"/>
        <w:ind w:firstLine="602" w:firstLineChars="200"/>
        <w:jc w:val="both"/>
        <w:textAlignment w:val="auto"/>
        <w:rPr>
          <w:rFonts w:hint="eastAsia" w:ascii="宋体" w:hAnsi="宋体" w:eastAsia="宋体" w:cs="宋体"/>
          <w:b/>
          <w:bCs/>
          <w:snapToGrid/>
          <w:color w:val="auto"/>
          <w:spacing w:val="10"/>
          <w:kern w:val="2"/>
          <w:sz w:val="28"/>
          <w:szCs w:val="28"/>
          <w:lang w:val="en-US" w:eastAsia="zh-CN" w:bidi="ar-SA"/>
        </w:rPr>
      </w:pPr>
    </w:p>
    <w:p w14:paraId="746003D4">
      <w:pPr>
        <w:rPr>
          <w:color w:val="auto"/>
        </w:rPr>
        <w:sectPr>
          <w:pgSz w:w="11906" w:h="16839"/>
          <w:pgMar w:top="1417" w:right="1417" w:bottom="1417" w:left="1417" w:header="850" w:footer="964" w:gutter="0"/>
          <w:pgBorders>
            <w:top w:val="none" w:sz="0" w:space="0"/>
            <w:left w:val="none" w:sz="0" w:space="0"/>
            <w:bottom w:val="none" w:sz="0" w:space="0"/>
            <w:right w:val="none" w:sz="0" w:space="0"/>
          </w:pgBorders>
          <w:pgNumType w:fmt="decimal"/>
          <w:cols w:space="0" w:num="1"/>
          <w:rtlGutter w:val="0"/>
          <w:docGrid w:linePitch="0" w:charSpace="0"/>
        </w:sectPr>
      </w:pPr>
    </w:p>
    <w:p w14:paraId="45BEB6FD">
      <w:pPr>
        <w:pStyle w:val="2"/>
        <w:bidi w:val="0"/>
        <w:rPr>
          <w:rFonts w:hint="eastAsia"/>
          <w:color w:val="auto"/>
          <w:lang w:val="en-US" w:eastAsia="zh-CN"/>
        </w:rPr>
      </w:pPr>
      <w:bookmarkStart w:id="1081" w:name="_Toc9098"/>
      <w:bookmarkStart w:id="1082" w:name="_Toc18073"/>
      <w:bookmarkStart w:id="1083" w:name="_Toc16953"/>
      <w:bookmarkStart w:id="1084" w:name="_Toc14094"/>
      <w:bookmarkStart w:id="1085" w:name="_Toc12452"/>
      <w:bookmarkStart w:id="1086" w:name="_Toc19702"/>
      <w:bookmarkStart w:id="1087" w:name="_Toc20638"/>
      <w:bookmarkStart w:id="1088" w:name="_Toc31259"/>
      <w:bookmarkStart w:id="1089" w:name="_Toc3790"/>
      <w:bookmarkStart w:id="1090" w:name="_Toc24414"/>
      <w:r>
        <w:rPr>
          <w:rFonts w:hint="eastAsia"/>
          <w:color w:val="auto"/>
          <w:lang w:val="en-US" w:eastAsia="zh-CN"/>
        </w:rPr>
        <w:t>8 附件</w:t>
      </w:r>
      <w:bookmarkEnd w:id="1081"/>
      <w:bookmarkEnd w:id="1082"/>
      <w:bookmarkEnd w:id="1083"/>
      <w:bookmarkEnd w:id="1084"/>
      <w:bookmarkEnd w:id="1085"/>
      <w:bookmarkEnd w:id="1086"/>
      <w:bookmarkEnd w:id="1087"/>
      <w:bookmarkEnd w:id="1088"/>
      <w:bookmarkEnd w:id="1089"/>
      <w:bookmarkEnd w:id="1090"/>
    </w:p>
    <w:p w14:paraId="1F717B99">
      <w:pPr>
        <w:bidi w:val="0"/>
        <w:rPr>
          <w:rFonts w:hint="eastAsia"/>
          <w:color w:val="auto"/>
        </w:rPr>
      </w:pPr>
      <w:bookmarkStart w:id="1091" w:name="_Toc5467"/>
      <w:bookmarkStart w:id="1092" w:name="_Toc11201"/>
      <w:bookmarkStart w:id="1093" w:name="_Toc10818"/>
      <w:bookmarkStart w:id="1094" w:name="_Toc15179"/>
      <w:r>
        <w:rPr>
          <w:rFonts w:hint="eastAsia"/>
          <w:color w:val="auto"/>
          <w:lang w:val="en-US" w:eastAsia="zh-CN"/>
        </w:rPr>
        <w:t>1）现场检查照片</w:t>
      </w:r>
    </w:p>
    <w:p w14:paraId="3B677466">
      <w:pPr>
        <w:bidi w:val="0"/>
        <w:rPr>
          <w:rFonts w:hint="eastAsia"/>
          <w:color w:val="auto"/>
          <w:lang w:val="en-US" w:eastAsia="zh-CN"/>
        </w:rPr>
      </w:pPr>
      <w:r>
        <w:rPr>
          <w:rFonts w:hint="eastAsia"/>
          <w:color w:val="auto"/>
          <w:lang w:val="en-US" w:eastAsia="zh-CN"/>
        </w:rPr>
        <w:t>2）存在问题、企业整改回复、复查意见</w:t>
      </w:r>
    </w:p>
    <w:p w14:paraId="710C3BE5">
      <w:pPr>
        <w:bidi w:val="0"/>
        <w:rPr>
          <w:rFonts w:hint="eastAsia"/>
          <w:color w:val="auto"/>
          <w:lang w:val="en-US" w:eastAsia="zh-CN"/>
        </w:rPr>
      </w:pPr>
      <w:r>
        <w:rPr>
          <w:rFonts w:hint="eastAsia"/>
          <w:color w:val="auto"/>
          <w:lang w:val="en-US" w:eastAsia="zh-CN"/>
        </w:rPr>
        <w:t>3）营业执照、采矿许可证、安全生产许可证</w:t>
      </w:r>
    </w:p>
    <w:p w14:paraId="54CD3FFB">
      <w:pPr>
        <w:bidi w:val="0"/>
        <w:rPr>
          <w:rFonts w:hint="eastAsia"/>
          <w:color w:val="auto"/>
          <w:lang w:val="en-US" w:eastAsia="zh-CN"/>
        </w:rPr>
      </w:pPr>
      <w:r>
        <w:rPr>
          <w:rFonts w:hint="eastAsia"/>
          <w:color w:val="auto"/>
          <w:lang w:val="en-US" w:eastAsia="zh-CN"/>
        </w:rPr>
        <w:t>4）设置安全管理机构文件</w:t>
      </w:r>
    </w:p>
    <w:p w14:paraId="76FB5B0A">
      <w:pPr>
        <w:bidi w:val="0"/>
        <w:rPr>
          <w:rFonts w:hint="eastAsia"/>
          <w:color w:val="auto"/>
          <w:lang w:eastAsia="zh-CN"/>
        </w:rPr>
      </w:pPr>
      <w:r>
        <w:rPr>
          <w:rFonts w:hint="eastAsia"/>
          <w:color w:val="auto"/>
          <w:lang w:val="en-US" w:eastAsia="zh-CN"/>
        </w:rPr>
        <w:t>5）</w:t>
      </w:r>
      <w:r>
        <w:rPr>
          <w:rFonts w:hint="eastAsia"/>
          <w:color w:val="auto"/>
        </w:rPr>
        <w:t>主要负责人</w:t>
      </w:r>
      <w:r>
        <w:rPr>
          <w:rFonts w:hint="eastAsia"/>
          <w:color w:val="auto"/>
          <w:lang w:eastAsia="zh-CN"/>
        </w:rPr>
        <w:t>、</w:t>
      </w:r>
      <w:r>
        <w:rPr>
          <w:rFonts w:hint="eastAsia"/>
          <w:color w:val="auto"/>
        </w:rPr>
        <w:t>安全生产管理人员安全资格证书复印件</w:t>
      </w:r>
      <w:r>
        <w:rPr>
          <w:rFonts w:hint="eastAsia"/>
          <w:color w:val="auto"/>
          <w:lang w:eastAsia="zh-CN"/>
        </w:rPr>
        <w:t>、</w:t>
      </w:r>
      <w:r>
        <w:rPr>
          <w:rFonts w:hint="eastAsia"/>
          <w:color w:val="auto"/>
          <w:lang w:val="en-US" w:eastAsia="zh-CN"/>
        </w:rPr>
        <w:t>注册安全工程师证书</w:t>
      </w:r>
    </w:p>
    <w:p w14:paraId="15E655EF">
      <w:pPr>
        <w:bidi w:val="0"/>
        <w:rPr>
          <w:rFonts w:hint="eastAsia"/>
          <w:color w:val="auto"/>
          <w:lang w:val="en-US" w:eastAsia="zh-CN"/>
        </w:rPr>
      </w:pPr>
      <w:r>
        <w:rPr>
          <w:rFonts w:hint="eastAsia"/>
          <w:color w:val="auto"/>
          <w:lang w:val="en-US" w:eastAsia="zh-CN"/>
        </w:rPr>
        <w:t>6）任命“五职”矿长、技术人员文件及证书</w:t>
      </w:r>
    </w:p>
    <w:p w14:paraId="2976AB99">
      <w:pPr>
        <w:bidi w:val="0"/>
        <w:rPr>
          <w:rFonts w:hint="eastAsia"/>
          <w:color w:val="auto"/>
          <w:lang w:val="en-US" w:eastAsia="zh-CN"/>
        </w:rPr>
      </w:pPr>
      <w:r>
        <w:rPr>
          <w:rFonts w:hint="eastAsia"/>
          <w:color w:val="auto"/>
          <w:lang w:val="en-US" w:eastAsia="zh-CN"/>
        </w:rPr>
        <w:t>7）特种作业人员证书</w:t>
      </w:r>
    </w:p>
    <w:p w14:paraId="3EAF1BD5">
      <w:pPr>
        <w:bidi w:val="0"/>
        <w:rPr>
          <w:rFonts w:hint="eastAsia"/>
          <w:color w:val="auto"/>
          <w:lang w:val="en-US" w:eastAsia="zh-CN"/>
        </w:rPr>
      </w:pPr>
      <w:r>
        <w:rPr>
          <w:rFonts w:hint="eastAsia"/>
          <w:color w:val="auto"/>
          <w:lang w:val="en-US" w:eastAsia="zh-CN"/>
        </w:rPr>
        <w:t>8）爆破作业单位证照和安全管理协议</w:t>
      </w:r>
    </w:p>
    <w:p w14:paraId="7699E7AF">
      <w:pPr>
        <w:bidi w:val="0"/>
        <w:rPr>
          <w:rFonts w:hint="eastAsia"/>
          <w:color w:val="auto"/>
          <w:lang w:val="en-US" w:eastAsia="zh-CN"/>
        </w:rPr>
      </w:pPr>
      <w:r>
        <w:rPr>
          <w:rFonts w:hint="eastAsia"/>
          <w:color w:val="auto"/>
          <w:lang w:val="en-US" w:eastAsia="zh-CN"/>
        </w:rPr>
        <w:t>9）应急预案备案表、救援协议</w:t>
      </w:r>
    </w:p>
    <w:p w14:paraId="2BD08A5C">
      <w:pPr>
        <w:bidi w:val="0"/>
        <w:rPr>
          <w:rFonts w:hint="eastAsia"/>
          <w:color w:val="auto"/>
        </w:rPr>
      </w:pPr>
      <w:r>
        <w:rPr>
          <w:rFonts w:hint="eastAsia"/>
          <w:color w:val="auto"/>
          <w:lang w:val="en-US" w:eastAsia="zh-CN"/>
        </w:rPr>
        <w:t>10）工伤保险、</w:t>
      </w:r>
      <w:r>
        <w:rPr>
          <w:rFonts w:hint="eastAsia"/>
          <w:color w:val="auto"/>
        </w:rPr>
        <w:t>安全生产责任保险的证明材料</w:t>
      </w:r>
    </w:p>
    <w:p w14:paraId="3E14E9C0">
      <w:pPr>
        <w:bidi w:val="0"/>
        <w:rPr>
          <w:rFonts w:hint="eastAsia"/>
          <w:color w:val="auto"/>
          <w:lang w:val="en-US" w:eastAsia="zh-CN"/>
        </w:rPr>
      </w:pPr>
      <w:r>
        <w:rPr>
          <w:rFonts w:hint="eastAsia"/>
          <w:color w:val="auto"/>
          <w:lang w:val="en-US" w:eastAsia="zh-CN"/>
        </w:rPr>
        <w:t>11）</w:t>
      </w:r>
      <w:r>
        <w:rPr>
          <w:rFonts w:hint="eastAsia"/>
          <w:color w:val="auto"/>
          <w:spacing w:val="-6"/>
          <w:sz w:val="28"/>
          <w:lang w:val="en-US" w:eastAsia="zh-CN"/>
        </w:rPr>
        <w:t>《采矿许可证到期停采通知书》（临自然资责停书〔2025〕001号）</w:t>
      </w:r>
    </w:p>
    <w:p w14:paraId="436E04E7">
      <w:pPr>
        <w:bidi w:val="0"/>
        <w:rPr>
          <w:rFonts w:hint="eastAsia"/>
          <w:color w:val="auto"/>
          <w:lang w:eastAsia="zh-CN"/>
        </w:rPr>
      </w:pPr>
      <w:r>
        <w:rPr>
          <w:rFonts w:hint="eastAsia"/>
          <w:color w:val="auto"/>
          <w:lang w:val="en-US" w:eastAsia="zh-CN"/>
        </w:rPr>
        <w:t>12）</w:t>
      </w:r>
      <w:r>
        <w:rPr>
          <w:rFonts w:hint="eastAsia"/>
          <w:color w:val="auto"/>
        </w:rPr>
        <w:t>矿山实测图纸</w:t>
      </w:r>
      <w:r>
        <w:rPr>
          <w:rFonts w:hint="eastAsia"/>
          <w:color w:val="auto"/>
          <w:lang w:eastAsia="zh-CN"/>
        </w:rPr>
        <w:t>（</w:t>
      </w:r>
      <w:r>
        <w:rPr>
          <w:rFonts w:hint="eastAsia"/>
          <w:color w:val="auto"/>
          <w:lang w:val="en-US" w:eastAsia="zh-CN"/>
        </w:rPr>
        <w:t>另附</w:t>
      </w:r>
      <w:r>
        <w:rPr>
          <w:rFonts w:hint="eastAsia"/>
          <w:color w:val="auto"/>
          <w:lang w:eastAsia="zh-CN"/>
        </w:rPr>
        <w:t>）</w:t>
      </w:r>
    </w:p>
    <w:p w14:paraId="3EA3FB93">
      <w:pPr>
        <w:pStyle w:val="25"/>
        <w:rPr>
          <w:rFonts w:hint="eastAsia" w:ascii="宋体" w:hAnsi="宋体" w:eastAsia="宋体" w:cs="宋体"/>
          <w:color w:val="auto"/>
          <w:sz w:val="28"/>
          <w:szCs w:val="28"/>
        </w:rPr>
      </w:pPr>
    </w:p>
    <w:p w14:paraId="1C60D1E9">
      <w:pPr>
        <w:pStyle w:val="25"/>
        <w:rPr>
          <w:rFonts w:hint="eastAsia" w:ascii="宋体" w:hAnsi="宋体" w:eastAsia="宋体" w:cs="宋体"/>
          <w:color w:val="auto"/>
          <w:sz w:val="28"/>
          <w:szCs w:val="28"/>
        </w:rPr>
      </w:pPr>
    </w:p>
    <w:bookmarkEnd w:id="1091"/>
    <w:bookmarkEnd w:id="1092"/>
    <w:bookmarkEnd w:id="1093"/>
    <w:bookmarkEnd w:id="1094"/>
    <w:p w14:paraId="5925EF3B">
      <w:pPr>
        <w:pStyle w:val="15"/>
        <w:rPr>
          <w:rFonts w:hint="eastAsia" w:eastAsia="宋体"/>
          <w:color w:val="auto"/>
          <w:lang w:eastAsia="zh-CN"/>
        </w:rPr>
        <w:sectPr>
          <w:pgSz w:w="11906" w:h="16839"/>
          <w:pgMar w:top="1417" w:right="1417" w:bottom="1417" w:left="1417" w:header="850" w:footer="964" w:gutter="0"/>
          <w:pgBorders>
            <w:top w:val="none" w:sz="0" w:space="0"/>
            <w:left w:val="none" w:sz="0" w:space="0"/>
            <w:bottom w:val="none" w:sz="0" w:space="0"/>
            <w:right w:val="none" w:sz="0" w:space="0"/>
          </w:pgBorders>
          <w:pgNumType w:fmt="decimal"/>
          <w:cols w:space="0" w:num="1"/>
          <w:rtlGutter w:val="0"/>
          <w:docGrid w:linePitch="0" w:charSpace="0"/>
        </w:sectPr>
      </w:pPr>
    </w:p>
    <w:p w14:paraId="78B2F11B">
      <w:pPr>
        <w:pStyle w:val="17"/>
        <w:keepNext w:val="0"/>
        <w:keepLines w:val="0"/>
        <w:pageBreakBefore w:val="0"/>
        <w:widowControl w:val="0"/>
        <w:kinsoku/>
        <w:wordWrap/>
        <w:overflowPunct/>
        <w:topLinePunct w:val="0"/>
        <w:autoSpaceDE/>
        <w:autoSpaceDN/>
        <w:bidi w:val="0"/>
        <w:adjustRightInd/>
        <w:snapToGrid/>
        <w:jc w:val="center"/>
        <w:rPr>
          <w:rFonts w:hint="eastAsia" w:ascii="Times New Roman" w:hAnsi="Times New Roman"/>
          <w:b/>
          <w:bCs/>
          <w:snapToGrid/>
          <w:color w:val="auto"/>
          <w:spacing w:val="0"/>
          <w:kern w:val="2"/>
          <w:sz w:val="28"/>
          <w:szCs w:val="28"/>
          <w:lang w:bidi="ar-SA"/>
        </w:rPr>
      </w:pPr>
      <w:r>
        <w:rPr>
          <w:rFonts w:hint="eastAsia" w:ascii="Times New Roman" w:hAnsi="Times New Roman"/>
          <w:b/>
          <w:bCs/>
          <w:snapToGrid/>
          <w:color w:val="auto"/>
          <w:spacing w:val="0"/>
          <w:kern w:val="2"/>
          <w:sz w:val="28"/>
          <w:szCs w:val="28"/>
          <w:lang w:val="en-US" w:eastAsia="zh-CN" w:bidi="ar-SA"/>
        </w:rPr>
        <w:t>现场检查照片</w:t>
      </w:r>
    </w:p>
    <w:p w14:paraId="77DB0014">
      <w:pPr>
        <w:pStyle w:val="16"/>
        <w:keepNext w:val="0"/>
        <w:keepLines w:val="0"/>
        <w:widowControl/>
        <w:suppressLineNumbers w:val="0"/>
        <w:jc w:val="center"/>
        <w:rPr>
          <w:rFonts w:hint="eastAsia"/>
          <w:sz w:val="24"/>
          <w:szCs w:val="24"/>
          <w:lang w:val="en-US" w:eastAsia="zh-CN"/>
        </w:rPr>
      </w:pPr>
      <w:r>
        <w:rPr>
          <w:color w:val="auto"/>
        </w:rPr>
        <w:drawing>
          <wp:anchor distT="0" distB="0" distL="114300" distR="114300" simplePos="0" relativeHeight="251672576" behindDoc="0" locked="0" layoutInCell="1" allowOverlap="1">
            <wp:simplePos x="0" y="0"/>
            <wp:positionH relativeFrom="column">
              <wp:posOffset>266700</wp:posOffset>
            </wp:positionH>
            <wp:positionV relativeFrom="paragraph">
              <wp:posOffset>43180</wp:posOffset>
            </wp:positionV>
            <wp:extent cx="2634615" cy="4740275"/>
            <wp:effectExtent l="0" t="0" r="1905" b="14605"/>
            <wp:wrapTopAndBottom/>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0"/>
                    <a:stretch>
                      <a:fillRect/>
                    </a:stretch>
                  </pic:blipFill>
                  <pic:spPr>
                    <a:xfrm>
                      <a:off x="0" y="0"/>
                      <a:ext cx="2634615" cy="4740275"/>
                    </a:xfrm>
                    <a:prstGeom prst="rect">
                      <a:avLst/>
                    </a:prstGeom>
                    <a:noFill/>
                    <a:ln>
                      <a:noFill/>
                    </a:ln>
                  </pic:spPr>
                </pic:pic>
              </a:graphicData>
            </a:graphic>
          </wp:anchor>
        </w:drawing>
      </w:r>
      <w:r>
        <w:rPr>
          <w:color w:val="auto"/>
        </w:rPr>
        <w:drawing>
          <wp:anchor distT="0" distB="0" distL="114300" distR="114300" simplePos="0" relativeHeight="251673600" behindDoc="0" locked="0" layoutInCell="1" allowOverlap="1">
            <wp:simplePos x="0" y="0"/>
            <wp:positionH relativeFrom="column">
              <wp:posOffset>3002280</wp:posOffset>
            </wp:positionH>
            <wp:positionV relativeFrom="paragraph">
              <wp:posOffset>46990</wp:posOffset>
            </wp:positionV>
            <wp:extent cx="2665095" cy="4715510"/>
            <wp:effectExtent l="0" t="0" r="1905" b="8890"/>
            <wp:wrapTopAndBottom/>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21"/>
                    <a:stretch>
                      <a:fillRect/>
                    </a:stretch>
                  </pic:blipFill>
                  <pic:spPr>
                    <a:xfrm>
                      <a:off x="0" y="0"/>
                      <a:ext cx="2665095" cy="4715510"/>
                    </a:xfrm>
                    <a:prstGeom prst="rect">
                      <a:avLst/>
                    </a:prstGeom>
                    <a:noFill/>
                    <a:ln>
                      <a:noFill/>
                    </a:ln>
                  </pic:spPr>
                </pic:pic>
              </a:graphicData>
            </a:graphic>
          </wp:anchor>
        </w:drawing>
      </w:r>
      <w:r>
        <w:rPr>
          <w:rFonts w:hint="eastAsia"/>
          <w:sz w:val="24"/>
          <w:szCs w:val="24"/>
          <w:lang w:val="en-US" w:eastAsia="zh-CN"/>
        </w:rPr>
        <w:t>图中人员从左到右依次为</w:t>
      </w:r>
      <w:r>
        <w:rPr>
          <w:rFonts w:hint="eastAsia"/>
          <w:sz w:val="24"/>
          <w:szCs w:val="24"/>
          <w:lang w:val="zh-CN" w:eastAsia="zh-CN"/>
        </w:rPr>
        <w:t>管自强、</w:t>
      </w:r>
      <w:r>
        <w:rPr>
          <w:rFonts w:hint="eastAsia"/>
          <w:sz w:val="24"/>
          <w:szCs w:val="24"/>
          <w:lang w:val="en-US" w:eastAsia="zh-CN"/>
        </w:rPr>
        <w:t>企业员工；企业员工、钟志宏</w:t>
      </w:r>
    </w:p>
    <w:p w14:paraId="0B53C0BF">
      <w:pPr>
        <w:pStyle w:val="16"/>
        <w:keepNext w:val="0"/>
        <w:keepLines w:val="0"/>
        <w:widowControl/>
        <w:suppressLineNumbers w:val="0"/>
        <w:rPr>
          <w:color w:val="auto"/>
        </w:rPr>
      </w:pPr>
    </w:p>
    <w:p w14:paraId="65475C6D">
      <w:pPr>
        <w:rPr>
          <w:color w:val="auto"/>
        </w:rPr>
      </w:pPr>
    </w:p>
    <w:p w14:paraId="40F3961E">
      <w:pPr>
        <w:rPr>
          <w:color w:val="auto"/>
        </w:rPr>
      </w:pPr>
    </w:p>
    <w:p w14:paraId="2D185322">
      <w:pPr>
        <w:rPr>
          <w:color w:val="auto"/>
        </w:rPr>
      </w:pPr>
    </w:p>
    <w:p w14:paraId="27BAAB42">
      <w:pPr>
        <w:rPr>
          <w:color w:val="auto"/>
        </w:rPr>
      </w:pPr>
    </w:p>
    <w:p w14:paraId="7CA941F9">
      <w:pPr>
        <w:rPr>
          <w:color w:val="auto"/>
        </w:rPr>
      </w:pPr>
    </w:p>
    <w:sectPr>
      <w:pgSz w:w="11906" w:h="16839"/>
      <w:pgMar w:top="1417" w:right="1417" w:bottom="1417" w:left="1417" w:header="850" w:footer="964"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BCF6D">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tabs>
        <w:tab w:val="left" w:pos="4960"/>
      </w:tabs>
      <w:kinsoku w:val="0"/>
      <w:wordWrap/>
      <w:overflowPunct/>
      <w:topLinePunct w:val="0"/>
      <w:autoSpaceDE/>
      <w:autoSpaceDN/>
      <w:bidi w:val="0"/>
      <w:adjustRightInd w:val="0"/>
      <w:snapToGrid w:val="0"/>
      <w:spacing w:line="300" w:lineRule="exact"/>
      <w:ind w:firstLine="560" w:firstLineChars="200"/>
      <w:jc w:val="left"/>
      <w:textAlignment w:val="baseli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150E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395E4">
    <w:pPr>
      <w:pBdr>
        <w:top w:val="single" w:color="auto" w:sz="6" w:space="0"/>
      </w:pBdr>
      <w:tabs>
        <w:tab w:val="left" w:pos="4960"/>
      </w:tabs>
      <w:spacing w:line="300" w:lineRule="exact"/>
      <w:ind w:left="0" w:leftChars="0" w:firstLine="0" w:firstLineChars="0"/>
    </w:pPr>
    <w:r>
      <w:rPr>
        <w:rFonts w:hint="eastAsia" w:ascii="宋体" w:hAnsi="宋体" w:eastAsia="宋体" w:cs="宋体"/>
        <w:sz w:val="18"/>
        <w:szCs w:val="18"/>
      </w:rPr>
      <w:t xml:space="preserve">江西赣安安全生产科学技术咨询服务中心    </w:t>
    </w:r>
    <w:r>
      <w:rPr>
        <w:rFonts w:hint="eastAsia" w:cs="宋体"/>
        <w:sz w:val="18"/>
        <w:szCs w:val="18"/>
        <w:lang w:val="en-US" w:eastAsia="zh-CN"/>
      </w:rPr>
      <w:t xml:space="preserve">  </w:t>
    </w:r>
    <w:r>
      <w:rPr>
        <w:rFonts w:hint="eastAsia" w:ascii="宋体" w:hAnsi="宋体" w:eastAsia="宋体" w:cs="宋体"/>
        <w:sz w:val="18"/>
        <w:szCs w:val="18"/>
      </w:rPr>
      <w:t xml:space="preserve">        </w:t>
    </w:r>
    <w:r>
      <w:rPr>
        <w:rStyle w:val="22"/>
        <w:rFonts w:hint="eastAsia" w:ascii="宋体" w:hAnsi="宋体" w:eastAsia="宋体" w:cs="宋体"/>
        <w:sz w:val="18"/>
        <w:szCs w:val="18"/>
      </w:rPr>
      <w:fldChar w:fldCharType="begin"/>
    </w:r>
    <w:r>
      <w:rPr>
        <w:rStyle w:val="22"/>
        <w:rFonts w:hint="eastAsia" w:ascii="宋体" w:hAnsi="宋体" w:eastAsia="宋体" w:cs="宋体"/>
        <w:sz w:val="18"/>
        <w:szCs w:val="18"/>
      </w:rPr>
      <w:instrText xml:space="preserve"> PAGE </w:instrText>
    </w:r>
    <w:r>
      <w:rPr>
        <w:rStyle w:val="22"/>
        <w:rFonts w:hint="eastAsia" w:ascii="宋体" w:hAnsi="宋体" w:eastAsia="宋体" w:cs="宋体"/>
        <w:sz w:val="18"/>
        <w:szCs w:val="18"/>
      </w:rPr>
      <w:fldChar w:fldCharType="separate"/>
    </w:r>
    <w:r>
      <w:rPr>
        <w:rStyle w:val="22"/>
        <w:rFonts w:hint="eastAsia" w:ascii="宋体" w:hAnsi="宋体" w:eastAsia="宋体" w:cs="宋体"/>
        <w:sz w:val="18"/>
        <w:szCs w:val="18"/>
      </w:rPr>
      <w:t>III</w:t>
    </w:r>
    <w:r>
      <w:rPr>
        <w:rStyle w:val="22"/>
        <w:rFonts w:hint="eastAsia" w:ascii="宋体" w:hAnsi="宋体" w:eastAsia="宋体" w:cs="宋体"/>
        <w:sz w:val="18"/>
        <w:szCs w:val="18"/>
      </w:rPr>
      <w:fldChar w:fldCharType="end"/>
    </w:r>
    <w:r>
      <w:rPr>
        <w:rFonts w:hint="eastAsia" w:ascii="宋体" w:hAnsi="宋体" w:eastAsia="宋体" w:cs="宋体"/>
        <w:sz w:val="18"/>
        <w:szCs w:val="18"/>
      </w:rPr>
      <w:t xml:space="preserve">          </w:t>
    </w:r>
    <w:r>
      <w:rPr>
        <w:rFonts w:hint="eastAsia" w:cs="宋体"/>
        <w:sz w:val="18"/>
        <w:szCs w:val="18"/>
        <w:lang w:val="en-US" w:eastAsia="zh-CN"/>
      </w:rPr>
      <w:t xml:space="preserve"> </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667DE">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A5EE9">
    <w:pPr>
      <w:pStyle w:val="13"/>
      <w:pBdr>
        <w:bottom w:val="single" w:color="auto" w:sz="4" w:space="1"/>
      </w:pBdr>
      <w:spacing w:line="300" w:lineRule="exact"/>
      <w:ind w:left="0" w:leftChars="0" w:firstLine="0" w:firstLineChars="0"/>
      <w:rPr>
        <w:rFonts w:hint="default" w:ascii="Times New Roman" w:hAnsi="Times New Roman" w:eastAsia="宋体" w:cs="Times New Roman"/>
        <w:w w:val="90"/>
        <w:sz w:val="18"/>
        <w:szCs w:val="18"/>
        <w:lang w:val="en-US" w:eastAsia="zh-CN"/>
      </w:rPr>
    </w:pPr>
    <w:r>
      <w:rPr>
        <w:rFonts w:hint="default" w:ascii="Times New Roman" w:hAnsi="Times New Roman" w:eastAsia="宋体" w:cs="Times New Roman"/>
        <w:color w:val="auto"/>
        <w:lang w:val="en-US" w:eastAsia="zh-CN"/>
      </w:rPr>
      <w:t xml:space="preserve">江西临川鲁金矿业有限公司茅排金矿地下开采安全现状评价报告  </w:t>
    </w:r>
    <w:r>
      <w:rPr>
        <w:rFonts w:hint="default" w:ascii="Times New Roman" w:hAnsi="Times New Roman" w:cs="Times New Roman"/>
        <w:color w:val="auto"/>
        <w:lang w:val="en-US" w:eastAsia="zh-CN"/>
      </w:rPr>
      <w:t xml:space="preserve">  </w:t>
    </w:r>
    <w:r>
      <w:rPr>
        <w:rFonts w:hint="default" w:ascii="Times New Roman" w:hAnsi="Times New Roman" w:eastAsia="宋体" w:cs="Times New Roman"/>
        <w:color w:val="auto"/>
        <w:lang w:val="en-US" w:eastAsia="zh-CN"/>
      </w:rPr>
      <w:t xml:space="preserve">     </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 xml:space="preserve">                          </w:t>
    </w:r>
    <w:r>
      <w:rPr>
        <w:rFonts w:hint="default" w:ascii="Times New Roman" w:hAnsi="Times New Roman" w:cs="Times New Roman"/>
        <w:color w:val="auto"/>
        <w:lang w:val="en-US" w:eastAsia="zh-CN"/>
      </w:rPr>
      <w:t xml:space="preserve">   </w:t>
    </w:r>
    <w:r>
      <w:rPr>
        <w:rFonts w:hint="default" w:ascii="Times New Roman" w:hAnsi="Times New Roman" w:eastAsia="宋体" w:cs="Times New Roman"/>
        <w:color w:val="auto"/>
        <w:lang w:val="en-US" w:eastAsia="zh-CN"/>
      </w:rPr>
      <w:t xml:space="preserve">         GAAP[2026]</w:t>
    </w:r>
    <w:r>
      <w:rPr>
        <w:rFonts w:hint="default" w:ascii="Times New Roman" w:hAnsi="Times New Roman" w:cs="Times New Roman"/>
        <w:color w:val="auto"/>
        <w:lang w:val="en-US" w:eastAsia="zh-CN"/>
      </w:rPr>
      <w:t>0071</w:t>
    </w:r>
    <w:r>
      <w:rPr>
        <w:rFonts w:hint="default" w:ascii="Times New Roman" w:hAnsi="Times New Roman" w:eastAsia="宋体" w:cs="Times New Roman"/>
        <w:color w:val="auto"/>
        <w:lang w:val="en-US" w:eastAsia="zh-CN"/>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00FE1"/>
    <w:multiLevelType w:val="singleLevel"/>
    <w:tmpl w:val="88200FE1"/>
    <w:lvl w:ilvl="0" w:tentative="0">
      <w:start w:val="1"/>
      <w:numFmt w:val="decimal"/>
      <w:suff w:val="nothing"/>
      <w:lvlText w:val="%1）"/>
      <w:lvlJc w:val="left"/>
    </w:lvl>
  </w:abstractNum>
  <w:abstractNum w:abstractNumId="1">
    <w:nsid w:val="959F32AD"/>
    <w:multiLevelType w:val="singleLevel"/>
    <w:tmpl w:val="959F32AD"/>
    <w:lvl w:ilvl="0" w:tentative="0">
      <w:start w:val="1"/>
      <w:numFmt w:val="decimal"/>
      <w:suff w:val="nothing"/>
      <w:lvlText w:val="（%1）"/>
      <w:lvlJc w:val="left"/>
      <w:pPr>
        <w:ind w:left="296"/>
      </w:pPr>
    </w:lvl>
  </w:abstractNum>
  <w:abstractNum w:abstractNumId="2">
    <w:nsid w:val="E98F2F1D"/>
    <w:multiLevelType w:val="singleLevel"/>
    <w:tmpl w:val="E98F2F1D"/>
    <w:lvl w:ilvl="0" w:tentative="0">
      <w:start w:val="4"/>
      <w:numFmt w:val="decimal"/>
      <w:suff w:val="nothing"/>
      <w:lvlText w:val="（%1）"/>
      <w:lvlJc w:val="left"/>
    </w:lvl>
  </w:abstractNum>
  <w:abstractNum w:abstractNumId="3">
    <w:nsid w:val="12968D3D"/>
    <w:multiLevelType w:val="singleLevel"/>
    <w:tmpl w:val="12968D3D"/>
    <w:lvl w:ilvl="0" w:tentative="0">
      <w:start w:val="17"/>
      <w:numFmt w:val="decimal"/>
      <w:suff w:val="nothing"/>
      <w:lvlText w:val="%1、"/>
      <w:lvlJc w:val="left"/>
    </w:lvl>
  </w:abstractNum>
  <w:abstractNum w:abstractNumId="4">
    <w:nsid w:val="31602B01"/>
    <w:multiLevelType w:val="singleLevel"/>
    <w:tmpl w:val="31602B01"/>
    <w:lvl w:ilvl="0" w:tentative="0">
      <w:start w:val="2"/>
      <w:numFmt w:val="decimal"/>
      <w:suff w:val="nothing"/>
      <w:lvlText w:val="%1、"/>
      <w:lvlJc w:val="left"/>
    </w:lvl>
  </w:abstractNum>
  <w:abstractNum w:abstractNumId="5">
    <w:nsid w:val="46BF5888"/>
    <w:multiLevelType w:val="singleLevel"/>
    <w:tmpl w:val="46BF5888"/>
    <w:lvl w:ilvl="0" w:tentative="0">
      <w:start w:val="1"/>
      <w:numFmt w:val="decimal"/>
      <w:lvlText w:val="%1."/>
      <w:lvlJc w:val="left"/>
      <w:pPr>
        <w:tabs>
          <w:tab w:val="left" w:pos="312"/>
        </w:tabs>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Y1ZjJiNTUwNjRkOGM5OGE5OTg0ZGE5ZWFlNjA4ODEifQ=="/>
  </w:docVars>
  <w:rsids>
    <w:rsidRoot w:val="00000000"/>
    <w:rsid w:val="00012611"/>
    <w:rsid w:val="001F14F9"/>
    <w:rsid w:val="003532FE"/>
    <w:rsid w:val="003550AC"/>
    <w:rsid w:val="003852F9"/>
    <w:rsid w:val="005C4D2E"/>
    <w:rsid w:val="005F3085"/>
    <w:rsid w:val="007958E0"/>
    <w:rsid w:val="007A6DA5"/>
    <w:rsid w:val="008163E2"/>
    <w:rsid w:val="00942B50"/>
    <w:rsid w:val="00C10422"/>
    <w:rsid w:val="00C15A4B"/>
    <w:rsid w:val="00C91C98"/>
    <w:rsid w:val="00D026DF"/>
    <w:rsid w:val="00E32D5A"/>
    <w:rsid w:val="00E55C19"/>
    <w:rsid w:val="00F72CA9"/>
    <w:rsid w:val="00F907CF"/>
    <w:rsid w:val="010179E0"/>
    <w:rsid w:val="01042CD0"/>
    <w:rsid w:val="01044493"/>
    <w:rsid w:val="010D5FC6"/>
    <w:rsid w:val="01186239"/>
    <w:rsid w:val="013048A9"/>
    <w:rsid w:val="013730A5"/>
    <w:rsid w:val="01401F5A"/>
    <w:rsid w:val="014632E9"/>
    <w:rsid w:val="014B08FF"/>
    <w:rsid w:val="015754F6"/>
    <w:rsid w:val="0167458F"/>
    <w:rsid w:val="01761E20"/>
    <w:rsid w:val="017D31AE"/>
    <w:rsid w:val="017D59D9"/>
    <w:rsid w:val="01810DD9"/>
    <w:rsid w:val="019A362C"/>
    <w:rsid w:val="01A52705"/>
    <w:rsid w:val="01A52CC1"/>
    <w:rsid w:val="01AC3A93"/>
    <w:rsid w:val="01BB5A85"/>
    <w:rsid w:val="01BE7A43"/>
    <w:rsid w:val="01BF37C7"/>
    <w:rsid w:val="01C904C0"/>
    <w:rsid w:val="01D32DCE"/>
    <w:rsid w:val="01D45AC6"/>
    <w:rsid w:val="01D718FC"/>
    <w:rsid w:val="01DD3C4D"/>
    <w:rsid w:val="01F27748"/>
    <w:rsid w:val="01F3521E"/>
    <w:rsid w:val="01FA3C2D"/>
    <w:rsid w:val="02025461"/>
    <w:rsid w:val="020B07BA"/>
    <w:rsid w:val="02287FC4"/>
    <w:rsid w:val="02313F99"/>
    <w:rsid w:val="02386B05"/>
    <w:rsid w:val="02467A44"/>
    <w:rsid w:val="024A3927"/>
    <w:rsid w:val="024B6E08"/>
    <w:rsid w:val="0256755B"/>
    <w:rsid w:val="025D2470"/>
    <w:rsid w:val="028279CD"/>
    <w:rsid w:val="028C467A"/>
    <w:rsid w:val="029D1815"/>
    <w:rsid w:val="02AF3174"/>
    <w:rsid w:val="02B40E52"/>
    <w:rsid w:val="02B7624C"/>
    <w:rsid w:val="02BC3862"/>
    <w:rsid w:val="02CF14AA"/>
    <w:rsid w:val="02D45AC0"/>
    <w:rsid w:val="02E315E2"/>
    <w:rsid w:val="02EE7E1C"/>
    <w:rsid w:val="02F94AB6"/>
    <w:rsid w:val="02FA25DD"/>
    <w:rsid w:val="02FD0CF5"/>
    <w:rsid w:val="032636FF"/>
    <w:rsid w:val="032F672A"/>
    <w:rsid w:val="0332754E"/>
    <w:rsid w:val="0334789D"/>
    <w:rsid w:val="03455F4E"/>
    <w:rsid w:val="034C108A"/>
    <w:rsid w:val="034D6BB0"/>
    <w:rsid w:val="03591DA3"/>
    <w:rsid w:val="0362689F"/>
    <w:rsid w:val="036B5288"/>
    <w:rsid w:val="03737241"/>
    <w:rsid w:val="03771E7F"/>
    <w:rsid w:val="03782B4D"/>
    <w:rsid w:val="037B6CDD"/>
    <w:rsid w:val="03850C4A"/>
    <w:rsid w:val="038B3421"/>
    <w:rsid w:val="038C3374"/>
    <w:rsid w:val="038D3451"/>
    <w:rsid w:val="039D7B38"/>
    <w:rsid w:val="03C54999"/>
    <w:rsid w:val="03E219EE"/>
    <w:rsid w:val="03E3021A"/>
    <w:rsid w:val="03E33071"/>
    <w:rsid w:val="03FB660C"/>
    <w:rsid w:val="03FC660E"/>
    <w:rsid w:val="04114082"/>
    <w:rsid w:val="041A2F36"/>
    <w:rsid w:val="04310280"/>
    <w:rsid w:val="043369AF"/>
    <w:rsid w:val="043833BC"/>
    <w:rsid w:val="043A5387"/>
    <w:rsid w:val="043D4E77"/>
    <w:rsid w:val="043E2F8C"/>
    <w:rsid w:val="044259F2"/>
    <w:rsid w:val="04587F64"/>
    <w:rsid w:val="045F50B9"/>
    <w:rsid w:val="047F723D"/>
    <w:rsid w:val="0482423A"/>
    <w:rsid w:val="048D65BC"/>
    <w:rsid w:val="04A44EF6"/>
    <w:rsid w:val="04A8290C"/>
    <w:rsid w:val="04A9084E"/>
    <w:rsid w:val="04AE367F"/>
    <w:rsid w:val="04B13B8F"/>
    <w:rsid w:val="04B36EE7"/>
    <w:rsid w:val="04BF588C"/>
    <w:rsid w:val="04C44C50"/>
    <w:rsid w:val="04D94B9F"/>
    <w:rsid w:val="04DD5D12"/>
    <w:rsid w:val="04F04BD3"/>
    <w:rsid w:val="04F26C47"/>
    <w:rsid w:val="04F74332"/>
    <w:rsid w:val="050E411D"/>
    <w:rsid w:val="051F293C"/>
    <w:rsid w:val="054144F3"/>
    <w:rsid w:val="054162A1"/>
    <w:rsid w:val="054C1C23"/>
    <w:rsid w:val="05553F55"/>
    <w:rsid w:val="057C377D"/>
    <w:rsid w:val="05856AD5"/>
    <w:rsid w:val="058C1C12"/>
    <w:rsid w:val="058E0C06"/>
    <w:rsid w:val="05934296"/>
    <w:rsid w:val="05C173E2"/>
    <w:rsid w:val="05C41D5E"/>
    <w:rsid w:val="05C44291"/>
    <w:rsid w:val="05C55124"/>
    <w:rsid w:val="05C56ED2"/>
    <w:rsid w:val="05D215EF"/>
    <w:rsid w:val="05D977C6"/>
    <w:rsid w:val="05E401DC"/>
    <w:rsid w:val="05F872A7"/>
    <w:rsid w:val="061156CE"/>
    <w:rsid w:val="06175254"/>
    <w:rsid w:val="06400C4E"/>
    <w:rsid w:val="064946DD"/>
    <w:rsid w:val="0659586C"/>
    <w:rsid w:val="06624721"/>
    <w:rsid w:val="0665544A"/>
    <w:rsid w:val="06732409"/>
    <w:rsid w:val="06734B80"/>
    <w:rsid w:val="067E2CDC"/>
    <w:rsid w:val="067E6C50"/>
    <w:rsid w:val="06C35109"/>
    <w:rsid w:val="06CC04E9"/>
    <w:rsid w:val="070E2AFA"/>
    <w:rsid w:val="07103F17"/>
    <w:rsid w:val="07155C37"/>
    <w:rsid w:val="071579E5"/>
    <w:rsid w:val="071C0D73"/>
    <w:rsid w:val="07207150"/>
    <w:rsid w:val="072C53CA"/>
    <w:rsid w:val="0737795B"/>
    <w:rsid w:val="074F739B"/>
    <w:rsid w:val="07503F44"/>
    <w:rsid w:val="075239E7"/>
    <w:rsid w:val="0773573F"/>
    <w:rsid w:val="077C2EC0"/>
    <w:rsid w:val="078A25D6"/>
    <w:rsid w:val="079C6989"/>
    <w:rsid w:val="07A95F24"/>
    <w:rsid w:val="07AB1CFC"/>
    <w:rsid w:val="07B61D37"/>
    <w:rsid w:val="07C16274"/>
    <w:rsid w:val="07C733D5"/>
    <w:rsid w:val="07C93D6E"/>
    <w:rsid w:val="07C97778"/>
    <w:rsid w:val="07D653C6"/>
    <w:rsid w:val="07EC2E3C"/>
    <w:rsid w:val="07F10452"/>
    <w:rsid w:val="0802440D"/>
    <w:rsid w:val="08037A1A"/>
    <w:rsid w:val="08080C8D"/>
    <w:rsid w:val="08090FF5"/>
    <w:rsid w:val="0822685D"/>
    <w:rsid w:val="08256E5E"/>
    <w:rsid w:val="082A5EE5"/>
    <w:rsid w:val="08387E2F"/>
    <w:rsid w:val="083D5445"/>
    <w:rsid w:val="08482572"/>
    <w:rsid w:val="08564759"/>
    <w:rsid w:val="086C1887"/>
    <w:rsid w:val="0889737B"/>
    <w:rsid w:val="088C3CD7"/>
    <w:rsid w:val="0896541C"/>
    <w:rsid w:val="08A25792"/>
    <w:rsid w:val="08B651F8"/>
    <w:rsid w:val="08B80F70"/>
    <w:rsid w:val="08CE0793"/>
    <w:rsid w:val="08D14AA1"/>
    <w:rsid w:val="08E21B49"/>
    <w:rsid w:val="08E25FED"/>
    <w:rsid w:val="08EA2FAE"/>
    <w:rsid w:val="08F35E3C"/>
    <w:rsid w:val="08F55D20"/>
    <w:rsid w:val="09023F99"/>
    <w:rsid w:val="090441B5"/>
    <w:rsid w:val="09143080"/>
    <w:rsid w:val="0926412B"/>
    <w:rsid w:val="09411EB6"/>
    <w:rsid w:val="094F0C92"/>
    <w:rsid w:val="095742E5"/>
    <w:rsid w:val="095F13EB"/>
    <w:rsid w:val="0963773E"/>
    <w:rsid w:val="096473F5"/>
    <w:rsid w:val="097035F9"/>
    <w:rsid w:val="09722ECD"/>
    <w:rsid w:val="09773B45"/>
    <w:rsid w:val="09785FBD"/>
    <w:rsid w:val="097F11AF"/>
    <w:rsid w:val="098E251F"/>
    <w:rsid w:val="09972543"/>
    <w:rsid w:val="099D7D2C"/>
    <w:rsid w:val="09A60DC8"/>
    <w:rsid w:val="09B169AE"/>
    <w:rsid w:val="09B86AE0"/>
    <w:rsid w:val="09BB733E"/>
    <w:rsid w:val="09C63218"/>
    <w:rsid w:val="09CA2D09"/>
    <w:rsid w:val="09D0265C"/>
    <w:rsid w:val="09D1759B"/>
    <w:rsid w:val="09D403DB"/>
    <w:rsid w:val="09E028AC"/>
    <w:rsid w:val="09FC6C3A"/>
    <w:rsid w:val="0A0E2D67"/>
    <w:rsid w:val="0A182626"/>
    <w:rsid w:val="0A286115"/>
    <w:rsid w:val="0A2A7C4B"/>
    <w:rsid w:val="0A2F0DBE"/>
    <w:rsid w:val="0A344626"/>
    <w:rsid w:val="0A3C13A7"/>
    <w:rsid w:val="0A3C34DB"/>
    <w:rsid w:val="0A4E393A"/>
    <w:rsid w:val="0A5B1BB3"/>
    <w:rsid w:val="0A670558"/>
    <w:rsid w:val="0A696084"/>
    <w:rsid w:val="0A7E5025"/>
    <w:rsid w:val="0A983F6E"/>
    <w:rsid w:val="0ABB4D47"/>
    <w:rsid w:val="0AC27365"/>
    <w:rsid w:val="0ADB0F46"/>
    <w:rsid w:val="0AF73FD1"/>
    <w:rsid w:val="0B24469B"/>
    <w:rsid w:val="0B2725A8"/>
    <w:rsid w:val="0B284441"/>
    <w:rsid w:val="0B426986"/>
    <w:rsid w:val="0B50723E"/>
    <w:rsid w:val="0B536D2E"/>
    <w:rsid w:val="0B5B41F4"/>
    <w:rsid w:val="0B680A2B"/>
    <w:rsid w:val="0B76032C"/>
    <w:rsid w:val="0B9526A8"/>
    <w:rsid w:val="0BA80E28"/>
    <w:rsid w:val="0BA8728C"/>
    <w:rsid w:val="0BB04180"/>
    <w:rsid w:val="0BB43C70"/>
    <w:rsid w:val="0BCB720C"/>
    <w:rsid w:val="0BD54DED"/>
    <w:rsid w:val="0BE04A65"/>
    <w:rsid w:val="0BE471D5"/>
    <w:rsid w:val="0BFD1732"/>
    <w:rsid w:val="0C00473A"/>
    <w:rsid w:val="0C0A1AE2"/>
    <w:rsid w:val="0C0A3890"/>
    <w:rsid w:val="0C233289"/>
    <w:rsid w:val="0C3504B5"/>
    <w:rsid w:val="0C360B29"/>
    <w:rsid w:val="0C433FAA"/>
    <w:rsid w:val="0C4A1EDF"/>
    <w:rsid w:val="0C5478CE"/>
    <w:rsid w:val="0C812E6D"/>
    <w:rsid w:val="0C923A83"/>
    <w:rsid w:val="0CA30B4B"/>
    <w:rsid w:val="0CA43CE5"/>
    <w:rsid w:val="0CAD145B"/>
    <w:rsid w:val="0CB11F5E"/>
    <w:rsid w:val="0CB81F92"/>
    <w:rsid w:val="0CBE00D6"/>
    <w:rsid w:val="0CC9374C"/>
    <w:rsid w:val="0CCC61A2"/>
    <w:rsid w:val="0CD51F34"/>
    <w:rsid w:val="0CD8034A"/>
    <w:rsid w:val="0CD81BE1"/>
    <w:rsid w:val="0CD96569"/>
    <w:rsid w:val="0CF0158A"/>
    <w:rsid w:val="0D073D69"/>
    <w:rsid w:val="0D1D2F6F"/>
    <w:rsid w:val="0D2103F7"/>
    <w:rsid w:val="0D2332ED"/>
    <w:rsid w:val="0D2941EA"/>
    <w:rsid w:val="0D3C36C5"/>
    <w:rsid w:val="0D416FDA"/>
    <w:rsid w:val="0D4979AB"/>
    <w:rsid w:val="0D554FDF"/>
    <w:rsid w:val="0D576FA9"/>
    <w:rsid w:val="0D5D3E94"/>
    <w:rsid w:val="0D5F7C0C"/>
    <w:rsid w:val="0D935B07"/>
    <w:rsid w:val="0D9C4A89"/>
    <w:rsid w:val="0D9C676A"/>
    <w:rsid w:val="0DAE649D"/>
    <w:rsid w:val="0DB50D35"/>
    <w:rsid w:val="0DCA2A4D"/>
    <w:rsid w:val="0DCE553E"/>
    <w:rsid w:val="0DD243B4"/>
    <w:rsid w:val="0DD63D0F"/>
    <w:rsid w:val="0DDA57BF"/>
    <w:rsid w:val="0DDF6F9F"/>
    <w:rsid w:val="0DE100BF"/>
    <w:rsid w:val="0E012A71"/>
    <w:rsid w:val="0E19425F"/>
    <w:rsid w:val="0E1E0456"/>
    <w:rsid w:val="0E224B6C"/>
    <w:rsid w:val="0E236E8B"/>
    <w:rsid w:val="0E2D3866"/>
    <w:rsid w:val="0E52151F"/>
    <w:rsid w:val="0E552CDA"/>
    <w:rsid w:val="0E59587E"/>
    <w:rsid w:val="0E5A44C6"/>
    <w:rsid w:val="0E6D6359"/>
    <w:rsid w:val="0E7B0A40"/>
    <w:rsid w:val="0E887A67"/>
    <w:rsid w:val="0E891C66"/>
    <w:rsid w:val="0E8E5325"/>
    <w:rsid w:val="0E90582A"/>
    <w:rsid w:val="0EA7186A"/>
    <w:rsid w:val="0EA811F7"/>
    <w:rsid w:val="0EAC6E81"/>
    <w:rsid w:val="0EAE0E4B"/>
    <w:rsid w:val="0EB6385C"/>
    <w:rsid w:val="0F0E18EA"/>
    <w:rsid w:val="0F21370C"/>
    <w:rsid w:val="0F2D32DC"/>
    <w:rsid w:val="0F3550C8"/>
    <w:rsid w:val="0F360E40"/>
    <w:rsid w:val="0F6239E3"/>
    <w:rsid w:val="0F654958"/>
    <w:rsid w:val="0F657030"/>
    <w:rsid w:val="0F704352"/>
    <w:rsid w:val="0F7756E1"/>
    <w:rsid w:val="0F841BAC"/>
    <w:rsid w:val="0F8638D0"/>
    <w:rsid w:val="0F8B4CE8"/>
    <w:rsid w:val="0F8B5AFE"/>
    <w:rsid w:val="0FB12275"/>
    <w:rsid w:val="0FB82358"/>
    <w:rsid w:val="0FBF592B"/>
    <w:rsid w:val="0FC65D20"/>
    <w:rsid w:val="0FD0094D"/>
    <w:rsid w:val="0FD46AE0"/>
    <w:rsid w:val="0FEB39D9"/>
    <w:rsid w:val="0FEF4296"/>
    <w:rsid w:val="0FF02D9D"/>
    <w:rsid w:val="0FFA3C1C"/>
    <w:rsid w:val="10182972"/>
    <w:rsid w:val="103706A7"/>
    <w:rsid w:val="1043602D"/>
    <w:rsid w:val="10485B70"/>
    <w:rsid w:val="104D2F03"/>
    <w:rsid w:val="105A46BB"/>
    <w:rsid w:val="10611EED"/>
    <w:rsid w:val="106A496E"/>
    <w:rsid w:val="106F63B8"/>
    <w:rsid w:val="10747070"/>
    <w:rsid w:val="107D4A05"/>
    <w:rsid w:val="109C599C"/>
    <w:rsid w:val="109E4EEF"/>
    <w:rsid w:val="10B74479"/>
    <w:rsid w:val="10BB33AB"/>
    <w:rsid w:val="10C02B8A"/>
    <w:rsid w:val="10EE1409"/>
    <w:rsid w:val="10F66AD9"/>
    <w:rsid w:val="11027767"/>
    <w:rsid w:val="11036AF6"/>
    <w:rsid w:val="110A60E1"/>
    <w:rsid w:val="1110186D"/>
    <w:rsid w:val="111156C1"/>
    <w:rsid w:val="11465C73"/>
    <w:rsid w:val="116E2B13"/>
    <w:rsid w:val="11731ED8"/>
    <w:rsid w:val="117A154E"/>
    <w:rsid w:val="117E5E5D"/>
    <w:rsid w:val="11812847"/>
    <w:rsid w:val="11824DD4"/>
    <w:rsid w:val="1186525A"/>
    <w:rsid w:val="11987B90"/>
    <w:rsid w:val="119C142F"/>
    <w:rsid w:val="11C95F9C"/>
    <w:rsid w:val="11CB309D"/>
    <w:rsid w:val="11CC5D32"/>
    <w:rsid w:val="11D5049D"/>
    <w:rsid w:val="11DF2E02"/>
    <w:rsid w:val="11E22FD9"/>
    <w:rsid w:val="11EC57E6"/>
    <w:rsid w:val="11F903D8"/>
    <w:rsid w:val="12122D91"/>
    <w:rsid w:val="12192A7F"/>
    <w:rsid w:val="121A67F7"/>
    <w:rsid w:val="122A05DA"/>
    <w:rsid w:val="122D02D9"/>
    <w:rsid w:val="12524853"/>
    <w:rsid w:val="12542657"/>
    <w:rsid w:val="125F6E0B"/>
    <w:rsid w:val="125F6FC1"/>
    <w:rsid w:val="125F7176"/>
    <w:rsid w:val="1277269B"/>
    <w:rsid w:val="129B1D1F"/>
    <w:rsid w:val="129F0E49"/>
    <w:rsid w:val="12A762DD"/>
    <w:rsid w:val="12B5207C"/>
    <w:rsid w:val="12BC78AF"/>
    <w:rsid w:val="12C01BDA"/>
    <w:rsid w:val="12D81CDF"/>
    <w:rsid w:val="12EF37E0"/>
    <w:rsid w:val="130D1EB8"/>
    <w:rsid w:val="13183FE3"/>
    <w:rsid w:val="13217712"/>
    <w:rsid w:val="1329102B"/>
    <w:rsid w:val="132A3893"/>
    <w:rsid w:val="133F579F"/>
    <w:rsid w:val="1360648C"/>
    <w:rsid w:val="136A2957"/>
    <w:rsid w:val="13713219"/>
    <w:rsid w:val="13862F37"/>
    <w:rsid w:val="13897791"/>
    <w:rsid w:val="139C03FB"/>
    <w:rsid w:val="13A40F9B"/>
    <w:rsid w:val="13B7348D"/>
    <w:rsid w:val="13BA5B9C"/>
    <w:rsid w:val="13C95DDF"/>
    <w:rsid w:val="13D36C5E"/>
    <w:rsid w:val="13DC5856"/>
    <w:rsid w:val="13ED486C"/>
    <w:rsid w:val="13ED5AD5"/>
    <w:rsid w:val="143F2545"/>
    <w:rsid w:val="14524026"/>
    <w:rsid w:val="14593607"/>
    <w:rsid w:val="146855F8"/>
    <w:rsid w:val="14720225"/>
    <w:rsid w:val="14770A82"/>
    <w:rsid w:val="14815107"/>
    <w:rsid w:val="14904B4F"/>
    <w:rsid w:val="14991C7E"/>
    <w:rsid w:val="149C0EAE"/>
    <w:rsid w:val="14B06F9F"/>
    <w:rsid w:val="14BB6147"/>
    <w:rsid w:val="14C30A80"/>
    <w:rsid w:val="14D507B4"/>
    <w:rsid w:val="14D94748"/>
    <w:rsid w:val="14E54E1F"/>
    <w:rsid w:val="14EC73E1"/>
    <w:rsid w:val="14FB46BE"/>
    <w:rsid w:val="15006AE5"/>
    <w:rsid w:val="150C0679"/>
    <w:rsid w:val="150F0169"/>
    <w:rsid w:val="1517701E"/>
    <w:rsid w:val="152137AA"/>
    <w:rsid w:val="15262041"/>
    <w:rsid w:val="152E67CC"/>
    <w:rsid w:val="153306D2"/>
    <w:rsid w:val="15335856"/>
    <w:rsid w:val="15347BD0"/>
    <w:rsid w:val="153876C0"/>
    <w:rsid w:val="153E0A4F"/>
    <w:rsid w:val="154B2E1D"/>
    <w:rsid w:val="15632701"/>
    <w:rsid w:val="156D73A9"/>
    <w:rsid w:val="15882F8B"/>
    <w:rsid w:val="158B1482"/>
    <w:rsid w:val="15916DD0"/>
    <w:rsid w:val="1594066F"/>
    <w:rsid w:val="15B8435D"/>
    <w:rsid w:val="15BD7BC5"/>
    <w:rsid w:val="15BF51BB"/>
    <w:rsid w:val="15C2342E"/>
    <w:rsid w:val="15C404EB"/>
    <w:rsid w:val="15CB0FCE"/>
    <w:rsid w:val="15DA10F2"/>
    <w:rsid w:val="15DB004C"/>
    <w:rsid w:val="15EC2259"/>
    <w:rsid w:val="15FF1F8C"/>
    <w:rsid w:val="162E2871"/>
    <w:rsid w:val="16353C69"/>
    <w:rsid w:val="1635775C"/>
    <w:rsid w:val="163F4A7E"/>
    <w:rsid w:val="163F682C"/>
    <w:rsid w:val="16443B46"/>
    <w:rsid w:val="16556050"/>
    <w:rsid w:val="166C5B81"/>
    <w:rsid w:val="166D0729"/>
    <w:rsid w:val="166E0EC0"/>
    <w:rsid w:val="167C35DD"/>
    <w:rsid w:val="16B40FC8"/>
    <w:rsid w:val="16B9038D"/>
    <w:rsid w:val="16C32FBA"/>
    <w:rsid w:val="16D03928"/>
    <w:rsid w:val="16E119D7"/>
    <w:rsid w:val="170A10D2"/>
    <w:rsid w:val="170F61FF"/>
    <w:rsid w:val="171C6B6E"/>
    <w:rsid w:val="172F463D"/>
    <w:rsid w:val="1732013F"/>
    <w:rsid w:val="174C51CF"/>
    <w:rsid w:val="1765439B"/>
    <w:rsid w:val="17676F3C"/>
    <w:rsid w:val="1778450C"/>
    <w:rsid w:val="17797B1C"/>
    <w:rsid w:val="17884203"/>
    <w:rsid w:val="178E7A6B"/>
    <w:rsid w:val="178F5CA7"/>
    <w:rsid w:val="179606CE"/>
    <w:rsid w:val="17991F6C"/>
    <w:rsid w:val="17A74689"/>
    <w:rsid w:val="17B51CC9"/>
    <w:rsid w:val="17B9260F"/>
    <w:rsid w:val="17C4465B"/>
    <w:rsid w:val="17C57205"/>
    <w:rsid w:val="17CE1E7B"/>
    <w:rsid w:val="17D77DA9"/>
    <w:rsid w:val="17F84EE5"/>
    <w:rsid w:val="17FF2717"/>
    <w:rsid w:val="18041ADC"/>
    <w:rsid w:val="18185587"/>
    <w:rsid w:val="18231040"/>
    <w:rsid w:val="18455D49"/>
    <w:rsid w:val="185145F5"/>
    <w:rsid w:val="18550589"/>
    <w:rsid w:val="18585984"/>
    <w:rsid w:val="186A14CD"/>
    <w:rsid w:val="18725F9B"/>
    <w:rsid w:val="187E26D8"/>
    <w:rsid w:val="187F0F3F"/>
    <w:rsid w:val="18903F75"/>
    <w:rsid w:val="189310B2"/>
    <w:rsid w:val="189D3854"/>
    <w:rsid w:val="18D2543F"/>
    <w:rsid w:val="18D56FD4"/>
    <w:rsid w:val="18EC75CA"/>
    <w:rsid w:val="18FA4360"/>
    <w:rsid w:val="18FB2716"/>
    <w:rsid w:val="1901426D"/>
    <w:rsid w:val="190A4CA3"/>
    <w:rsid w:val="190B4923"/>
    <w:rsid w:val="19193A32"/>
    <w:rsid w:val="191A5CC2"/>
    <w:rsid w:val="192E1264"/>
    <w:rsid w:val="193C7538"/>
    <w:rsid w:val="193E726F"/>
    <w:rsid w:val="19564367"/>
    <w:rsid w:val="195A6500"/>
    <w:rsid w:val="195B146F"/>
    <w:rsid w:val="197426D9"/>
    <w:rsid w:val="19782558"/>
    <w:rsid w:val="19960F97"/>
    <w:rsid w:val="19961F07"/>
    <w:rsid w:val="19A370D2"/>
    <w:rsid w:val="19B66E06"/>
    <w:rsid w:val="19BB3DC9"/>
    <w:rsid w:val="19CA76F5"/>
    <w:rsid w:val="19CE111B"/>
    <w:rsid w:val="19EF40C6"/>
    <w:rsid w:val="1A020950"/>
    <w:rsid w:val="1A0817A9"/>
    <w:rsid w:val="1A1459A8"/>
    <w:rsid w:val="1A16195D"/>
    <w:rsid w:val="1A2C531A"/>
    <w:rsid w:val="1A3A17E5"/>
    <w:rsid w:val="1A3B730B"/>
    <w:rsid w:val="1A4B55A5"/>
    <w:rsid w:val="1A516B2E"/>
    <w:rsid w:val="1A587BF3"/>
    <w:rsid w:val="1A6265AD"/>
    <w:rsid w:val="1A632963"/>
    <w:rsid w:val="1A8567D8"/>
    <w:rsid w:val="1A8F02A3"/>
    <w:rsid w:val="1AA938E9"/>
    <w:rsid w:val="1AB175CD"/>
    <w:rsid w:val="1AE87493"/>
    <w:rsid w:val="1AEC6857"/>
    <w:rsid w:val="1AF8344E"/>
    <w:rsid w:val="1B0437FA"/>
    <w:rsid w:val="1B124510"/>
    <w:rsid w:val="1B1738D4"/>
    <w:rsid w:val="1B23480E"/>
    <w:rsid w:val="1B2B07CE"/>
    <w:rsid w:val="1B684130"/>
    <w:rsid w:val="1B707488"/>
    <w:rsid w:val="1BA13662"/>
    <w:rsid w:val="1BC05D1A"/>
    <w:rsid w:val="1BC3580A"/>
    <w:rsid w:val="1BC93E64"/>
    <w:rsid w:val="1BD73063"/>
    <w:rsid w:val="1BE81D11"/>
    <w:rsid w:val="1BEC6B0F"/>
    <w:rsid w:val="1BEF200E"/>
    <w:rsid w:val="1BF87BB9"/>
    <w:rsid w:val="1C0A168B"/>
    <w:rsid w:val="1C0A3439"/>
    <w:rsid w:val="1C1147C7"/>
    <w:rsid w:val="1C314E69"/>
    <w:rsid w:val="1C316C17"/>
    <w:rsid w:val="1C32514F"/>
    <w:rsid w:val="1C3F578D"/>
    <w:rsid w:val="1C453970"/>
    <w:rsid w:val="1C4C57FF"/>
    <w:rsid w:val="1C623275"/>
    <w:rsid w:val="1C662D65"/>
    <w:rsid w:val="1C6914A7"/>
    <w:rsid w:val="1C6D1F48"/>
    <w:rsid w:val="1C745132"/>
    <w:rsid w:val="1C746B04"/>
    <w:rsid w:val="1C880F7D"/>
    <w:rsid w:val="1C8925AF"/>
    <w:rsid w:val="1C897CAF"/>
    <w:rsid w:val="1C8A7423"/>
    <w:rsid w:val="1CA553E4"/>
    <w:rsid w:val="1CA90611"/>
    <w:rsid w:val="1CC75B39"/>
    <w:rsid w:val="1CCA7AFE"/>
    <w:rsid w:val="1CD674D7"/>
    <w:rsid w:val="1CF0262F"/>
    <w:rsid w:val="1CF26C45"/>
    <w:rsid w:val="1CF40955"/>
    <w:rsid w:val="1CFE11EF"/>
    <w:rsid w:val="1D270A2C"/>
    <w:rsid w:val="1D303373"/>
    <w:rsid w:val="1D352737"/>
    <w:rsid w:val="1D3B2012"/>
    <w:rsid w:val="1D457005"/>
    <w:rsid w:val="1D61352C"/>
    <w:rsid w:val="1D7768AC"/>
    <w:rsid w:val="1D7C3EC2"/>
    <w:rsid w:val="1D89620A"/>
    <w:rsid w:val="1DBB6ED6"/>
    <w:rsid w:val="1DD50EE3"/>
    <w:rsid w:val="1DD51824"/>
    <w:rsid w:val="1DD64AED"/>
    <w:rsid w:val="1DD9637F"/>
    <w:rsid w:val="1DF3687A"/>
    <w:rsid w:val="1DF60FB0"/>
    <w:rsid w:val="1DFA65D4"/>
    <w:rsid w:val="1E036392"/>
    <w:rsid w:val="1E1260A9"/>
    <w:rsid w:val="1E1B3DA5"/>
    <w:rsid w:val="1E4946EC"/>
    <w:rsid w:val="1E4F301B"/>
    <w:rsid w:val="1E566E09"/>
    <w:rsid w:val="1E5D0198"/>
    <w:rsid w:val="1E5D1E6D"/>
    <w:rsid w:val="1E7352C5"/>
    <w:rsid w:val="1E89109D"/>
    <w:rsid w:val="1EA40AA1"/>
    <w:rsid w:val="1EB53B30"/>
    <w:rsid w:val="1EB61656"/>
    <w:rsid w:val="1EBB6C6C"/>
    <w:rsid w:val="1EBF195C"/>
    <w:rsid w:val="1EC37D91"/>
    <w:rsid w:val="1EE47F71"/>
    <w:rsid w:val="1EE8186A"/>
    <w:rsid w:val="1EE87F8C"/>
    <w:rsid w:val="1EFB2CE8"/>
    <w:rsid w:val="1F047D00"/>
    <w:rsid w:val="1F0D6046"/>
    <w:rsid w:val="1F18000E"/>
    <w:rsid w:val="1F1A1BE5"/>
    <w:rsid w:val="1F1D477C"/>
    <w:rsid w:val="1F3129FF"/>
    <w:rsid w:val="1F4E7AE0"/>
    <w:rsid w:val="1F51280E"/>
    <w:rsid w:val="1F5E5F75"/>
    <w:rsid w:val="1F7A63CB"/>
    <w:rsid w:val="1FA37E2C"/>
    <w:rsid w:val="1FAA740D"/>
    <w:rsid w:val="1FAF4A23"/>
    <w:rsid w:val="1FB2188E"/>
    <w:rsid w:val="1FBC7140"/>
    <w:rsid w:val="1FD004F5"/>
    <w:rsid w:val="1FDA1374"/>
    <w:rsid w:val="1FE30229"/>
    <w:rsid w:val="1FED72F9"/>
    <w:rsid w:val="1FF468DA"/>
    <w:rsid w:val="1FF77938"/>
    <w:rsid w:val="1FFE32B4"/>
    <w:rsid w:val="201B5C14"/>
    <w:rsid w:val="201E359F"/>
    <w:rsid w:val="2020147D"/>
    <w:rsid w:val="20216F05"/>
    <w:rsid w:val="203647FC"/>
    <w:rsid w:val="2040567B"/>
    <w:rsid w:val="2041336D"/>
    <w:rsid w:val="2041670A"/>
    <w:rsid w:val="204213F3"/>
    <w:rsid w:val="204F58BE"/>
    <w:rsid w:val="20566C4C"/>
    <w:rsid w:val="205D447F"/>
    <w:rsid w:val="2072123C"/>
    <w:rsid w:val="207A2CBA"/>
    <w:rsid w:val="20801F1B"/>
    <w:rsid w:val="20BB11A5"/>
    <w:rsid w:val="20D64231"/>
    <w:rsid w:val="20D67D8D"/>
    <w:rsid w:val="20F96EC7"/>
    <w:rsid w:val="20FA0D9B"/>
    <w:rsid w:val="20FB26BC"/>
    <w:rsid w:val="21070F12"/>
    <w:rsid w:val="210A22DD"/>
    <w:rsid w:val="210B3EDB"/>
    <w:rsid w:val="21162880"/>
    <w:rsid w:val="211B1C44"/>
    <w:rsid w:val="212F79D1"/>
    <w:rsid w:val="213977FF"/>
    <w:rsid w:val="214210A0"/>
    <w:rsid w:val="21422C34"/>
    <w:rsid w:val="215018EE"/>
    <w:rsid w:val="21553844"/>
    <w:rsid w:val="215641C4"/>
    <w:rsid w:val="215F0CFE"/>
    <w:rsid w:val="21645AD3"/>
    <w:rsid w:val="216B1519"/>
    <w:rsid w:val="21963C23"/>
    <w:rsid w:val="219C0FD7"/>
    <w:rsid w:val="21AA36F4"/>
    <w:rsid w:val="21B554DA"/>
    <w:rsid w:val="21BE2CFB"/>
    <w:rsid w:val="21D21C5D"/>
    <w:rsid w:val="21E309B4"/>
    <w:rsid w:val="21E56ABB"/>
    <w:rsid w:val="21FA56F9"/>
    <w:rsid w:val="21FC03B3"/>
    <w:rsid w:val="21FE57EE"/>
    <w:rsid w:val="220B170D"/>
    <w:rsid w:val="220D32FF"/>
    <w:rsid w:val="22105521"/>
    <w:rsid w:val="224805CD"/>
    <w:rsid w:val="224A27E1"/>
    <w:rsid w:val="22680EB9"/>
    <w:rsid w:val="22790D9D"/>
    <w:rsid w:val="227B405E"/>
    <w:rsid w:val="227E5A82"/>
    <w:rsid w:val="228E642E"/>
    <w:rsid w:val="22963C78"/>
    <w:rsid w:val="229677D4"/>
    <w:rsid w:val="22A2261D"/>
    <w:rsid w:val="22D87DED"/>
    <w:rsid w:val="22DC55BE"/>
    <w:rsid w:val="22E63B6F"/>
    <w:rsid w:val="22EA7B20"/>
    <w:rsid w:val="22EB35C2"/>
    <w:rsid w:val="22EF3388"/>
    <w:rsid w:val="22F32E79"/>
    <w:rsid w:val="22F653E9"/>
    <w:rsid w:val="231F5A1C"/>
    <w:rsid w:val="23215CC3"/>
    <w:rsid w:val="232C638A"/>
    <w:rsid w:val="23353491"/>
    <w:rsid w:val="233F60BE"/>
    <w:rsid w:val="2347728E"/>
    <w:rsid w:val="234B4A63"/>
    <w:rsid w:val="234B4F0F"/>
    <w:rsid w:val="235C3D4E"/>
    <w:rsid w:val="236E24FF"/>
    <w:rsid w:val="23706277"/>
    <w:rsid w:val="23737B15"/>
    <w:rsid w:val="237C10C0"/>
    <w:rsid w:val="23867849"/>
    <w:rsid w:val="23B95E70"/>
    <w:rsid w:val="23BA1BE8"/>
    <w:rsid w:val="23BF3632"/>
    <w:rsid w:val="23D9206E"/>
    <w:rsid w:val="23E7405F"/>
    <w:rsid w:val="23FC5D5D"/>
    <w:rsid w:val="24000D54"/>
    <w:rsid w:val="24183A7C"/>
    <w:rsid w:val="24217571"/>
    <w:rsid w:val="24341B4E"/>
    <w:rsid w:val="244A501E"/>
    <w:rsid w:val="245513DF"/>
    <w:rsid w:val="246456B0"/>
    <w:rsid w:val="24686E21"/>
    <w:rsid w:val="246D27B7"/>
    <w:rsid w:val="247955FF"/>
    <w:rsid w:val="24911B40"/>
    <w:rsid w:val="249D12EE"/>
    <w:rsid w:val="24A756CB"/>
    <w:rsid w:val="24B6415E"/>
    <w:rsid w:val="24FE78B3"/>
    <w:rsid w:val="2500655F"/>
    <w:rsid w:val="250824DF"/>
    <w:rsid w:val="250A6257"/>
    <w:rsid w:val="251610A0"/>
    <w:rsid w:val="25180974"/>
    <w:rsid w:val="251B2213"/>
    <w:rsid w:val="252437BD"/>
    <w:rsid w:val="25323A5B"/>
    <w:rsid w:val="25423C43"/>
    <w:rsid w:val="25473008"/>
    <w:rsid w:val="25482A55"/>
    <w:rsid w:val="255B6AB3"/>
    <w:rsid w:val="256C0FBF"/>
    <w:rsid w:val="2576348C"/>
    <w:rsid w:val="25787665"/>
    <w:rsid w:val="2584425C"/>
    <w:rsid w:val="259D70CC"/>
    <w:rsid w:val="25B368EF"/>
    <w:rsid w:val="25B7521A"/>
    <w:rsid w:val="25B93872"/>
    <w:rsid w:val="25C12DBA"/>
    <w:rsid w:val="25D10C62"/>
    <w:rsid w:val="25E96C9E"/>
    <w:rsid w:val="25EC2454"/>
    <w:rsid w:val="25EE5B79"/>
    <w:rsid w:val="25F06CBC"/>
    <w:rsid w:val="25FC51F5"/>
    <w:rsid w:val="26013AFE"/>
    <w:rsid w:val="26063C3F"/>
    <w:rsid w:val="26142B7A"/>
    <w:rsid w:val="26321DB7"/>
    <w:rsid w:val="26336079"/>
    <w:rsid w:val="264659B5"/>
    <w:rsid w:val="264D28A0"/>
    <w:rsid w:val="26587B3A"/>
    <w:rsid w:val="265A320F"/>
    <w:rsid w:val="266100F9"/>
    <w:rsid w:val="26867B60"/>
    <w:rsid w:val="268A3AF4"/>
    <w:rsid w:val="269323B0"/>
    <w:rsid w:val="26C62652"/>
    <w:rsid w:val="26D7660D"/>
    <w:rsid w:val="26DE799C"/>
    <w:rsid w:val="26DF7C14"/>
    <w:rsid w:val="271123A4"/>
    <w:rsid w:val="27124F1C"/>
    <w:rsid w:val="27172430"/>
    <w:rsid w:val="27233CC4"/>
    <w:rsid w:val="272E4104"/>
    <w:rsid w:val="27315D1D"/>
    <w:rsid w:val="27361586"/>
    <w:rsid w:val="273D486E"/>
    <w:rsid w:val="27400124"/>
    <w:rsid w:val="27427F2B"/>
    <w:rsid w:val="2750198D"/>
    <w:rsid w:val="27554102"/>
    <w:rsid w:val="275B0FEC"/>
    <w:rsid w:val="275B723E"/>
    <w:rsid w:val="27894270"/>
    <w:rsid w:val="2793704E"/>
    <w:rsid w:val="27A93098"/>
    <w:rsid w:val="27C70430"/>
    <w:rsid w:val="27D36DD5"/>
    <w:rsid w:val="27D72D69"/>
    <w:rsid w:val="27E77948"/>
    <w:rsid w:val="27EB6814"/>
    <w:rsid w:val="27FB09CD"/>
    <w:rsid w:val="28152C19"/>
    <w:rsid w:val="28164755"/>
    <w:rsid w:val="28215624"/>
    <w:rsid w:val="28277120"/>
    <w:rsid w:val="282F4953"/>
    <w:rsid w:val="284A4D73"/>
    <w:rsid w:val="28500425"/>
    <w:rsid w:val="285717B4"/>
    <w:rsid w:val="286618D2"/>
    <w:rsid w:val="287B6958"/>
    <w:rsid w:val="289A0FFA"/>
    <w:rsid w:val="289F721E"/>
    <w:rsid w:val="28A964B9"/>
    <w:rsid w:val="28C759B8"/>
    <w:rsid w:val="28EB457C"/>
    <w:rsid w:val="28EF40E2"/>
    <w:rsid w:val="28F17E5A"/>
    <w:rsid w:val="28F506B3"/>
    <w:rsid w:val="28FB2A87"/>
    <w:rsid w:val="29043603"/>
    <w:rsid w:val="29145589"/>
    <w:rsid w:val="291F4009"/>
    <w:rsid w:val="292875F4"/>
    <w:rsid w:val="292E24A0"/>
    <w:rsid w:val="292E4C0A"/>
    <w:rsid w:val="29312005"/>
    <w:rsid w:val="29312C5D"/>
    <w:rsid w:val="294F692F"/>
    <w:rsid w:val="295757E3"/>
    <w:rsid w:val="296E14AB"/>
    <w:rsid w:val="29791CCE"/>
    <w:rsid w:val="29887C3C"/>
    <w:rsid w:val="299946CD"/>
    <w:rsid w:val="29B50477"/>
    <w:rsid w:val="29E001BB"/>
    <w:rsid w:val="29E31C26"/>
    <w:rsid w:val="29ED5768"/>
    <w:rsid w:val="29EE439A"/>
    <w:rsid w:val="2A040CF7"/>
    <w:rsid w:val="2A0F54A9"/>
    <w:rsid w:val="2A181417"/>
    <w:rsid w:val="2A222295"/>
    <w:rsid w:val="2A2655B6"/>
    <w:rsid w:val="2A293624"/>
    <w:rsid w:val="2A360F84"/>
    <w:rsid w:val="2A4144C9"/>
    <w:rsid w:val="2A4C41D9"/>
    <w:rsid w:val="2A5E32CD"/>
    <w:rsid w:val="2A6B1546"/>
    <w:rsid w:val="2A790107"/>
    <w:rsid w:val="2A810D6A"/>
    <w:rsid w:val="2A8D3BB3"/>
    <w:rsid w:val="2A90644F"/>
    <w:rsid w:val="2A946F2E"/>
    <w:rsid w:val="2AE01F34"/>
    <w:rsid w:val="2AE8703B"/>
    <w:rsid w:val="2AFA0CE8"/>
    <w:rsid w:val="2B125E66"/>
    <w:rsid w:val="2B14398C"/>
    <w:rsid w:val="2B22171F"/>
    <w:rsid w:val="2B397896"/>
    <w:rsid w:val="2B3F7D0C"/>
    <w:rsid w:val="2B41036D"/>
    <w:rsid w:val="2B487ADA"/>
    <w:rsid w:val="2B522706"/>
    <w:rsid w:val="2B5E10AB"/>
    <w:rsid w:val="2B7D3C27"/>
    <w:rsid w:val="2B7F751B"/>
    <w:rsid w:val="2B990335"/>
    <w:rsid w:val="2BC2163A"/>
    <w:rsid w:val="2BC26BE9"/>
    <w:rsid w:val="2BC66706"/>
    <w:rsid w:val="2BDB00FF"/>
    <w:rsid w:val="2BDF03E9"/>
    <w:rsid w:val="2BFD6B16"/>
    <w:rsid w:val="2C1B476C"/>
    <w:rsid w:val="2C2422F5"/>
    <w:rsid w:val="2C280AEC"/>
    <w:rsid w:val="2C291503"/>
    <w:rsid w:val="2C2C4CCA"/>
    <w:rsid w:val="2C387B4E"/>
    <w:rsid w:val="2C46660C"/>
    <w:rsid w:val="2C576226"/>
    <w:rsid w:val="2C646B95"/>
    <w:rsid w:val="2C723060"/>
    <w:rsid w:val="2C82701B"/>
    <w:rsid w:val="2C901738"/>
    <w:rsid w:val="2C9B6335"/>
    <w:rsid w:val="2CA1389A"/>
    <w:rsid w:val="2CF16BCB"/>
    <w:rsid w:val="2D200D0E"/>
    <w:rsid w:val="2D316C87"/>
    <w:rsid w:val="2D460049"/>
    <w:rsid w:val="2D4A18E7"/>
    <w:rsid w:val="2D54716F"/>
    <w:rsid w:val="2D6365FD"/>
    <w:rsid w:val="2D674C99"/>
    <w:rsid w:val="2D755CA2"/>
    <w:rsid w:val="2D854FBB"/>
    <w:rsid w:val="2D8A4D65"/>
    <w:rsid w:val="2D9304CA"/>
    <w:rsid w:val="2DA33405"/>
    <w:rsid w:val="2DA74F8B"/>
    <w:rsid w:val="2DA82AB1"/>
    <w:rsid w:val="2DAC25A2"/>
    <w:rsid w:val="2DC33823"/>
    <w:rsid w:val="2DCA0C7A"/>
    <w:rsid w:val="2DCA6ECC"/>
    <w:rsid w:val="2DD438A6"/>
    <w:rsid w:val="2DF16206"/>
    <w:rsid w:val="2E183793"/>
    <w:rsid w:val="2E2E2FB7"/>
    <w:rsid w:val="2E3330A5"/>
    <w:rsid w:val="2E3429CF"/>
    <w:rsid w:val="2E505623"/>
    <w:rsid w:val="2E556795"/>
    <w:rsid w:val="2E605839"/>
    <w:rsid w:val="2E717347"/>
    <w:rsid w:val="2E8361EB"/>
    <w:rsid w:val="2E9979A9"/>
    <w:rsid w:val="2EA119DB"/>
    <w:rsid w:val="2EA17C2D"/>
    <w:rsid w:val="2EAA3A90"/>
    <w:rsid w:val="2EC90F31"/>
    <w:rsid w:val="2ED632EA"/>
    <w:rsid w:val="2EE2470C"/>
    <w:rsid w:val="2EE31FF3"/>
    <w:rsid w:val="2EE62680"/>
    <w:rsid w:val="2EEC53B6"/>
    <w:rsid w:val="2EF44200"/>
    <w:rsid w:val="2EF7784D"/>
    <w:rsid w:val="2F005429"/>
    <w:rsid w:val="2F106B71"/>
    <w:rsid w:val="2F141D40"/>
    <w:rsid w:val="2F4910A0"/>
    <w:rsid w:val="2F5159CA"/>
    <w:rsid w:val="2F5A7DDB"/>
    <w:rsid w:val="2F833F2D"/>
    <w:rsid w:val="2F85469D"/>
    <w:rsid w:val="2F95496C"/>
    <w:rsid w:val="2F9939E1"/>
    <w:rsid w:val="2F9E23BE"/>
    <w:rsid w:val="2FA33530"/>
    <w:rsid w:val="2FBD0C13"/>
    <w:rsid w:val="2FC8743B"/>
    <w:rsid w:val="2FED29FE"/>
    <w:rsid w:val="2FFE5A1F"/>
    <w:rsid w:val="2FFE7272"/>
    <w:rsid w:val="30203C11"/>
    <w:rsid w:val="302D1EB9"/>
    <w:rsid w:val="304E16EE"/>
    <w:rsid w:val="30696528"/>
    <w:rsid w:val="306C6942"/>
    <w:rsid w:val="308702E5"/>
    <w:rsid w:val="30A438DB"/>
    <w:rsid w:val="30BA6D84"/>
    <w:rsid w:val="30E06BCF"/>
    <w:rsid w:val="3103599E"/>
    <w:rsid w:val="310D5099"/>
    <w:rsid w:val="31436D79"/>
    <w:rsid w:val="314D409C"/>
    <w:rsid w:val="31603DCF"/>
    <w:rsid w:val="317214B9"/>
    <w:rsid w:val="31740730"/>
    <w:rsid w:val="3179279B"/>
    <w:rsid w:val="317A6513"/>
    <w:rsid w:val="317F055B"/>
    <w:rsid w:val="31853836"/>
    <w:rsid w:val="319055F7"/>
    <w:rsid w:val="31B15A78"/>
    <w:rsid w:val="31B934DF"/>
    <w:rsid w:val="31C23AFF"/>
    <w:rsid w:val="31CD6F8B"/>
    <w:rsid w:val="31D34EB2"/>
    <w:rsid w:val="31F46B28"/>
    <w:rsid w:val="32026C34"/>
    <w:rsid w:val="320A045B"/>
    <w:rsid w:val="32180206"/>
    <w:rsid w:val="322A7F39"/>
    <w:rsid w:val="322C52DA"/>
    <w:rsid w:val="323963CE"/>
    <w:rsid w:val="323D5EBE"/>
    <w:rsid w:val="3244135A"/>
    <w:rsid w:val="32650F71"/>
    <w:rsid w:val="327318E0"/>
    <w:rsid w:val="327411B4"/>
    <w:rsid w:val="327A72D8"/>
    <w:rsid w:val="327D7D41"/>
    <w:rsid w:val="32843AED"/>
    <w:rsid w:val="32A85F12"/>
    <w:rsid w:val="32AA46CE"/>
    <w:rsid w:val="32B71A27"/>
    <w:rsid w:val="32C959A4"/>
    <w:rsid w:val="32CA42CE"/>
    <w:rsid w:val="32CE4D68"/>
    <w:rsid w:val="32D364E7"/>
    <w:rsid w:val="32E70904"/>
    <w:rsid w:val="32EA443C"/>
    <w:rsid w:val="32ED17CB"/>
    <w:rsid w:val="32EE2B57"/>
    <w:rsid w:val="32F114C4"/>
    <w:rsid w:val="3310712F"/>
    <w:rsid w:val="33114C55"/>
    <w:rsid w:val="33224DA6"/>
    <w:rsid w:val="332901F1"/>
    <w:rsid w:val="332B21BB"/>
    <w:rsid w:val="333F30FC"/>
    <w:rsid w:val="33590863"/>
    <w:rsid w:val="3363215A"/>
    <w:rsid w:val="336B305B"/>
    <w:rsid w:val="336C3DBF"/>
    <w:rsid w:val="337B3084"/>
    <w:rsid w:val="338418CB"/>
    <w:rsid w:val="33863D91"/>
    <w:rsid w:val="33894B01"/>
    <w:rsid w:val="338F44F8"/>
    <w:rsid w:val="33915228"/>
    <w:rsid w:val="33941B0E"/>
    <w:rsid w:val="33955886"/>
    <w:rsid w:val="33AB32FB"/>
    <w:rsid w:val="33C81968"/>
    <w:rsid w:val="33D94FDC"/>
    <w:rsid w:val="33E978A4"/>
    <w:rsid w:val="33F20F2A"/>
    <w:rsid w:val="33FB7DDF"/>
    <w:rsid w:val="340261ED"/>
    <w:rsid w:val="340D366E"/>
    <w:rsid w:val="3416311F"/>
    <w:rsid w:val="34367D70"/>
    <w:rsid w:val="34586FDF"/>
    <w:rsid w:val="34735BC7"/>
    <w:rsid w:val="34984AA3"/>
    <w:rsid w:val="34AE30A3"/>
    <w:rsid w:val="34AF2977"/>
    <w:rsid w:val="34B166F0"/>
    <w:rsid w:val="34CA32A8"/>
    <w:rsid w:val="34CC3529"/>
    <w:rsid w:val="34CE54F3"/>
    <w:rsid w:val="34E6283D"/>
    <w:rsid w:val="352B0250"/>
    <w:rsid w:val="35401C2F"/>
    <w:rsid w:val="354D466A"/>
    <w:rsid w:val="35642BA4"/>
    <w:rsid w:val="356E692B"/>
    <w:rsid w:val="35932341"/>
    <w:rsid w:val="35942299"/>
    <w:rsid w:val="35C118AA"/>
    <w:rsid w:val="35D72186"/>
    <w:rsid w:val="35E11274"/>
    <w:rsid w:val="35EB79DF"/>
    <w:rsid w:val="35FC399A"/>
    <w:rsid w:val="3605272D"/>
    <w:rsid w:val="360B2817"/>
    <w:rsid w:val="360F36CE"/>
    <w:rsid w:val="36140CE4"/>
    <w:rsid w:val="36162CAE"/>
    <w:rsid w:val="36195081"/>
    <w:rsid w:val="36195DA0"/>
    <w:rsid w:val="361C403D"/>
    <w:rsid w:val="36201D7F"/>
    <w:rsid w:val="3627111B"/>
    <w:rsid w:val="3627310D"/>
    <w:rsid w:val="36407D2B"/>
    <w:rsid w:val="36576881"/>
    <w:rsid w:val="36743E79"/>
    <w:rsid w:val="36A858D0"/>
    <w:rsid w:val="36AE094E"/>
    <w:rsid w:val="36B91444"/>
    <w:rsid w:val="36C46BAE"/>
    <w:rsid w:val="36C5527D"/>
    <w:rsid w:val="36DB7A54"/>
    <w:rsid w:val="36E367E2"/>
    <w:rsid w:val="36F31165"/>
    <w:rsid w:val="36FA25D0"/>
    <w:rsid w:val="37040D59"/>
    <w:rsid w:val="3709636F"/>
    <w:rsid w:val="370F42C4"/>
    <w:rsid w:val="37171F2F"/>
    <w:rsid w:val="372E2279"/>
    <w:rsid w:val="37307DA0"/>
    <w:rsid w:val="3753277D"/>
    <w:rsid w:val="376932B2"/>
    <w:rsid w:val="376E2321"/>
    <w:rsid w:val="378F6C6C"/>
    <w:rsid w:val="379A790F"/>
    <w:rsid w:val="379F351E"/>
    <w:rsid w:val="379F6CD3"/>
    <w:rsid w:val="37B00763"/>
    <w:rsid w:val="37C36E66"/>
    <w:rsid w:val="37E56DDC"/>
    <w:rsid w:val="37E8067A"/>
    <w:rsid w:val="37E868CC"/>
    <w:rsid w:val="37EF1A09"/>
    <w:rsid w:val="37F76B0F"/>
    <w:rsid w:val="37FE7E20"/>
    <w:rsid w:val="3814378F"/>
    <w:rsid w:val="3820632F"/>
    <w:rsid w:val="3828316D"/>
    <w:rsid w:val="38284F1B"/>
    <w:rsid w:val="383513E6"/>
    <w:rsid w:val="38622452"/>
    <w:rsid w:val="38654816"/>
    <w:rsid w:val="38785FAF"/>
    <w:rsid w:val="387B329C"/>
    <w:rsid w:val="387C5384"/>
    <w:rsid w:val="388C7258"/>
    <w:rsid w:val="388F6D48"/>
    <w:rsid w:val="38995E18"/>
    <w:rsid w:val="38AC78FA"/>
    <w:rsid w:val="38B16CBE"/>
    <w:rsid w:val="38B36EDA"/>
    <w:rsid w:val="38C20ECB"/>
    <w:rsid w:val="38C70290"/>
    <w:rsid w:val="38D4467A"/>
    <w:rsid w:val="38D67E96"/>
    <w:rsid w:val="38DD7958"/>
    <w:rsid w:val="38E04160"/>
    <w:rsid w:val="38F022F8"/>
    <w:rsid w:val="38F640E2"/>
    <w:rsid w:val="38F742DF"/>
    <w:rsid w:val="39071B64"/>
    <w:rsid w:val="3911775D"/>
    <w:rsid w:val="39225E0E"/>
    <w:rsid w:val="3923325A"/>
    <w:rsid w:val="39333709"/>
    <w:rsid w:val="393B53E7"/>
    <w:rsid w:val="39495149"/>
    <w:rsid w:val="395064D7"/>
    <w:rsid w:val="395104A1"/>
    <w:rsid w:val="395871B1"/>
    <w:rsid w:val="395B12C8"/>
    <w:rsid w:val="39603205"/>
    <w:rsid w:val="39742683"/>
    <w:rsid w:val="39754190"/>
    <w:rsid w:val="397D1A60"/>
    <w:rsid w:val="399026A1"/>
    <w:rsid w:val="399436D2"/>
    <w:rsid w:val="39B8407C"/>
    <w:rsid w:val="39CB75E0"/>
    <w:rsid w:val="39D3481C"/>
    <w:rsid w:val="39E32812"/>
    <w:rsid w:val="39EB6200"/>
    <w:rsid w:val="39EC3D26"/>
    <w:rsid w:val="39FC56F8"/>
    <w:rsid w:val="3A004FB1"/>
    <w:rsid w:val="3A033549"/>
    <w:rsid w:val="3A1144D2"/>
    <w:rsid w:val="3A145456"/>
    <w:rsid w:val="3A257964"/>
    <w:rsid w:val="3A2F0FA8"/>
    <w:rsid w:val="3A2F42D9"/>
    <w:rsid w:val="3A340FF7"/>
    <w:rsid w:val="3A55164F"/>
    <w:rsid w:val="3A561D55"/>
    <w:rsid w:val="3A6A7A6C"/>
    <w:rsid w:val="3A6E7112"/>
    <w:rsid w:val="3A887EF3"/>
    <w:rsid w:val="3A976388"/>
    <w:rsid w:val="3A98265A"/>
    <w:rsid w:val="3AAF4DCB"/>
    <w:rsid w:val="3AB029D7"/>
    <w:rsid w:val="3AB71A73"/>
    <w:rsid w:val="3AC0143A"/>
    <w:rsid w:val="3ACF5B21"/>
    <w:rsid w:val="3AD90839"/>
    <w:rsid w:val="3AD924FC"/>
    <w:rsid w:val="3AE63FA0"/>
    <w:rsid w:val="3AE8273F"/>
    <w:rsid w:val="3B023ABE"/>
    <w:rsid w:val="3B1479D8"/>
    <w:rsid w:val="3B3871B7"/>
    <w:rsid w:val="3B3A2CB7"/>
    <w:rsid w:val="3B4F27BE"/>
    <w:rsid w:val="3B660234"/>
    <w:rsid w:val="3B6E533A"/>
    <w:rsid w:val="3B864B77"/>
    <w:rsid w:val="3B8D7241"/>
    <w:rsid w:val="3B8E32E7"/>
    <w:rsid w:val="3BA64AD4"/>
    <w:rsid w:val="3BD80A06"/>
    <w:rsid w:val="3BE41159"/>
    <w:rsid w:val="3BF5780A"/>
    <w:rsid w:val="3C027F6F"/>
    <w:rsid w:val="3C0A47E2"/>
    <w:rsid w:val="3C0B2B89"/>
    <w:rsid w:val="3C0B35BA"/>
    <w:rsid w:val="3C125CC6"/>
    <w:rsid w:val="3C1F03E3"/>
    <w:rsid w:val="3C3F0A85"/>
    <w:rsid w:val="3C4A6EAC"/>
    <w:rsid w:val="3C4E2A76"/>
    <w:rsid w:val="3C594361"/>
    <w:rsid w:val="3C5B6995"/>
    <w:rsid w:val="3C84126C"/>
    <w:rsid w:val="3C8A1D00"/>
    <w:rsid w:val="3C9963E7"/>
    <w:rsid w:val="3C9E1C4F"/>
    <w:rsid w:val="3CB21257"/>
    <w:rsid w:val="3CB66F99"/>
    <w:rsid w:val="3CB74ABF"/>
    <w:rsid w:val="3CCB40C7"/>
    <w:rsid w:val="3CD72A6B"/>
    <w:rsid w:val="3CDB69FF"/>
    <w:rsid w:val="3CE05DC4"/>
    <w:rsid w:val="3CFB0E50"/>
    <w:rsid w:val="3D0221DE"/>
    <w:rsid w:val="3D0575D8"/>
    <w:rsid w:val="3D073351"/>
    <w:rsid w:val="3D181B4D"/>
    <w:rsid w:val="3D3654A4"/>
    <w:rsid w:val="3D474095"/>
    <w:rsid w:val="3D532A3A"/>
    <w:rsid w:val="3D5E3ABB"/>
    <w:rsid w:val="3D6F24B2"/>
    <w:rsid w:val="3D722041"/>
    <w:rsid w:val="3D736C38"/>
    <w:rsid w:val="3D7D3613"/>
    <w:rsid w:val="3D90344A"/>
    <w:rsid w:val="3D9F7A2D"/>
    <w:rsid w:val="3DAC5CA6"/>
    <w:rsid w:val="3DB05C7A"/>
    <w:rsid w:val="3DB80AEF"/>
    <w:rsid w:val="3DBF3C2B"/>
    <w:rsid w:val="3DC01751"/>
    <w:rsid w:val="3DD376D7"/>
    <w:rsid w:val="3DE90CA8"/>
    <w:rsid w:val="3DEC63E4"/>
    <w:rsid w:val="3DEF2937"/>
    <w:rsid w:val="3DF824CC"/>
    <w:rsid w:val="3E2717D1"/>
    <w:rsid w:val="3E2C3534"/>
    <w:rsid w:val="3E330175"/>
    <w:rsid w:val="3E3321C4"/>
    <w:rsid w:val="3E413B9C"/>
    <w:rsid w:val="3E5A1BA6"/>
    <w:rsid w:val="3E5B195E"/>
    <w:rsid w:val="3E614CE2"/>
    <w:rsid w:val="3E6C06B0"/>
    <w:rsid w:val="3E75078E"/>
    <w:rsid w:val="3E7E1019"/>
    <w:rsid w:val="3E8B1D5F"/>
    <w:rsid w:val="3E9F5513"/>
    <w:rsid w:val="3EB5020A"/>
    <w:rsid w:val="3EC201C7"/>
    <w:rsid w:val="3EC6723B"/>
    <w:rsid w:val="3ECE27B7"/>
    <w:rsid w:val="3EEC4EF4"/>
    <w:rsid w:val="3EFC2C5D"/>
    <w:rsid w:val="3F010273"/>
    <w:rsid w:val="3F071A76"/>
    <w:rsid w:val="3F214472"/>
    <w:rsid w:val="3F4A1C1A"/>
    <w:rsid w:val="3F744EE9"/>
    <w:rsid w:val="3F7D67BC"/>
    <w:rsid w:val="3F870779"/>
    <w:rsid w:val="3F8A0269"/>
    <w:rsid w:val="3F8F3AEC"/>
    <w:rsid w:val="3F8F762D"/>
    <w:rsid w:val="3F93536F"/>
    <w:rsid w:val="3F960F9D"/>
    <w:rsid w:val="3F9D61EE"/>
    <w:rsid w:val="3FAE21A9"/>
    <w:rsid w:val="3FDA4D4C"/>
    <w:rsid w:val="3FE96D7A"/>
    <w:rsid w:val="3FFE67E6"/>
    <w:rsid w:val="401173AA"/>
    <w:rsid w:val="401F30A7"/>
    <w:rsid w:val="403A2C4A"/>
    <w:rsid w:val="403C77B5"/>
    <w:rsid w:val="403E177F"/>
    <w:rsid w:val="40621819"/>
    <w:rsid w:val="40742CC1"/>
    <w:rsid w:val="40874AB9"/>
    <w:rsid w:val="409A44DC"/>
    <w:rsid w:val="40A57392"/>
    <w:rsid w:val="40B57568"/>
    <w:rsid w:val="40B97EBB"/>
    <w:rsid w:val="40BE641C"/>
    <w:rsid w:val="40CF687B"/>
    <w:rsid w:val="40E025BF"/>
    <w:rsid w:val="40E57300"/>
    <w:rsid w:val="40E67721"/>
    <w:rsid w:val="40EA5463"/>
    <w:rsid w:val="40F57964"/>
    <w:rsid w:val="41061B71"/>
    <w:rsid w:val="41087697"/>
    <w:rsid w:val="410B1EE2"/>
    <w:rsid w:val="410C25CB"/>
    <w:rsid w:val="41110CC8"/>
    <w:rsid w:val="412D2C83"/>
    <w:rsid w:val="41325883"/>
    <w:rsid w:val="41416EA3"/>
    <w:rsid w:val="414601C0"/>
    <w:rsid w:val="41483F38"/>
    <w:rsid w:val="414C3A28"/>
    <w:rsid w:val="415648A7"/>
    <w:rsid w:val="415D3E87"/>
    <w:rsid w:val="4175600C"/>
    <w:rsid w:val="41791CF9"/>
    <w:rsid w:val="417C1E33"/>
    <w:rsid w:val="4182569C"/>
    <w:rsid w:val="4184568E"/>
    <w:rsid w:val="418F6B10"/>
    <w:rsid w:val="41A07CDB"/>
    <w:rsid w:val="41B25855"/>
    <w:rsid w:val="41B82358"/>
    <w:rsid w:val="41B8730F"/>
    <w:rsid w:val="41BD0482"/>
    <w:rsid w:val="41BF0B48"/>
    <w:rsid w:val="41C04416"/>
    <w:rsid w:val="41CA7043"/>
    <w:rsid w:val="41E013B4"/>
    <w:rsid w:val="41E10A49"/>
    <w:rsid w:val="41E2613A"/>
    <w:rsid w:val="41F45E6E"/>
    <w:rsid w:val="41F540C0"/>
    <w:rsid w:val="41F56C46"/>
    <w:rsid w:val="421B135F"/>
    <w:rsid w:val="422E5823"/>
    <w:rsid w:val="424010B3"/>
    <w:rsid w:val="42472441"/>
    <w:rsid w:val="42534E2F"/>
    <w:rsid w:val="425B7C9B"/>
    <w:rsid w:val="427B0900"/>
    <w:rsid w:val="427D6886"/>
    <w:rsid w:val="42900D0C"/>
    <w:rsid w:val="42984A4B"/>
    <w:rsid w:val="42BA70B7"/>
    <w:rsid w:val="42CB17F2"/>
    <w:rsid w:val="42D812EB"/>
    <w:rsid w:val="42DD6902"/>
    <w:rsid w:val="42E104B2"/>
    <w:rsid w:val="42E3682D"/>
    <w:rsid w:val="42F157F2"/>
    <w:rsid w:val="431247FD"/>
    <w:rsid w:val="431F6F1A"/>
    <w:rsid w:val="4323487E"/>
    <w:rsid w:val="43236A0A"/>
    <w:rsid w:val="432B35CB"/>
    <w:rsid w:val="432F0952"/>
    <w:rsid w:val="434E0079"/>
    <w:rsid w:val="437B23A2"/>
    <w:rsid w:val="43A23DD3"/>
    <w:rsid w:val="43A843B5"/>
    <w:rsid w:val="43BB4E95"/>
    <w:rsid w:val="43BE6232"/>
    <w:rsid w:val="43D45F57"/>
    <w:rsid w:val="43D877F5"/>
    <w:rsid w:val="43E443EC"/>
    <w:rsid w:val="43F6411F"/>
    <w:rsid w:val="43FB7987"/>
    <w:rsid w:val="4404683C"/>
    <w:rsid w:val="442E6EA9"/>
    <w:rsid w:val="44305883"/>
    <w:rsid w:val="444430DC"/>
    <w:rsid w:val="444E2DD6"/>
    <w:rsid w:val="44613C8E"/>
    <w:rsid w:val="447C0AC8"/>
    <w:rsid w:val="448160DE"/>
    <w:rsid w:val="448E6105"/>
    <w:rsid w:val="449175A0"/>
    <w:rsid w:val="449D2FA3"/>
    <w:rsid w:val="449D331C"/>
    <w:rsid w:val="44A1408B"/>
    <w:rsid w:val="44C4575F"/>
    <w:rsid w:val="44C857D8"/>
    <w:rsid w:val="44DC0B83"/>
    <w:rsid w:val="44DE546E"/>
    <w:rsid w:val="44E67CEF"/>
    <w:rsid w:val="44ED5522"/>
    <w:rsid w:val="452A0FEF"/>
    <w:rsid w:val="453413AE"/>
    <w:rsid w:val="45352915"/>
    <w:rsid w:val="4550160D"/>
    <w:rsid w:val="45654C8F"/>
    <w:rsid w:val="45677C6A"/>
    <w:rsid w:val="457C2119"/>
    <w:rsid w:val="4582210E"/>
    <w:rsid w:val="458D460F"/>
    <w:rsid w:val="45A715D5"/>
    <w:rsid w:val="45A83C60"/>
    <w:rsid w:val="45B24076"/>
    <w:rsid w:val="45B54329"/>
    <w:rsid w:val="45C269AF"/>
    <w:rsid w:val="45CB609F"/>
    <w:rsid w:val="45CC5137"/>
    <w:rsid w:val="45D56D93"/>
    <w:rsid w:val="45EA380F"/>
    <w:rsid w:val="45F144FA"/>
    <w:rsid w:val="45F257AD"/>
    <w:rsid w:val="45F31AA8"/>
    <w:rsid w:val="45F36B68"/>
    <w:rsid w:val="460A6426"/>
    <w:rsid w:val="46130905"/>
    <w:rsid w:val="461865CE"/>
    <w:rsid w:val="461D4A07"/>
    <w:rsid w:val="4621673A"/>
    <w:rsid w:val="46252A99"/>
    <w:rsid w:val="4643602A"/>
    <w:rsid w:val="465C43E8"/>
    <w:rsid w:val="46694F98"/>
    <w:rsid w:val="46724F39"/>
    <w:rsid w:val="468B4FF2"/>
    <w:rsid w:val="46954FDF"/>
    <w:rsid w:val="469A1E62"/>
    <w:rsid w:val="469D0882"/>
    <w:rsid w:val="46A2071E"/>
    <w:rsid w:val="46A20C3F"/>
    <w:rsid w:val="46AF0597"/>
    <w:rsid w:val="46C44FF0"/>
    <w:rsid w:val="46CB3641"/>
    <w:rsid w:val="46CC73B9"/>
    <w:rsid w:val="46D36999"/>
    <w:rsid w:val="46DD1652"/>
    <w:rsid w:val="46E82445"/>
    <w:rsid w:val="46E97F6B"/>
    <w:rsid w:val="46EE37D3"/>
    <w:rsid w:val="46F72688"/>
    <w:rsid w:val="46FE3A16"/>
    <w:rsid w:val="470F7D1B"/>
    <w:rsid w:val="47121270"/>
    <w:rsid w:val="471E7C15"/>
    <w:rsid w:val="4732140B"/>
    <w:rsid w:val="475A6773"/>
    <w:rsid w:val="475F3D89"/>
    <w:rsid w:val="47637D1D"/>
    <w:rsid w:val="47660BA8"/>
    <w:rsid w:val="4776494F"/>
    <w:rsid w:val="47976AC7"/>
    <w:rsid w:val="479E2B03"/>
    <w:rsid w:val="47A0736E"/>
    <w:rsid w:val="47A85730"/>
    <w:rsid w:val="47D34BBC"/>
    <w:rsid w:val="47DC187E"/>
    <w:rsid w:val="47E85419"/>
    <w:rsid w:val="48030BB8"/>
    <w:rsid w:val="480706A9"/>
    <w:rsid w:val="481529C9"/>
    <w:rsid w:val="48217291"/>
    <w:rsid w:val="48343468"/>
    <w:rsid w:val="483671E0"/>
    <w:rsid w:val="48401C4E"/>
    <w:rsid w:val="484336AB"/>
    <w:rsid w:val="48517B76"/>
    <w:rsid w:val="485715E2"/>
    <w:rsid w:val="485B6C46"/>
    <w:rsid w:val="486C1AB1"/>
    <w:rsid w:val="48700764"/>
    <w:rsid w:val="48742B93"/>
    <w:rsid w:val="48751A7C"/>
    <w:rsid w:val="48763A80"/>
    <w:rsid w:val="4881611D"/>
    <w:rsid w:val="488A3088"/>
    <w:rsid w:val="48A30128"/>
    <w:rsid w:val="48A4239B"/>
    <w:rsid w:val="48BD16AF"/>
    <w:rsid w:val="48BD3A6C"/>
    <w:rsid w:val="48BE62E5"/>
    <w:rsid w:val="48D10CB7"/>
    <w:rsid w:val="48E1714C"/>
    <w:rsid w:val="48E704DA"/>
    <w:rsid w:val="48E94697"/>
    <w:rsid w:val="48EE6F7C"/>
    <w:rsid w:val="48F549A5"/>
    <w:rsid w:val="491237A9"/>
    <w:rsid w:val="49192743"/>
    <w:rsid w:val="492A45BA"/>
    <w:rsid w:val="492E435B"/>
    <w:rsid w:val="49390BF0"/>
    <w:rsid w:val="493A6F33"/>
    <w:rsid w:val="494E0559"/>
    <w:rsid w:val="49624AA9"/>
    <w:rsid w:val="496C41A4"/>
    <w:rsid w:val="498F39B9"/>
    <w:rsid w:val="49957F36"/>
    <w:rsid w:val="49A96CD8"/>
    <w:rsid w:val="49B50652"/>
    <w:rsid w:val="49B760FE"/>
    <w:rsid w:val="49BB5CAE"/>
    <w:rsid w:val="49BE129E"/>
    <w:rsid w:val="49C91C9A"/>
    <w:rsid w:val="4A02381D"/>
    <w:rsid w:val="4A0600C1"/>
    <w:rsid w:val="4A111CB3"/>
    <w:rsid w:val="4A17561C"/>
    <w:rsid w:val="4A1878A4"/>
    <w:rsid w:val="4A1C7526"/>
    <w:rsid w:val="4A477482"/>
    <w:rsid w:val="4A5676C5"/>
    <w:rsid w:val="4A5D4EF8"/>
    <w:rsid w:val="4A621AA2"/>
    <w:rsid w:val="4A625C2A"/>
    <w:rsid w:val="4A6407CF"/>
    <w:rsid w:val="4A7037FB"/>
    <w:rsid w:val="4A7F6F7D"/>
    <w:rsid w:val="4A835FE1"/>
    <w:rsid w:val="4A965AF1"/>
    <w:rsid w:val="4ABB1C1E"/>
    <w:rsid w:val="4AC07235"/>
    <w:rsid w:val="4AC431B7"/>
    <w:rsid w:val="4AEC275B"/>
    <w:rsid w:val="4AF33166"/>
    <w:rsid w:val="4B005D0C"/>
    <w:rsid w:val="4B225D19"/>
    <w:rsid w:val="4B257098"/>
    <w:rsid w:val="4B271062"/>
    <w:rsid w:val="4B2C579D"/>
    <w:rsid w:val="4B313C8F"/>
    <w:rsid w:val="4B586142"/>
    <w:rsid w:val="4B5F6A4E"/>
    <w:rsid w:val="4B6D7BF9"/>
    <w:rsid w:val="4BA97CC9"/>
    <w:rsid w:val="4BB57ADD"/>
    <w:rsid w:val="4BB61845"/>
    <w:rsid w:val="4BB80918"/>
    <w:rsid w:val="4BBC79FC"/>
    <w:rsid w:val="4BBE3774"/>
    <w:rsid w:val="4BC62629"/>
    <w:rsid w:val="4BD411EA"/>
    <w:rsid w:val="4BDC646C"/>
    <w:rsid w:val="4BE60F1D"/>
    <w:rsid w:val="4BF30337"/>
    <w:rsid w:val="4C072AD9"/>
    <w:rsid w:val="4C0C24E8"/>
    <w:rsid w:val="4C100C5A"/>
    <w:rsid w:val="4C14187D"/>
    <w:rsid w:val="4C201A6D"/>
    <w:rsid w:val="4C20442F"/>
    <w:rsid w:val="4C3B4DC5"/>
    <w:rsid w:val="4C416153"/>
    <w:rsid w:val="4C501087"/>
    <w:rsid w:val="4C547C35"/>
    <w:rsid w:val="4C602A7D"/>
    <w:rsid w:val="4C7C7A72"/>
    <w:rsid w:val="4C804ECE"/>
    <w:rsid w:val="4C83051A"/>
    <w:rsid w:val="4C8524E4"/>
    <w:rsid w:val="4C942727"/>
    <w:rsid w:val="4C9814EE"/>
    <w:rsid w:val="4C982217"/>
    <w:rsid w:val="4C994876"/>
    <w:rsid w:val="4C9D782D"/>
    <w:rsid w:val="4CB66271"/>
    <w:rsid w:val="4CBF55AE"/>
    <w:rsid w:val="4CC36B68"/>
    <w:rsid w:val="4CC528E0"/>
    <w:rsid w:val="4CD07C03"/>
    <w:rsid w:val="4CD66EB3"/>
    <w:rsid w:val="4CDF47AB"/>
    <w:rsid w:val="4CE03BBE"/>
    <w:rsid w:val="4CE306C6"/>
    <w:rsid w:val="4CF3569F"/>
    <w:rsid w:val="4CF60CEC"/>
    <w:rsid w:val="4CF82CB6"/>
    <w:rsid w:val="4CFE4613"/>
    <w:rsid w:val="4D096C71"/>
    <w:rsid w:val="4D20220D"/>
    <w:rsid w:val="4D3806BD"/>
    <w:rsid w:val="4D5325E2"/>
    <w:rsid w:val="4D602609"/>
    <w:rsid w:val="4D681ED9"/>
    <w:rsid w:val="4D761E2D"/>
    <w:rsid w:val="4D913406"/>
    <w:rsid w:val="4DA91FD9"/>
    <w:rsid w:val="4DAB7D28"/>
    <w:rsid w:val="4DBA1016"/>
    <w:rsid w:val="4DE4323A"/>
    <w:rsid w:val="4DE44FE8"/>
    <w:rsid w:val="4DF740D0"/>
    <w:rsid w:val="4DFE254E"/>
    <w:rsid w:val="4E013DEC"/>
    <w:rsid w:val="4E211F28"/>
    <w:rsid w:val="4E2A50F1"/>
    <w:rsid w:val="4E393586"/>
    <w:rsid w:val="4E3D2057"/>
    <w:rsid w:val="4E575F7D"/>
    <w:rsid w:val="4E5A2AB0"/>
    <w:rsid w:val="4E6C3D1B"/>
    <w:rsid w:val="4E734BC1"/>
    <w:rsid w:val="4E740A62"/>
    <w:rsid w:val="4E810A89"/>
    <w:rsid w:val="4E854A1D"/>
    <w:rsid w:val="4E86751A"/>
    <w:rsid w:val="4E8C7CE9"/>
    <w:rsid w:val="4E966494"/>
    <w:rsid w:val="4EA2112B"/>
    <w:rsid w:val="4EAC1FAA"/>
    <w:rsid w:val="4EB726FD"/>
    <w:rsid w:val="4EBB3F9B"/>
    <w:rsid w:val="4EE02FF7"/>
    <w:rsid w:val="4EE07773"/>
    <w:rsid w:val="4EEA4F41"/>
    <w:rsid w:val="4EEC05F8"/>
    <w:rsid w:val="4EEF7809"/>
    <w:rsid w:val="4F102E2A"/>
    <w:rsid w:val="4F29184C"/>
    <w:rsid w:val="4F2935FA"/>
    <w:rsid w:val="4F2D3EBA"/>
    <w:rsid w:val="4F336227"/>
    <w:rsid w:val="4F3719BE"/>
    <w:rsid w:val="4F3E0E12"/>
    <w:rsid w:val="4F622668"/>
    <w:rsid w:val="4F6374DE"/>
    <w:rsid w:val="4F675ED1"/>
    <w:rsid w:val="4F6C1739"/>
    <w:rsid w:val="4F7B086C"/>
    <w:rsid w:val="4F912F4E"/>
    <w:rsid w:val="4F953DC6"/>
    <w:rsid w:val="4FAE10C6"/>
    <w:rsid w:val="4FB07878"/>
    <w:rsid w:val="4FB62866"/>
    <w:rsid w:val="4FBE7162"/>
    <w:rsid w:val="4FD317B8"/>
    <w:rsid w:val="4FF17EF4"/>
    <w:rsid w:val="4FF22FB6"/>
    <w:rsid w:val="500D4CCA"/>
    <w:rsid w:val="50357D7D"/>
    <w:rsid w:val="50377F99"/>
    <w:rsid w:val="50461F8A"/>
    <w:rsid w:val="50593A6B"/>
    <w:rsid w:val="505E72D4"/>
    <w:rsid w:val="507408A5"/>
    <w:rsid w:val="509015EE"/>
    <w:rsid w:val="509E1DC6"/>
    <w:rsid w:val="50A849F3"/>
    <w:rsid w:val="50B17DEA"/>
    <w:rsid w:val="50B4752B"/>
    <w:rsid w:val="50B67110"/>
    <w:rsid w:val="50BB2978"/>
    <w:rsid w:val="50EB4351"/>
    <w:rsid w:val="50EC2B32"/>
    <w:rsid w:val="50F007D8"/>
    <w:rsid w:val="510E46E2"/>
    <w:rsid w:val="511107EA"/>
    <w:rsid w:val="5116059E"/>
    <w:rsid w:val="5134057D"/>
    <w:rsid w:val="513C39C1"/>
    <w:rsid w:val="5167040A"/>
    <w:rsid w:val="517B3826"/>
    <w:rsid w:val="517D19DC"/>
    <w:rsid w:val="517F5754"/>
    <w:rsid w:val="51A45374"/>
    <w:rsid w:val="51A927D1"/>
    <w:rsid w:val="51A96C75"/>
    <w:rsid w:val="51B15B29"/>
    <w:rsid w:val="51B3034F"/>
    <w:rsid w:val="51CA4B61"/>
    <w:rsid w:val="51CE727C"/>
    <w:rsid w:val="51D76558"/>
    <w:rsid w:val="51E25CE3"/>
    <w:rsid w:val="51E67581"/>
    <w:rsid w:val="521E1EA1"/>
    <w:rsid w:val="524E3378"/>
    <w:rsid w:val="525672E6"/>
    <w:rsid w:val="526112FD"/>
    <w:rsid w:val="526130AB"/>
    <w:rsid w:val="52741030"/>
    <w:rsid w:val="52751ED8"/>
    <w:rsid w:val="527600FA"/>
    <w:rsid w:val="52927562"/>
    <w:rsid w:val="52990A97"/>
    <w:rsid w:val="529F5982"/>
    <w:rsid w:val="52BF774F"/>
    <w:rsid w:val="52CA50F4"/>
    <w:rsid w:val="52CD0741"/>
    <w:rsid w:val="52D359B8"/>
    <w:rsid w:val="52DC149B"/>
    <w:rsid w:val="52EC45EE"/>
    <w:rsid w:val="52F23A48"/>
    <w:rsid w:val="530C3AEC"/>
    <w:rsid w:val="531371D9"/>
    <w:rsid w:val="53511372"/>
    <w:rsid w:val="536913AD"/>
    <w:rsid w:val="536B5D13"/>
    <w:rsid w:val="53775341"/>
    <w:rsid w:val="538B4884"/>
    <w:rsid w:val="53912714"/>
    <w:rsid w:val="539C7C39"/>
    <w:rsid w:val="539F032F"/>
    <w:rsid w:val="53A21BCD"/>
    <w:rsid w:val="53A5521A"/>
    <w:rsid w:val="53A56FC8"/>
    <w:rsid w:val="53B3698A"/>
    <w:rsid w:val="53B65679"/>
    <w:rsid w:val="53B86CFB"/>
    <w:rsid w:val="53C125EB"/>
    <w:rsid w:val="53EB5322"/>
    <w:rsid w:val="53F96FC4"/>
    <w:rsid w:val="53FA4B10"/>
    <w:rsid w:val="540B32CF"/>
    <w:rsid w:val="54155BA9"/>
    <w:rsid w:val="541F3522"/>
    <w:rsid w:val="54295E4B"/>
    <w:rsid w:val="544D3A43"/>
    <w:rsid w:val="544F3B03"/>
    <w:rsid w:val="546E2688"/>
    <w:rsid w:val="54717BEB"/>
    <w:rsid w:val="547641FD"/>
    <w:rsid w:val="54776BB6"/>
    <w:rsid w:val="54786ACF"/>
    <w:rsid w:val="548575B3"/>
    <w:rsid w:val="54882B71"/>
    <w:rsid w:val="5499484C"/>
    <w:rsid w:val="549A27BD"/>
    <w:rsid w:val="54B43966"/>
    <w:rsid w:val="54C95292"/>
    <w:rsid w:val="54CD2C7A"/>
    <w:rsid w:val="54DA0EF3"/>
    <w:rsid w:val="54E11088"/>
    <w:rsid w:val="54EC75A4"/>
    <w:rsid w:val="54FB0DC4"/>
    <w:rsid w:val="54FC579D"/>
    <w:rsid w:val="550D2817"/>
    <w:rsid w:val="550D3076"/>
    <w:rsid w:val="551408A9"/>
    <w:rsid w:val="551D6150"/>
    <w:rsid w:val="551D66C6"/>
    <w:rsid w:val="55314FB7"/>
    <w:rsid w:val="55376345"/>
    <w:rsid w:val="55410DBD"/>
    <w:rsid w:val="5543118E"/>
    <w:rsid w:val="5548486B"/>
    <w:rsid w:val="554C0043"/>
    <w:rsid w:val="55524F2D"/>
    <w:rsid w:val="55546EF7"/>
    <w:rsid w:val="555B0286"/>
    <w:rsid w:val="55652EB2"/>
    <w:rsid w:val="558477DD"/>
    <w:rsid w:val="5586539F"/>
    <w:rsid w:val="55A20145"/>
    <w:rsid w:val="55A66583"/>
    <w:rsid w:val="55C81EEC"/>
    <w:rsid w:val="55CE0A58"/>
    <w:rsid w:val="55E55DA1"/>
    <w:rsid w:val="55E95892"/>
    <w:rsid w:val="55F66200"/>
    <w:rsid w:val="560B6EB6"/>
    <w:rsid w:val="561A0928"/>
    <w:rsid w:val="56244B1C"/>
    <w:rsid w:val="562763BA"/>
    <w:rsid w:val="566413BC"/>
    <w:rsid w:val="566B62A7"/>
    <w:rsid w:val="56700E3F"/>
    <w:rsid w:val="56744D9B"/>
    <w:rsid w:val="56792D6E"/>
    <w:rsid w:val="567A06B3"/>
    <w:rsid w:val="567E2150"/>
    <w:rsid w:val="568239D6"/>
    <w:rsid w:val="569533E6"/>
    <w:rsid w:val="569921FD"/>
    <w:rsid w:val="56AB1610"/>
    <w:rsid w:val="56B539C6"/>
    <w:rsid w:val="56C34335"/>
    <w:rsid w:val="56C360E3"/>
    <w:rsid w:val="56C44E8E"/>
    <w:rsid w:val="56CC3A96"/>
    <w:rsid w:val="56D26326"/>
    <w:rsid w:val="56E878F7"/>
    <w:rsid w:val="56E96D82"/>
    <w:rsid w:val="56F049FE"/>
    <w:rsid w:val="56F85671"/>
    <w:rsid w:val="56FB3ACE"/>
    <w:rsid w:val="57014562"/>
    <w:rsid w:val="571164D6"/>
    <w:rsid w:val="57144B90"/>
    <w:rsid w:val="57201787"/>
    <w:rsid w:val="572052E3"/>
    <w:rsid w:val="57254C9B"/>
    <w:rsid w:val="57262CE7"/>
    <w:rsid w:val="572A655F"/>
    <w:rsid w:val="573752E0"/>
    <w:rsid w:val="574134AB"/>
    <w:rsid w:val="57560D05"/>
    <w:rsid w:val="575D17FB"/>
    <w:rsid w:val="575D4F26"/>
    <w:rsid w:val="576C677A"/>
    <w:rsid w:val="57727B09"/>
    <w:rsid w:val="577949F3"/>
    <w:rsid w:val="57A05E6D"/>
    <w:rsid w:val="57B228D8"/>
    <w:rsid w:val="57B958F8"/>
    <w:rsid w:val="57BA0EF0"/>
    <w:rsid w:val="57DA5C9F"/>
    <w:rsid w:val="57E83927"/>
    <w:rsid w:val="57EE3633"/>
    <w:rsid w:val="57F24B59"/>
    <w:rsid w:val="57F549C2"/>
    <w:rsid w:val="58044A73"/>
    <w:rsid w:val="58097547"/>
    <w:rsid w:val="581B1CCB"/>
    <w:rsid w:val="58265772"/>
    <w:rsid w:val="583B614D"/>
    <w:rsid w:val="586470E6"/>
    <w:rsid w:val="587873A1"/>
    <w:rsid w:val="58810484"/>
    <w:rsid w:val="588840E5"/>
    <w:rsid w:val="588C69A8"/>
    <w:rsid w:val="5894394D"/>
    <w:rsid w:val="58AB1524"/>
    <w:rsid w:val="58EB7B73"/>
    <w:rsid w:val="58F85D04"/>
    <w:rsid w:val="59060509"/>
    <w:rsid w:val="591C04AC"/>
    <w:rsid w:val="59213594"/>
    <w:rsid w:val="593D215D"/>
    <w:rsid w:val="59417793"/>
    <w:rsid w:val="59575208"/>
    <w:rsid w:val="596811C3"/>
    <w:rsid w:val="597C6A1D"/>
    <w:rsid w:val="597F1A06"/>
    <w:rsid w:val="598C4EB2"/>
    <w:rsid w:val="59AC10B0"/>
    <w:rsid w:val="59B2243E"/>
    <w:rsid w:val="59B30690"/>
    <w:rsid w:val="59B85CA7"/>
    <w:rsid w:val="59BB12F3"/>
    <w:rsid w:val="59C213BB"/>
    <w:rsid w:val="59C77C98"/>
    <w:rsid w:val="59D949F9"/>
    <w:rsid w:val="59DF1DD8"/>
    <w:rsid w:val="59E41FE5"/>
    <w:rsid w:val="59FA62BF"/>
    <w:rsid w:val="5A07278A"/>
    <w:rsid w:val="5A092D0A"/>
    <w:rsid w:val="5A0F163F"/>
    <w:rsid w:val="5A1F4B06"/>
    <w:rsid w:val="5A1F5D26"/>
    <w:rsid w:val="5A3612C1"/>
    <w:rsid w:val="5A497CE6"/>
    <w:rsid w:val="5A5D05FC"/>
    <w:rsid w:val="5A70241A"/>
    <w:rsid w:val="5A704B6C"/>
    <w:rsid w:val="5A76346C"/>
    <w:rsid w:val="5A8B33BB"/>
    <w:rsid w:val="5A9E0E5C"/>
    <w:rsid w:val="5AA77AC9"/>
    <w:rsid w:val="5AB126F6"/>
    <w:rsid w:val="5AB135C4"/>
    <w:rsid w:val="5AFC1BC3"/>
    <w:rsid w:val="5B001146"/>
    <w:rsid w:val="5B013F5E"/>
    <w:rsid w:val="5B041BCF"/>
    <w:rsid w:val="5B084A0C"/>
    <w:rsid w:val="5B280610"/>
    <w:rsid w:val="5B2E3D47"/>
    <w:rsid w:val="5B3E522A"/>
    <w:rsid w:val="5B4517BC"/>
    <w:rsid w:val="5B555A68"/>
    <w:rsid w:val="5B656A91"/>
    <w:rsid w:val="5B751975"/>
    <w:rsid w:val="5B793214"/>
    <w:rsid w:val="5B973FF4"/>
    <w:rsid w:val="5BC00E43"/>
    <w:rsid w:val="5BC36B85"/>
    <w:rsid w:val="5BC87CF7"/>
    <w:rsid w:val="5BE251E0"/>
    <w:rsid w:val="5BEA5EBF"/>
    <w:rsid w:val="5BED3F68"/>
    <w:rsid w:val="5BEF797A"/>
    <w:rsid w:val="5BF3649C"/>
    <w:rsid w:val="5C044F83"/>
    <w:rsid w:val="5C1D6295"/>
    <w:rsid w:val="5C387814"/>
    <w:rsid w:val="5C3A6E47"/>
    <w:rsid w:val="5C3F26AF"/>
    <w:rsid w:val="5C533A65"/>
    <w:rsid w:val="5C563555"/>
    <w:rsid w:val="5C5D2B35"/>
    <w:rsid w:val="5C743AE8"/>
    <w:rsid w:val="5C7F0CFE"/>
    <w:rsid w:val="5C9F4678"/>
    <w:rsid w:val="5C9F4EFC"/>
    <w:rsid w:val="5CB309A7"/>
    <w:rsid w:val="5CC333F7"/>
    <w:rsid w:val="5CE55301"/>
    <w:rsid w:val="5CF52D6E"/>
    <w:rsid w:val="5CFC40FC"/>
    <w:rsid w:val="5D0134C1"/>
    <w:rsid w:val="5D041203"/>
    <w:rsid w:val="5D192F00"/>
    <w:rsid w:val="5D2813FE"/>
    <w:rsid w:val="5D302C9F"/>
    <w:rsid w:val="5D361E7D"/>
    <w:rsid w:val="5D3E4715"/>
    <w:rsid w:val="5D5958B4"/>
    <w:rsid w:val="5D933278"/>
    <w:rsid w:val="5D9A4243"/>
    <w:rsid w:val="5DA26FAD"/>
    <w:rsid w:val="5DA30A1C"/>
    <w:rsid w:val="5DA402F0"/>
    <w:rsid w:val="5DA64068"/>
    <w:rsid w:val="5DA65D54"/>
    <w:rsid w:val="5DAD189A"/>
    <w:rsid w:val="5DB04EE7"/>
    <w:rsid w:val="5DC95797"/>
    <w:rsid w:val="5DD45079"/>
    <w:rsid w:val="5DEA664B"/>
    <w:rsid w:val="5DFD637E"/>
    <w:rsid w:val="5E0930A3"/>
    <w:rsid w:val="5E115985"/>
    <w:rsid w:val="5E2F22B0"/>
    <w:rsid w:val="5E4C10B3"/>
    <w:rsid w:val="5E4E4E2C"/>
    <w:rsid w:val="5E541D16"/>
    <w:rsid w:val="5E680DA7"/>
    <w:rsid w:val="5E6D4B86"/>
    <w:rsid w:val="5E710B1A"/>
    <w:rsid w:val="5E8117C9"/>
    <w:rsid w:val="5E8F0648"/>
    <w:rsid w:val="5EA678E3"/>
    <w:rsid w:val="5EBA426F"/>
    <w:rsid w:val="5ECB022A"/>
    <w:rsid w:val="5EFA466C"/>
    <w:rsid w:val="5F217E98"/>
    <w:rsid w:val="5F270251"/>
    <w:rsid w:val="5F2C4FC2"/>
    <w:rsid w:val="5F357D99"/>
    <w:rsid w:val="5F63295F"/>
    <w:rsid w:val="5F85175F"/>
    <w:rsid w:val="5F97445D"/>
    <w:rsid w:val="5F97635E"/>
    <w:rsid w:val="5F984189"/>
    <w:rsid w:val="5F984EEC"/>
    <w:rsid w:val="5FAC3308"/>
    <w:rsid w:val="5FB43246"/>
    <w:rsid w:val="5FC35C2D"/>
    <w:rsid w:val="5FE33352"/>
    <w:rsid w:val="5FED3672"/>
    <w:rsid w:val="6008350A"/>
    <w:rsid w:val="6022008F"/>
    <w:rsid w:val="603B13E0"/>
    <w:rsid w:val="603C6873"/>
    <w:rsid w:val="603E2C7E"/>
    <w:rsid w:val="604007A4"/>
    <w:rsid w:val="604F208F"/>
    <w:rsid w:val="605424A1"/>
    <w:rsid w:val="60557755"/>
    <w:rsid w:val="60564844"/>
    <w:rsid w:val="605A3984"/>
    <w:rsid w:val="605B55DE"/>
    <w:rsid w:val="605E26A9"/>
    <w:rsid w:val="60691717"/>
    <w:rsid w:val="60824919"/>
    <w:rsid w:val="609063AB"/>
    <w:rsid w:val="60A85B76"/>
    <w:rsid w:val="60AA20C1"/>
    <w:rsid w:val="60BE791B"/>
    <w:rsid w:val="60C27E22"/>
    <w:rsid w:val="60C50CA9"/>
    <w:rsid w:val="60D15932"/>
    <w:rsid w:val="60E55937"/>
    <w:rsid w:val="60E852B0"/>
    <w:rsid w:val="60ED41C1"/>
    <w:rsid w:val="60EE4F7B"/>
    <w:rsid w:val="60F11BF3"/>
    <w:rsid w:val="60F46E8B"/>
    <w:rsid w:val="61045C75"/>
    <w:rsid w:val="610712C2"/>
    <w:rsid w:val="614F73D5"/>
    <w:rsid w:val="61500EBB"/>
    <w:rsid w:val="615F4C5A"/>
    <w:rsid w:val="616404C2"/>
    <w:rsid w:val="61671D60"/>
    <w:rsid w:val="617C1CB0"/>
    <w:rsid w:val="61840B64"/>
    <w:rsid w:val="61845B60"/>
    <w:rsid w:val="61972DA7"/>
    <w:rsid w:val="61B7569E"/>
    <w:rsid w:val="61C243C9"/>
    <w:rsid w:val="61D218D0"/>
    <w:rsid w:val="61D4389A"/>
    <w:rsid w:val="61E24A24"/>
    <w:rsid w:val="61FF65B1"/>
    <w:rsid w:val="62087073"/>
    <w:rsid w:val="620B4DE2"/>
    <w:rsid w:val="62195750"/>
    <w:rsid w:val="621A1E84"/>
    <w:rsid w:val="622C52FC"/>
    <w:rsid w:val="623205C0"/>
    <w:rsid w:val="623460E6"/>
    <w:rsid w:val="62572071"/>
    <w:rsid w:val="62811DE4"/>
    <w:rsid w:val="62864468"/>
    <w:rsid w:val="62893117"/>
    <w:rsid w:val="629A234F"/>
    <w:rsid w:val="62B34244"/>
    <w:rsid w:val="62B62F9F"/>
    <w:rsid w:val="62BD3248"/>
    <w:rsid w:val="62C37595"/>
    <w:rsid w:val="62C76023"/>
    <w:rsid w:val="62CA25A7"/>
    <w:rsid w:val="62DD677E"/>
    <w:rsid w:val="62DE6052"/>
    <w:rsid w:val="62DF1757"/>
    <w:rsid w:val="62DF285B"/>
    <w:rsid w:val="62E03608"/>
    <w:rsid w:val="62FA7330"/>
    <w:rsid w:val="63091321"/>
    <w:rsid w:val="630A2513"/>
    <w:rsid w:val="6322098F"/>
    <w:rsid w:val="632535C7"/>
    <w:rsid w:val="632641AF"/>
    <w:rsid w:val="63270BB7"/>
    <w:rsid w:val="63301F64"/>
    <w:rsid w:val="63405923"/>
    <w:rsid w:val="634B514E"/>
    <w:rsid w:val="634E4F86"/>
    <w:rsid w:val="635E372E"/>
    <w:rsid w:val="637349EC"/>
    <w:rsid w:val="638B28E8"/>
    <w:rsid w:val="638C5AAE"/>
    <w:rsid w:val="63936E3D"/>
    <w:rsid w:val="639B210F"/>
    <w:rsid w:val="63A578CC"/>
    <w:rsid w:val="63A63014"/>
    <w:rsid w:val="63AB2A01"/>
    <w:rsid w:val="63C90A96"/>
    <w:rsid w:val="63D022EC"/>
    <w:rsid w:val="63D77E29"/>
    <w:rsid w:val="63D95197"/>
    <w:rsid w:val="63ED204F"/>
    <w:rsid w:val="63F6704C"/>
    <w:rsid w:val="63F80723"/>
    <w:rsid w:val="64030141"/>
    <w:rsid w:val="64056B25"/>
    <w:rsid w:val="6449123E"/>
    <w:rsid w:val="644A7E43"/>
    <w:rsid w:val="644D16E1"/>
    <w:rsid w:val="645544A8"/>
    <w:rsid w:val="64630CF2"/>
    <w:rsid w:val="64632CB3"/>
    <w:rsid w:val="646709F5"/>
    <w:rsid w:val="64796E21"/>
    <w:rsid w:val="647B3F47"/>
    <w:rsid w:val="648844C8"/>
    <w:rsid w:val="6497295D"/>
    <w:rsid w:val="649A40E6"/>
    <w:rsid w:val="64A43684"/>
    <w:rsid w:val="64AD351B"/>
    <w:rsid w:val="64AF414A"/>
    <w:rsid w:val="64B11C70"/>
    <w:rsid w:val="64B61035"/>
    <w:rsid w:val="64B82FFF"/>
    <w:rsid w:val="64D67929"/>
    <w:rsid w:val="64FB113D"/>
    <w:rsid w:val="65181CEF"/>
    <w:rsid w:val="651A5A67"/>
    <w:rsid w:val="65271F32"/>
    <w:rsid w:val="652F0DE7"/>
    <w:rsid w:val="65491EA9"/>
    <w:rsid w:val="65566374"/>
    <w:rsid w:val="65613696"/>
    <w:rsid w:val="65842224"/>
    <w:rsid w:val="6585261B"/>
    <w:rsid w:val="658F2F2B"/>
    <w:rsid w:val="659C46CE"/>
    <w:rsid w:val="659F41BF"/>
    <w:rsid w:val="659F5F6D"/>
    <w:rsid w:val="65AC068A"/>
    <w:rsid w:val="65B01F28"/>
    <w:rsid w:val="65CF4BB4"/>
    <w:rsid w:val="65D06126"/>
    <w:rsid w:val="65D73FEF"/>
    <w:rsid w:val="65DA6FA5"/>
    <w:rsid w:val="65EE0CA2"/>
    <w:rsid w:val="660B1854"/>
    <w:rsid w:val="6629565E"/>
    <w:rsid w:val="66441FDB"/>
    <w:rsid w:val="66585D7A"/>
    <w:rsid w:val="665B6338"/>
    <w:rsid w:val="66613222"/>
    <w:rsid w:val="6673003C"/>
    <w:rsid w:val="667B2FAE"/>
    <w:rsid w:val="6692162D"/>
    <w:rsid w:val="66B450A8"/>
    <w:rsid w:val="66B91921"/>
    <w:rsid w:val="66C04922"/>
    <w:rsid w:val="66D04A67"/>
    <w:rsid w:val="66D41C46"/>
    <w:rsid w:val="66DC6D4D"/>
    <w:rsid w:val="66E17055"/>
    <w:rsid w:val="66EA3125"/>
    <w:rsid w:val="66F81DD8"/>
    <w:rsid w:val="66F978FF"/>
    <w:rsid w:val="67005961"/>
    <w:rsid w:val="670342D9"/>
    <w:rsid w:val="670E33AA"/>
    <w:rsid w:val="671E7365"/>
    <w:rsid w:val="67226984"/>
    <w:rsid w:val="673D77EB"/>
    <w:rsid w:val="67492FFD"/>
    <w:rsid w:val="674C0924"/>
    <w:rsid w:val="67780823"/>
    <w:rsid w:val="67A41618"/>
    <w:rsid w:val="67A55E99"/>
    <w:rsid w:val="67A97C05"/>
    <w:rsid w:val="67BD3B2C"/>
    <w:rsid w:val="67D54598"/>
    <w:rsid w:val="67DD3913"/>
    <w:rsid w:val="67F027BB"/>
    <w:rsid w:val="67FA4BEF"/>
    <w:rsid w:val="68077DF9"/>
    <w:rsid w:val="68091DC3"/>
    <w:rsid w:val="68302DB0"/>
    <w:rsid w:val="68446DE5"/>
    <w:rsid w:val="68550B65"/>
    <w:rsid w:val="6860573C"/>
    <w:rsid w:val="68774F7F"/>
    <w:rsid w:val="68790CF7"/>
    <w:rsid w:val="687C4343"/>
    <w:rsid w:val="68925915"/>
    <w:rsid w:val="68A37B22"/>
    <w:rsid w:val="68AA5354"/>
    <w:rsid w:val="68B13961"/>
    <w:rsid w:val="68BA2F8D"/>
    <w:rsid w:val="68BA4E6C"/>
    <w:rsid w:val="68C466C4"/>
    <w:rsid w:val="68C67E89"/>
    <w:rsid w:val="68C74156"/>
    <w:rsid w:val="68D66149"/>
    <w:rsid w:val="68E97798"/>
    <w:rsid w:val="69110F2F"/>
    <w:rsid w:val="69124CA8"/>
    <w:rsid w:val="69283D05"/>
    <w:rsid w:val="692D388F"/>
    <w:rsid w:val="69331917"/>
    <w:rsid w:val="69341E28"/>
    <w:rsid w:val="694D5CE0"/>
    <w:rsid w:val="695847ED"/>
    <w:rsid w:val="69690D6B"/>
    <w:rsid w:val="69772181"/>
    <w:rsid w:val="697B3058"/>
    <w:rsid w:val="698060B5"/>
    <w:rsid w:val="698F00A6"/>
    <w:rsid w:val="699315C1"/>
    <w:rsid w:val="69A21516"/>
    <w:rsid w:val="69B55D5F"/>
    <w:rsid w:val="69C04704"/>
    <w:rsid w:val="69C11A8B"/>
    <w:rsid w:val="69DB5C35"/>
    <w:rsid w:val="69F66377"/>
    <w:rsid w:val="6A1D1B56"/>
    <w:rsid w:val="6A1F58CE"/>
    <w:rsid w:val="6A365180"/>
    <w:rsid w:val="6A4964A7"/>
    <w:rsid w:val="6A745822"/>
    <w:rsid w:val="6A755E19"/>
    <w:rsid w:val="6A8C423F"/>
    <w:rsid w:val="6A9516EC"/>
    <w:rsid w:val="6A9C6F1F"/>
    <w:rsid w:val="6A9F07BD"/>
    <w:rsid w:val="6AAA1969"/>
    <w:rsid w:val="6AC30092"/>
    <w:rsid w:val="6AC50223"/>
    <w:rsid w:val="6AC65D4A"/>
    <w:rsid w:val="6ACB4032"/>
    <w:rsid w:val="6AD246EE"/>
    <w:rsid w:val="6AD55F8D"/>
    <w:rsid w:val="6ADC37BF"/>
    <w:rsid w:val="6AE23558"/>
    <w:rsid w:val="6B023882"/>
    <w:rsid w:val="6B146AB5"/>
    <w:rsid w:val="6B1E2C4D"/>
    <w:rsid w:val="6B256F14"/>
    <w:rsid w:val="6B326417"/>
    <w:rsid w:val="6B4214C7"/>
    <w:rsid w:val="6B656486"/>
    <w:rsid w:val="6B673089"/>
    <w:rsid w:val="6B792DBC"/>
    <w:rsid w:val="6B817B6A"/>
    <w:rsid w:val="6B851761"/>
    <w:rsid w:val="6B9D6AAA"/>
    <w:rsid w:val="6BA513C4"/>
    <w:rsid w:val="6BA875E1"/>
    <w:rsid w:val="6BC3086A"/>
    <w:rsid w:val="6BD63835"/>
    <w:rsid w:val="6BE60235"/>
    <w:rsid w:val="6BF84629"/>
    <w:rsid w:val="6C021003"/>
    <w:rsid w:val="6C057DF6"/>
    <w:rsid w:val="6C133210"/>
    <w:rsid w:val="6C270A6A"/>
    <w:rsid w:val="6C30706D"/>
    <w:rsid w:val="6C307222"/>
    <w:rsid w:val="6C3A18E7"/>
    <w:rsid w:val="6C417D7E"/>
    <w:rsid w:val="6C444C2E"/>
    <w:rsid w:val="6C51676E"/>
    <w:rsid w:val="6C537AB1"/>
    <w:rsid w:val="6C5E213C"/>
    <w:rsid w:val="6C743674"/>
    <w:rsid w:val="6C787517"/>
    <w:rsid w:val="6C7A1884"/>
    <w:rsid w:val="6C8639E2"/>
    <w:rsid w:val="6C874CC2"/>
    <w:rsid w:val="6C941C77"/>
    <w:rsid w:val="6C9500C9"/>
    <w:rsid w:val="6C991968"/>
    <w:rsid w:val="6CA65E33"/>
    <w:rsid w:val="6CAC07E5"/>
    <w:rsid w:val="6CCA7D73"/>
    <w:rsid w:val="6CCF6A03"/>
    <w:rsid w:val="6CDD3C12"/>
    <w:rsid w:val="6CE81007"/>
    <w:rsid w:val="6CE81FA7"/>
    <w:rsid w:val="6CFD35A6"/>
    <w:rsid w:val="6D031F04"/>
    <w:rsid w:val="6D07545E"/>
    <w:rsid w:val="6D101D95"/>
    <w:rsid w:val="6D122650"/>
    <w:rsid w:val="6D180706"/>
    <w:rsid w:val="6D1F1741"/>
    <w:rsid w:val="6D57537F"/>
    <w:rsid w:val="6D6A7E15"/>
    <w:rsid w:val="6D8819DC"/>
    <w:rsid w:val="6D8947AA"/>
    <w:rsid w:val="6D974CFC"/>
    <w:rsid w:val="6DA00AD4"/>
    <w:rsid w:val="6DAF7323"/>
    <w:rsid w:val="6DB37973"/>
    <w:rsid w:val="6DB4457F"/>
    <w:rsid w:val="6DB602F7"/>
    <w:rsid w:val="6DC5678C"/>
    <w:rsid w:val="6DCF1F58"/>
    <w:rsid w:val="6DD95D94"/>
    <w:rsid w:val="6DDF532A"/>
    <w:rsid w:val="6DF71B51"/>
    <w:rsid w:val="6E0C43BB"/>
    <w:rsid w:val="6E0F5142"/>
    <w:rsid w:val="6E144C91"/>
    <w:rsid w:val="6E201C15"/>
    <w:rsid w:val="6E20644E"/>
    <w:rsid w:val="6E5436AA"/>
    <w:rsid w:val="6E616EA9"/>
    <w:rsid w:val="6E66399A"/>
    <w:rsid w:val="6E751F61"/>
    <w:rsid w:val="6E761835"/>
    <w:rsid w:val="6E764D25"/>
    <w:rsid w:val="6E7B6E4B"/>
    <w:rsid w:val="6E8D72AA"/>
    <w:rsid w:val="6E8F303F"/>
    <w:rsid w:val="6E962CB7"/>
    <w:rsid w:val="6EAB4077"/>
    <w:rsid w:val="6EB82CA5"/>
    <w:rsid w:val="6EBF31DC"/>
    <w:rsid w:val="6EC6456A"/>
    <w:rsid w:val="6EC922AC"/>
    <w:rsid w:val="6ED2525C"/>
    <w:rsid w:val="6ED37DC2"/>
    <w:rsid w:val="6EE436A4"/>
    <w:rsid w:val="6EF2535F"/>
    <w:rsid w:val="6EFE795B"/>
    <w:rsid w:val="6F0537A5"/>
    <w:rsid w:val="6F0B5578"/>
    <w:rsid w:val="6F152DFC"/>
    <w:rsid w:val="6F541B76"/>
    <w:rsid w:val="6F68718E"/>
    <w:rsid w:val="6F7246F2"/>
    <w:rsid w:val="6F765F90"/>
    <w:rsid w:val="6F795A80"/>
    <w:rsid w:val="6F7D7049"/>
    <w:rsid w:val="6F7E4C49"/>
    <w:rsid w:val="6F975F07"/>
    <w:rsid w:val="6FAD1286"/>
    <w:rsid w:val="6FAD412E"/>
    <w:rsid w:val="6FAF0F4C"/>
    <w:rsid w:val="6FB612E4"/>
    <w:rsid w:val="6FD66A2F"/>
    <w:rsid w:val="6FDB0AF3"/>
    <w:rsid w:val="6FDB4045"/>
    <w:rsid w:val="701C60BF"/>
    <w:rsid w:val="70492C3E"/>
    <w:rsid w:val="70534214"/>
    <w:rsid w:val="706B1809"/>
    <w:rsid w:val="706C2474"/>
    <w:rsid w:val="707C313D"/>
    <w:rsid w:val="708A15C7"/>
    <w:rsid w:val="708C3333"/>
    <w:rsid w:val="70981F36"/>
    <w:rsid w:val="70A27315"/>
    <w:rsid w:val="70DC1E23"/>
    <w:rsid w:val="70DE203F"/>
    <w:rsid w:val="70EB2B6B"/>
    <w:rsid w:val="710719E8"/>
    <w:rsid w:val="710D46D2"/>
    <w:rsid w:val="71251776"/>
    <w:rsid w:val="71327C95"/>
    <w:rsid w:val="71327E66"/>
    <w:rsid w:val="7141532F"/>
    <w:rsid w:val="715220E5"/>
    <w:rsid w:val="71541EF8"/>
    <w:rsid w:val="716360A0"/>
    <w:rsid w:val="717604C9"/>
    <w:rsid w:val="71873385"/>
    <w:rsid w:val="71AC53AC"/>
    <w:rsid w:val="71AF7537"/>
    <w:rsid w:val="71B1539A"/>
    <w:rsid w:val="71C519EE"/>
    <w:rsid w:val="71E7506F"/>
    <w:rsid w:val="71F72C8D"/>
    <w:rsid w:val="71F87130"/>
    <w:rsid w:val="71F9046B"/>
    <w:rsid w:val="71FD55F2"/>
    <w:rsid w:val="71FE343E"/>
    <w:rsid w:val="72010FFF"/>
    <w:rsid w:val="722515A8"/>
    <w:rsid w:val="72253C9E"/>
    <w:rsid w:val="722A4BC2"/>
    <w:rsid w:val="722D13D1"/>
    <w:rsid w:val="722F294A"/>
    <w:rsid w:val="72365116"/>
    <w:rsid w:val="72560E9E"/>
    <w:rsid w:val="72936E59"/>
    <w:rsid w:val="72997147"/>
    <w:rsid w:val="72A63AA2"/>
    <w:rsid w:val="72AE5A41"/>
    <w:rsid w:val="72CC5EC7"/>
    <w:rsid w:val="72E66F89"/>
    <w:rsid w:val="72E81F1B"/>
    <w:rsid w:val="72EC194D"/>
    <w:rsid w:val="72F378F8"/>
    <w:rsid w:val="72FD42D3"/>
    <w:rsid w:val="72FF12A0"/>
    <w:rsid w:val="73142AD7"/>
    <w:rsid w:val="7316264A"/>
    <w:rsid w:val="731F7BD0"/>
    <w:rsid w:val="73223D39"/>
    <w:rsid w:val="733B519B"/>
    <w:rsid w:val="734844B1"/>
    <w:rsid w:val="73504C3F"/>
    <w:rsid w:val="736251E2"/>
    <w:rsid w:val="73685BF0"/>
    <w:rsid w:val="736B518C"/>
    <w:rsid w:val="73A50FC7"/>
    <w:rsid w:val="73B057E9"/>
    <w:rsid w:val="73B07597"/>
    <w:rsid w:val="73BE3A62"/>
    <w:rsid w:val="73CC7D67"/>
    <w:rsid w:val="73DE31E9"/>
    <w:rsid w:val="73F05C78"/>
    <w:rsid w:val="73F12089"/>
    <w:rsid w:val="73F76F74"/>
    <w:rsid w:val="73FB1EB1"/>
    <w:rsid w:val="74084724"/>
    <w:rsid w:val="740A5F00"/>
    <w:rsid w:val="741A2078"/>
    <w:rsid w:val="743D52CE"/>
    <w:rsid w:val="7441134A"/>
    <w:rsid w:val="744A6ED7"/>
    <w:rsid w:val="745323E5"/>
    <w:rsid w:val="74542AF3"/>
    <w:rsid w:val="74562179"/>
    <w:rsid w:val="74576219"/>
    <w:rsid w:val="747B2B41"/>
    <w:rsid w:val="7480340D"/>
    <w:rsid w:val="749173C8"/>
    <w:rsid w:val="74942F01"/>
    <w:rsid w:val="74997160"/>
    <w:rsid w:val="74A0585D"/>
    <w:rsid w:val="74A511E1"/>
    <w:rsid w:val="74B92BD0"/>
    <w:rsid w:val="74C50E20"/>
    <w:rsid w:val="74C719BC"/>
    <w:rsid w:val="74CF1C9F"/>
    <w:rsid w:val="74D06143"/>
    <w:rsid w:val="74FF275B"/>
    <w:rsid w:val="750162FC"/>
    <w:rsid w:val="750D6F09"/>
    <w:rsid w:val="75160541"/>
    <w:rsid w:val="75297601"/>
    <w:rsid w:val="753541F8"/>
    <w:rsid w:val="7538395C"/>
    <w:rsid w:val="754361E3"/>
    <w:rsid w:val="754937FF"/>
    <w:rsid w:val="756D1BE3"/>
    <w:rsid w:val="75722D56"/>
    <w:rsid w:val="75795A4A"/>
    <w:rsid w:val="75840CDB"/>
    <w:rsid w:val="75A120D9"/>
    <w:rsid w:val="75A650F5"/>
    <w:rsid w:val="75A849CA"/>
    <w:rsid w:val="75A86778"/>
    <w:rsid w:val="75A93818"/>
    <w:rsid w:val="75C75A8A"/>
    <w:rsid w:val="75D7232A"/>
    <w:rsid w:val="75D94B83"/>
    <w:rsid w:val="760659A6"/>
    <w:rsid w:val="762322A2"/>
    <w:rsid w:val="7625344D"/>
    <w:rsid w:val="7630040E"/>
    <w:rsid w:val="76335B92"/>
    <w:rsid w:val="76376E35"/>
    <w:rsid w:val="764010A6"/>
    <w:rsid w:val="766308F1"/>
    <w:rsid w:val="766A6123"/>
    <w:rsid w:val="76746FA2"/>
    <w:rsid w:val="768F5B89"/>
    <w:rsid w:val="76AC12BF"/>
    <w:rsid w:val="76B949B4"/>
    <w:rsid w:val="76CA6BC2"/>
    <w:rsid w:val="76DB492B"/>
    <w:rsid w:val="76DD06A3"/>
    <w:rsid w:val="76EA7752"/>
    <w:rsid w:val="76EE28B0"/>
    <w:rsid w:val="770A2A26"/>
    <w:rsid w:val="771B0697"/>
    <w:rsid w:val="77260421"/>
    <w:rsid w:val="772E53A2"/>
    <w:rsid w:val="77324E93"/>
    <w:rsid w:val="77383B2B"/>
    <w:rsid w:val="776B2153"/>
    <w:rsid w:val="77721B10"/>
    <w:rsid w:val="777A5EEA"/>
    <w:rsid w:val="77A57CD5"/>
    <w:rsid w:val="77CD43F6"/>
    <w:rsid w:val="77D0645A"/>
    <w:rsid w:val="77D165D2"/>
    <w:rsid w:val="77DA1086"/>
    <w:rsid w:val="77DB0F12"/>
    <w:rsid w:val="77E6160F"/>
    <w:rsid w:val="77F42148"/>
    <w:rsid w:val="780A196C"/>
    <w:rsid w:val="78103538"/>
    <w:rsid w:val="781D05EA"/>
    <w:rsid w:val="78232A2D"/>
    <w:rsid w:val="783E7867"/>
    <w:rsid w:val="78434E7D"/>
    <w:rsid w:val="784A1D68"/>
    <w:rsid w:val="784D1858"/>
    <w:rsid w:val="78511348"/>
    <w:rsid w:val="785D0119"/>
    <w:rsid w:val="78615304"/>
    <w:rsid w:val="7861768C"/>
    <w:rsid w:val="78632B8F"/>
    <w:rsid w:val="78802FD2"/>
    <w:rsid w:val="789F76B7"/>
    <w:rsid w:val="78B72688"/>
    <w:rsid w:val="78BD4DEE"/>
    <w:rsid w:val="78BE4504"/>
    <w:rsid w:val="78C76231"/>
    <w:rsid w:val="78CA10FB"/>
    <w:rsid w:val="78CF6711"/>
    <w:rsid w:val="78D947FC"/>
    <w:rsid w:val="78DC186E"/>
    <w:rsid w:val="790A315A"/>
    <w:rsid w:val="79197802"/>
    <w:rsid w:val="791D0032"/>
    <w:rsid w:val="79346574"/>
    <w:rsid w:val="793E7AA7"/>
    <w:rsid w:val="79501926"/>
    <w:rsid w:val="79520420"/>
    <w:rsid w:val="79604D37"/>
    <w:rsid w:val="796C21B2"/>
    <w:rsid w:val="79786DA9"/>
    <w:rsid w:val="79831CE3"/>
    <w:rsid w:val="79872BC4"/>
    <w:rsid w:val="79A212CC"/>
    <w:rsid w:val="79A722B9"/>
    <w:rsid w:val="79B17BC5"/>
    <w:rsid w:val="79B53B59"/>
    <w:rsid w:val="79BB7D58"/>
    <w:rsid w:val="79C142AC"/>
    <w:rsid w:val="79CB24E1"/>
    <w:rsid w:val="79E65AC0"/>
    <w:rsid w:val="79EB1329"/>
    <w:rsid w:val="7A03606C"/>
    <w:rsid w:val="7A195E96"/>
    <w:rsid w:val="7A1A39BC"/>
    <w:rsid w:val="7A212F9C"/>
    <w:rsid w:val="7A2E4722"/>
    <w:rsid w:val="7A490096"/>
    <w:rsid w:val="7A4A33DA"/>
    <w:rsid w:val="7A4F5FC2"/>
    <w:rsid w:val="7A523156"/>
    <w:rsid w:val="7A792DD8"/>
    <w:rsid w:val="7A831561"/>
    <w:rsid w:val="7AA240DD"/>
    <w:rsid w:val="7AAC7EE0"/>
    <w:rsid w:val="7ACF0C4A"/>
    <w:rsid w:val="7AE00762"/>
    <w:rsid w:val="7B046B46"/>
    <w:rsid w:val="7B0F10EF"/>
    <w:rsid w:val="7B116B6D"/>
    <w:rsid w:val="7B1B2D7A"/>
    <w:rsid w:val="7B1D19B6"/>
    <w:rsid w:val="7B203254"/>
    <w:rsid w:val="7B252618"/>
    <w:rsid w:val="7B29035B"/>
    <w:rsid w:val="7B2965AD"/>
    <w:rsid w:val="7B2F3497"/>
    <w:rsid w:val="7B3135F0"/>
    <w:rsid w:val="7B3D01B3"/>
    <w:rsid w:val="7B3F6659"/>
    <w:rsid w:val="7B415828"/>
    <w:rsid w:val="7B4707E1"/>
    <w:rsid w:val="7B4849E6"/>
    <w:rsid w:val="7B4C5E9A"/>
    <w:rsid w:val="7B4F4151"/>
    <w:rsid w:val="7B4F73D3"/>
    <w:rsid w:val="7B5A6470"/>
    <w:rsid w:val="7B5B0730"/>
    <w:rsid w:val="7B71246B"/>
    <w:rsid w:val="7B7431A1"/>
    <w:rsid w:val="7B9621A7"/>
    <w:rsid w:val="7BAC5B48"/>
    <w:rsid w:val="7BAE260E"/>
    <w:rsid w:val="7BBA7205"/>
    <w:rsid w:val="7BBC2F7D"/>
    <w:rsid w:val="7BD1454E"/>
    <w:rsid w:val="7BE6143F"/>
    <w:rsid w:val="7BE61DA8"/>
    <w:rsid w:val="7BE91898"/>
    <w:rsid w:val="7BF859D9"/>
    <w:rsid w:val="7C096C11"/>
    <w:rsid w:val="7C2D3E7B"/>
    <w:rsid w:val="7C4217C6"/>
    <w:rsid w:val="7C490589"/>
    <w:rsid w:val="7C4B002A"/>
    <w:rsid w:val="7C58454B"/>
    <w:rsid w:val="7C58728C"/>
    <w:rsid w:val="7C6333F8"/>
    <w:rsid w:val="7C650C8D"/>
    <w:rsid w:val="7C6D24C9"/>
    <w:rsid w:val="7C6D4277"/>
    <w:rsid w:val="7C730498"/>
    <w:rsid w:val="7C742E5E"/>
    <w:rsid w:val="7C9A0DE4"/>
    <w:rsid w:val="7C9B7181"/>
    <w:rsid w:val="7C9F63FA"/>
    <w:rsid w:val="7CBA0E63"/>
    <w:rsid w:val="7CBA7331"/>
    <w:rsid w:val="7CBC6DB4"/>
    <w:rsid w:val="7CD12A58"/>
    <w:rsid w:val="7CD57E7F"/>
    <w:rsid w:val="7CD95DB0"/>
    <w:rsid w:val="7CE16A13"/>
    <w:rsid w:val="7CE57392"/>
    <w:rsid w:val="7CE65DD7"/>
    <w:rsid w:val="7CF14EA8"/>
    <w:rsid w:val="7CFD49B9"/>
    <w:rsid w:val="7D0C6784"/>
    <w:rsid w:val="7D23702C"/>
    <w:rsid w:val="7D344D95"/>
    <w:rsid w:val="7D380D29"/>
    <w:rsid w:val="7D3D2CD6"/>
    <w:rsid w:val="7D3F4C90"/>
    <w:rsid w:val="7D4A0862"/>
    <w:rsid w:val="7D4A45B8"/>
    <w:rsid w:val="7D5B4A17"/>
    <w:rsid w:val="7D651BC1"/>
    <w:rsid w:val="7D843F76"/>
    <w:rsid w:val="7D891584"/>
    <w:rsid w:val="7D9B3066"/>
    <w:rsid w:val="7D9B51F4"/>
    <w:rsid w:val="7DA41F1A"/>
    <w:rsid w:val="7DA94981"/>
    <w:rsid w:val="7DC12B47"/>
    <w:rsid w:val="7DC223A1"/>
    <w:rsid w:val="7DD0308E"/>
    <w:rsid w:val="7DD547CA"/>
    <w:rsid w:val="7DD86068"/>
    <w:rsid w:val="7DDE662A"/>
    <w:rsid w:val="7DE40569"/>
    <w:rsid w:val="7DFB58B2"/>
    <w:rsid w:val="7E0F3DD1"/>
    <w:rsid w:val="7E2022C2"/>
    <w:rsid w:val="7E2A1371"/>
    <w:rsid w:val="7E2B43EA"/>
    <w:rsid w:val="7E327526"/>
    <w:rsid w:val="7E676FEC"/>
    <w:rsid w:val="7E7A0ECD"/>
    <w:rsid w:val="7E7B3547"/>
    <w:rsid w:val="7E867872"/>
    <w:rsid w:val="7E8A1F33"/>
    <w:rsid w:val="7E957AB5"/>
    <w:rsid w:val="7EB008FC"/>
    <w:rsid w:val="7EB73ECF"/>
    <w:rsid w:val="7EBF6D3B"/>
    <w:rsid w:val="7EC81C39"/>
    <w:rsid w:val="7EE0405C"/>
    <w:rsid w:val="7EEA7E01"/>
    <w:rsid w:val="7F005876"/>
    <w:rsid w:val="7F196938"/>
    <w:rsid w:val="7F370B6C"/>
    <w:rsid w:val="7F3C40B5"/>
    <w:rsid w:val="7F3C493D"/>
    <w:rsid w:val="7F402117"/>
    <w:rsid w:val="7F4E65E2"/>
    <w:rsid w:val="7F5C4873"/>
    <w:rsid w:val="7F5C7C4C"/>
    <w:rsid w:val="7F731AA8"/>
    <w:rsid w:val="7F78540D"/>
    <w:rsid w:val="7F792F33"/>
    <w:rsid w:val="7F8848D0"/>
    <w:rsid w:val="7F8A44B7"/>
    <w:rsid w:val="7F8B3E8E"/>
    <w:rsid w:val="7F9C18AD"/>
    <w:rsid w:val="7F9D1317"/>
    <w:rsid w:val="7FB1091F"/>
    <w:rsid w:val="7FC7088B"/>
    <w:rsid w:val="7FCC39AA"/>
    <w:rsid w:val="7FCC7937"/>
    <w:rsid w:val="7FEA5BDF"/>
    <w:rsid w:val="7FF76C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kinsoku w:val="0"/>
      <w:wordWrap/>
      <w:overflowPunct/>
      <w:topLinePunct w:val="0"/>
      <w:autoSpaceDE/>
      <w:autoSpaceDN/>
      <w:bidi w:val="0"/>
      <w:adjustRightInd w:val="0"/>
      <w:snapToGrid w:val="0"/>
      <w:spacing w:line="560" w:lineRule="exact"/>
      <w:ind w:firstLine="592" w:firstLineChars="200"/>
      <w:jc w:val="left"/>
      <w:textAlignment w:val="baseline"/>
    </w:pPr>
    <w:rPr>
      <w:rFonts w:ascii="宋体" w:hAnsi="宋体" w:eastAsia="宋体" w:cs="Times New Roman"/>
      <w:snapToGrid w:val="0"/>
      <w:color w:val="auto"/>
      <w:spacing w:val="0"/>
      <w:kern w:val="0"/>
      <w:sz w:val="28"/>
      <w:szCs w:val="28"/>
      <w:lang w:val="en-US" w:eastAsia="zh-CN"/>
    </w:rPr>
  </w:style>
  <w:style w:type="paragraph" w:styleId="2">
    <w:name w:val="heading 1"/>
    <w:basedOn w:val="1"/>
    <w:next w:val="1"/>
    <w:link w:val="23"/>
    <w:qFormat/>
    <w:uiPriority w:val="0"/>
    <w:pPr>
      <w:keepNext/>
      <w:keepLines/>
      <w:spacing w:beforeLines="0" w:beforeAutospacing="0" w:afterLines="0" w:afterAutospacing="0" w:line="560" w:lineRule="exact"/>
      <w:ind w:firstLine="0" w:firstLineChars="0"/>
      <w:outlineLvl w:val="0"/>
    </w:pPr>
    <w:rPr>
      <w:rFonts w:ascii="宋体" w:hAnsi="宋体" w:eastAsia="宋体"/>
      <w:b/>
      <w:kern w:val="44"/>
      <w:sz w:val="28"/>
    </w:rPr>
  </w:style>
  <w:style w:type="paragraph" w:styleId="3">
    <w:name w:val="heading 2"/>
    <w:basedOn w:val="1"/>
    <w:next w:val="1"/>
    <w:unhideWhenUsed/>
    <w:qFormat/>
    <w:uiPriority w:val="0"/>
    <w:pPr>
      <w:keepNext/>
      <w:keepLines/>
      <w:spacing w:before="0" w:beforeLines="0" w:beforeAutospacing="0" w:after="0" w:afterLines="0" w:afterAutospacing="0" w:line="560" w:lineRule="exact"/>
      <w:ind w:firstLine="0" w:firstLineChars="0"/>
      <w:outlineLvl w:val="1"/>
    </w:pPr>
    <w:rPr>
      <w:rFonts w:ascii="Arial" w:hAnsi="Arial" w:eastAsia="宋体"/>
      <w:b/>
    </w:rPr>
  </w:style>
  <w:style w:type="paragraph" w:styleId="4">
    <w:name w:val="heading 3"/>
    <w:basedOn w:val="1"/>
    <w:next w:val="1"/>
    <w:link w:val="24"/>
    <w:unhideWhenUsed/>
    <w:qFormat/>
    <w:uiPriority w:val="0"/>
    <w:pPr>
      <w:kinsoku/>
      <w:autoSpaceDE w:val="0"/>
      <w:autoSpaceDN w:val="0"/>
      <w:adjustRightInd/>
      <w:snapToGrid/>
      <w:spacing w:beforeLines="0" w:afterLines="0" w:line="560" w:lineRule="exact"/>
      <w:ind w:firstLine="0" w:firstLineChars="0"/>
      <w:textAlignment w:val="auto"/>
      <w:outlineLvl w:val="2"/>
    </w:pPr>
    <w:rPr>
      <w:rFonts w:ascii="Arial" w:hAnsi="Arial" w:eastAsia="宋体"/>
      <w:b/>
    </w:rPr>
  </w:style>
  <w:style w:type="paragraph" w:styleId="5">
    <w:name w:val="heading 4"/>
    <w:basedOn w:val="1"/>
    <w:next w:val="1"/>
    <w:link w:val="30"/>
    <w:unhideWhenUsed/>
    <w:qFormat/>
    <w:uiPriority w:val="0"/>
    <w:pPr>
      <w:keepNext/>
      <w:keepLines/>
      <w:spacing w:before="0" w:beforeLines="0" w:beforeAutospacing="0" w:after="0" w:afterLines="0" w:afterAutospacing="0" w:line="560" w:lineRule="exact"/>
      <w:ind w:firstLine="0" w:firstLineChars="0"/>
      <w:outlineLvl w:val="3"/>
    </w:pPr>
    <w:rPr>
      <w:rFonts w:ascii="Arial" w:hAnsi="Arial" w:eastAsia="宋体"/>
      <w:b/>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Body Text Indent"/>
    <w:basedOn w:val="1"/>
    <w:next w:val="8"/>
    <w:qFormat/>
    <w:uiPriority w:val="0"/>
    <w:pPr>
      <w:ind w:firstLine="479" w:firstLineChars="171"/>
    </w:pPr>
    <w:rPr>
      <w:rFonts w:ascii="宋体" w:hAnsi="宋体"/>
      <w:color w:val="000000"/>
      <w:szCs w:val="28"/>
    </w:rPr>
  </w:style>
  <w:style w:type="paragraph" w:styleId="10">
    <w:name w:val="toc 3"/>
    <w:basedOn w:val="1"/>
    <w:next w:val="1"/>
    <w:qFormat/>
    <w:uiPriority w:val="0"/>
    <w:pPr>
      <w:ind w:left="840" w:leftChars="400"/>
    </w:pPr>
  </w:style>
  <w:style w:type="paragraph" w:styleId="11">
    <w:name w:val="Plain Text"/>
    <w:basedOn w:val="1"/>
    <w:qFormat/>
    <w:uiPriority w:val="0"/>
    <w:pPr>
      <w:spacing w:line="480" w:lineRule="exact"/>
      <w:ind w:firstLine="560" w:firstLineChars="200"/>
    </w:pPr>
    <w:rPr>
      <w:rFonts w:ascii="宋体" w:cs="Courier New"/>
      <w:szCs w:val="2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1"/>
    <w:qFormat/>
    <w:uiPriority w:val="0"/>
    <w:pPr>
      <w:tabs>
        <w:tab w:val="left" w:pos="1260"/>
      </w:tabs>
      <w:spacing w:after="120" w:line="240" w:lineRule="auto"/>
      <w:ind w:left="420" w:leftChars="200" w:firstLine="420"/>
      <w:textAlignment w:val="auto"/>
    </w:pPr>
    <w:rPr>
      <w:rFonts w:eastAsia="宋体"/>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customStyle="1" w:styleId="23">
    <w:name w:val="标题 1 Char"/>
    <w:link w:val="2"/>
    <w:qFormat/>
    <w:uiPriority w:val="0"/>
    <w:rPr>
      <w:rFonts w:ascii="宋体" w:hAnsi="宋体" w:eastAsia="宋体"/>
      <w:b/>
      <w:kern w:val="44"/>
      <w:sz w:val="28"/>
    </w:rPr>
  </w:style>
  <w:style w:type="character" w:customStyle="1" w:styleId="24">
    <w:name w:val="标题 3 Char"/>
    <w:link w:val="4"/>
    <w:qFormat/>
    <w:uiPriority w:val="0"/>
    <w:rPr>
      <w:rFonts w:ascii="Arial" w:hAnsi="Arial" w:eastAsia="宋体" w:cs="宋体"/>
      <w:b/>
      <w:snapToGrid w:val="0"/>
      <w:color w:val="auto"/>
      <w:spacing w:val="8"/>
      <w:kern w:val="0"/>
      <w:sz w:val="28"/>
      <w:szCs w:val="28"/>
      <w:lang w:val="en-US" w:eastAsia="zh-CN"/>
    </w:rPr>
  </w:style>
  <w:style w:type="paragraph" w:customStyle="1" w:styleId="25">
    <w:name w:val="样式 宋体 小四 行距: 22 磅"/>
    <w:basedOn w:val="1"/>
    <w:qFormat/>
    <w:uiPriority w:val="0"/>
    <w:rPr>
      <w:rFonts w:ascii="宋体" w:hAnsi="宋体" w:cs="宋体"/>
      <w:szCs w:val="20"/>
    </w:rPr>
  </w:style>
  <w:style w:type="paragraph" w:customStyle="1" w:styleId="26">
    <w:name w:val="首行缩进"/>
    <w:basedOn w:val="1"/>
    <w:qFormat/>
    <w:uiPriority w:val="0"/>
    <w:pPr>
      <w:spacing w:line="360" w:lineRule="auto"/>
      <w:ind w:firstLine="480" w:firstLineChars="200"/>
    </w:pPr>
    <w:rPr>
      <w:rFonts w:ascii="宋体" w:hAnsi="宋体" w:cs="宋体"/>
      <w:kern w:val="0"/>
      <w:sz w:val="24"/>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WPSOffice手动目录 1"/>
    <w:qFormat/>
    <w:uiPriority w:val="0"/>
    <w:pPr>
      <w:ind w:leftChars="0"/>
    </w:pPr>
    <w:rPr>
      <w:rFonts w:ascii="Arial" w:hAnsi="Arial" w:eastAsia="Arial" w:cs="Arial"/>
      <w:sz w:val="20"/>
      <w:szCs w:val="20"/>
    </w:rPr>
  </w:style>
  <w:style w:type="paragraph" w:customStyle="1" w:styleId="29">
    <w:name w:val="WPSOffice手动目录 2"/>
    <w:qFormat/>
    <w:uiPriority w:val="0"/>
    <w:pPr>
      <w:ind w:leftChars="200"/>
    </w:pPr>
    <w:rPr>
      <w:rFonts w:ascii="Arial" w:hAnsi="Arial" w:eastAsia="Arial" w:cs="Arial"/>
      <w:sz w:val="20"/>
      <w:szCs w:val="20"/>
    </w:rPr>
  </w:style>
  <w:style w:type="character" w:customStyle="1" w:styleId="30">
    <w:name w:val="标题 4 Char"/>
    <w:link w:val="5"/>
    <w:qFormat/>
    <w:uiPriority w:val="0"/>
    <w:rPr>
      <w:rFonts w:ascii="Arial" w:hAnsi="Arial" w:eastAsia="宋体"/>
      <w:b/>
      <w:sz w:val="28"/>
    </w:rPr>
  </w:style>
  <w:style w:type="paragraph" w:customStyle="1" w:styleId="31">
    <w:name w:val=" Char Char1 Char Char Char Char"/>
    <w:basedOn w:val="1"/>
    <w:qFormat/>
    <w:uiPriority w:val="0"/>
    <w:rPr>
      <w:rFonts w:ascii="Verdana" w:hAnsi="Verdana" w:eastAsia="仿宋_GB2312"/>
      <w:kern w:val="0"/>
      <w:sz w:val="24"/>
      <w:szCs w:val="20"/>
      <w:lang w:eastAsia="en-US"/>
    </w:rPr>
  </w:style>
  <w:style w:type="paragraph" w:customStyle="1" w:styleId="32">
    <w:name w:val="WPSOffice手动目录 3"/>
    <w:qFormat/>
    <w:uiPriority w:val="0"/>
    <w:pPr>
      <w:ind w:leftChars="400"/>
    </w:pPr>
    <w:rPr>
      <w:rFonts w:ascii="Times New Roman" w:hAnsi="Times New Roman" w:eastAsia="宋体" w:cs="Times New Roman"/>
      <w:sz w:val="20"/>
      <w:szCs w:val="20"/>
    </w:rPr>
  </w:style>
  <w:style w:type="character" w:customStyle="1" w:styleId="33">
    <w:name w:val="font31"/>
    <w:basedOn w:val="20"/>
    <w:qFormat/>
    <w:uiPriority w:val="0"/>
    <w:rPr>
      <w:rFonts w:ascii="MS PGothic" w:hAnsi="MS PGothic" w:eastAsia="MS PGothic" w:cs="MS PGothic"/>
      <w:color w:val="000000"/>
      <w:sz w:val="21"/>
      <w:szCs w:val="21"/>
      <w:u w:val="none"/>
    </w:rPr>
  </w:style>
  <w:style w:type="character" w:customStyle="1" w:styleId="34">
    <w:name w:val="font21"/>
    <w:basedOn w:val="20"/>
    <w:qFormat/>
    <w:uiPriority w:val="0"/>
    <w:rPr>
      <w:rFonts w:hint="eastAsia" w:ascii="MS PGothic" w:hAnsi="MS PGothic" w:eastAsia="MS PGothic" w:cs="MS PGothic"/>
      <w:color w:val="000000"/>
      <w:sz w:val="21"/>
      <w:szCs w:val="21"/>
      <w:u w:val="none"/>
      <w:vertAlign w:val="superscript"/>
    </w:rPr>
  </w:style>
  <w:style w:type="character" w:customStyle="1" w:styleId="35">
    <w:name w:val="font11"/>
    <w:basedOn w:val="20"/>
    <w:qFormat/>
    <w:uiPriority w:val="0"/>
    <w:rPr>
      <w:rFonts w:hint="eastAsia" w:ascii="宋体" w:hAnsi="宋体" w:eastAsia="宋体" w:cs="宋体"/>
      <w:color w:val="000000"/>
      <w:sz w:val="21"/>
      <w:szCs w:val="21"/>
      <w:u w:val="none"/>
    </w:rPr>
  </w:style>
  <w:style w:type="paragraph" w:customStyle="1" w:styleId="36">
    <w:name w:val=" Char Char Char Char Char Char Char"/>
    <w:basedOn w:val="1"/>
    <w:qFormat/>
    <w:uiPriority w:val="0"/>
    <w:pPr>
      <w:widowControl/>
      <w:spacing w:after="160" w:line="240" w:lineRule="exact"/>
      <w:jc w:val="left"/>
    </w:pPr>
    <w:rPr>
      <w:sz w:val="21"/>
    </w:rPr>
  </w:style>
  <w:style w:type="paragraph" w:customStyle="1" w:styleId="37">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普通正文"/>
    <w:basedOn w:val="1"/>
    <w:qFormat/>
    <w:uiPriority w:val="99"/>
    <w:pPr>
      <w:widowControl/>
      <w:spacing w:line="360" w:lineRule="auto"/>
      <w:jc w:val="left"/>
    </w:pPr>
    <w:rPr>
      <w:color w:val="000000"/>
    </w:rPr>
  </w:style>
  <w:style w:type="paragraph" w:customStyle="1" w:styleId="39">
    <w:name w:val="Default"/>
    <w:unhideWhenUsed/>
    <w:qFormat/>
    <w:uiPriority w:val="99"/>
    <w:pPr>
      <w:widowControl w:val="0"/>
      <w:autoSpaceDE w:val="0"/>
      <w:autoSpaceDN w:val="0"/>
      <w:adjustRightInd w:val="0"/>
    </w:pPr>
    <w:rPr>
      <w:rFonts w:hint="eastAsia" w:ascii="宋体" w:hAnsi="宋体" w:eastAsia="宋体" w:cs="Times New Roman"/>
      <w:color w:val="000000"/>
      <w:sz w:val="24"/>
      <w:szCs w:val="24"/>
      <w:lang w:val="en-US" w:eastAsia="zh-CN" w:bidi="ar-SA"/>
    </w:rPr>
  </w:style>
  <w:style w:type="paragraph" w:customStyle="1" w:styleId="40">
    <w:name w:val="A正文"/>
    <w:basedOn w:val="1"/>
    <w:qFormat/>
    <w:uiPriority w:val="0"/>
    <w:pPr>
      <w:spacing w:line="360" w:lineRule="auto"/>
      <w:ind w:firstLine="200" w:firstLineChars="200"/>
    </w:pPr>
    <w:rPr>
      <w:rFonts w:ascii="仿宋_GB2312" w:hAnsi="黑体" w:cs="宋体"/>
      <w:kern w:val="0"/>
      <w:sz w:val="24"/>
    </w:rPr>
  </w:style>
  <w:style w:type="paragraph" w:customStyle="1" w:styleId="41">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140</Pages>
  <Words>11069</Words>
  <Characters>13837</Characters>
  <TotalTime>2</TotalTime>
  <ScaleCrop>false</ScaleCrop>
  <LinksUpToDate>false</LinksUpToDate>
  <CharactersWithSpaces>14960</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2023-03-10T06:57:00Z</dcterms:created>
  <dc:creator>Administrator</dc:creator>
  <cp:lastModifiedBy>钟志宏</cp:lastModifiedBy>
  <cp:lastPrinted>2026-04-14T02:18:00Z</cp:lastPrinted>
  <dcterms:modified xsi:type="dcterms:W3CDTF">2026-06-04T02:02:06Z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2023-03-09T19:14:28Z</vt:filetime>
  </property>
  <property fmtid="{D5CDD505-2E9C-101B-9397-08002B2CF9AE}" pid="4" name="KSOProductBuildVer">
    <vt:lpwstr>2052-12.1.0.23542</vt:lpwstr>
  </property>
  <property fmtid="{D5CDD505-2E9C-101B-9397-08002B2CF9AE}" pid="5" name="ICV">
    <vt:lpwstr>2049C54D1C9C4DFC909E3E698F53E609_13</vt:lpwstr>
  </property>
  <property fmtid="{D5CDD505-2E9C-101B-9397-08002B2CF9AE}" pid="6" name="KSOTemplateDocerSaveRecord">
    <vt:lpwstr>eyJoZGlkIjoiYjg5MjRmNTYxNTcxNzBmMjYzNjUyMzg3M2QwOTZiMTkiLCJ1c2VySWQiOiIxNDc5NjE0NTU2In0=</vt:lpwstr>
  </property>
</Properties>
</file>