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E5B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color w:val="auto"/>
          <w:sz w:val="44"/>
          <w:szCs w:val="44"/>
          <w:lang w:val="en-US" w:eastAsia="zh-CN"/>
        </w:rPr>
      </w:pPr>
    </w:p>
    <w:p w14:paraId="362B2D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color w:val="auto"/>
          <w:sz w:val="44"/>
          <w:szCs w:val="44"/>
          <w:lang w:val="en-US" w:eastAsia="zh-CN"/>
        </w:rPr>
      </w:pPr>
    </w:p>
    <w:p w14:paraId="74EB56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color w:val="auto"/>
          <w:sz w:val="44"/>
          <w:szCs w:val="44"/>
        </w:rPr>
      </w:pPr>
    </w:p>
    <w:p w14:paraId="0BE29BF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color w:val="auto"/>
          <w:sz w:val="48"/>
          <w:szCs w:val="48"/>
        </w:rPr>
      </w:pPr>
      <w:r>
        <w:rPr>
          <w:rFonts w:hint="eastAsia"/>
          <w:b/>
          <w:color w:val="auto"/>
          <w:sz w:val="48"/>
          <w:szCs w:val="48"/>
        </w:rPr>
        <w:t>鄱阳县金义矿产有限公司</w:t>
      </w:r>
    </w:p>
    <w:p w14:paraId="0754CB8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b/>
          <w:color w:val="auto"/>
          <w:sz w:val="48"/>
          <w:szCs w:val="48"/>
          <w:lang w:eastAsia="zh-CN"/>
        </w:rPr>
      </w:pPr>
      <w:r>
        <w:rPr>
          <w:rFonts w:hint="eastAsia" w:cs="Times New Roman"/>
          <w:b/>
          <w:color w:val="auto"/>
          <w:sz w:val="48"/>
          <w:szCs w:val="48"/>
          <w:lang w:eastAsia="zh-CN"/>
        </w:rPr>
        <w:t>鄱阳县响水滩乡禾互山建筑用石料矿</w:t>
      </w:r>
    </w:p>
    <w:p w14:paraId="652EABA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eastAsia="黑体"/>
          <w:b/>
          <w:color w:val="auto"/>
          <w:sz w:val="52"/>
          <w:szCs w:val="52"/>
        </w:rPr>
      </w:pPr>
      <w:r>
        <w:rPr>
          <w:rFonts w:hint="eastAsia" w:eastAsia="黑体"/>
          <w:b/>
          <w:color w:val="auto"/>
          <w:sz w:val="52"/>
          <w:szCs w:val="52"/>
        </w:rPr>
        <w:t>安全现状评价报告</w:t>
      </w:r>
    </w:p>
    <w:p w14:paraId="579F55C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auto"/>
          <w:sz w:val="44"/>
          <w:szCs w:val="44"/>
        </w:rPr>
      </w:pPr>
      <w:r>
        <w:rPr>
          <w:rFonts w:hint="eastAsia" w:eastAsia="黑体"/>
          <w:b/>
          <w:color w:val="auto"/>
          <w:sz w:val="44"/>
          <w:szCs w:val="44"/>
        </w:rPr>
        <w:t>（</w:t>
      </w:r>
      <w:r>
        <w:rPr>
          <w:rFonts w:hint="eastAsia" w:eastAsia="黑体"/>
          <w:b/>
          <w:color w:val="auto"/>
          <w:sz w:val="44"/>
          <w:szCs w:val="44"/>
          <w:lang w:val="en-US" w:eastAsia="zh-CN"/>
        </w:rPr>
        <w:t>终稿</w:t>
      </w:r>
      <w:r>
        <w:rPr>
          <w:rFonts w:hint="eastAsia" w:eastAsia="黑体"/>
          <w:b/>
          <w:color w:val="auto"/>
          <w:sz w:val="44"/>
          <w:szCs w:val="44"/>
        </w:rPr>
        <w:t>）</w:t>
      </w:r>
    </w:p>
    <w:p w14:paraId="2761FE6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auto"/>
          <w:sz w:val="52"/>
          <w:szCs w:val="52"/>
        </w:rPr>
      </w:pPr>
    </w:p>
    <w:p w14:paraId="2A0EF81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eastAsia="黑体"/>
          <w:b/>
          <w:color w:val="auto"/>
          <w:sz w:val="52"/>
          <w:szCs w:val="52"/>
        </w:rPr>
      </w:pPr>
    </w:p>
    <w:p w14:paraId="1B48CE1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eastAsia="黑体"/>
          <w:b/>
          <w:color w:val="auto"/>
          <w:sz w:val="52"/>
          <w:szCs w:val="52"/>
        </w:rPr>
      </w:pPr>
    </w:p>
    <w:p w14:paraId="64239F7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eastAsia="黑体"/>
          <w:b/>
          <w:color w:val="auto"/>
          <w:sz w:val="52"/>
          <w:szCs w:val="52"/>
        </w:rPr>
      </w:pPr>
    </w:p>
    <w:p w14:paraId="539E547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bCs/>
          <w:color w:val="auto"/>
          <w:sz w:val="44"/>
        </w:rPr>
      </w:pPr>
    </w:p>
    <w:p w14:paraId="393A3A8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rPr>
      </w:pPr>
    </w:p>
    <w:p w14:paraId="0F2AADD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b/>
          <w:bCs/>
          <w:color w:val="auto"/>
          <w:sz w:val="44"/>
        </w:rPr>
      </w:pPr>
      <w:r>
        <w:rPr>
          <w:b/>
          <w:bCs/>
          <w:color w:val="auto"/>
          <w:sz w:val="44"/>
        </w:rPr>
        <w:t>江西赣安安全生产科学技术咨询服务中心</w:t>
      </w:r>
    </w:p>
    <w:p w14:paraId="0DEE1DA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bCs/>
          <w:color w:val="auto"/>
          <w:sz w:val="32"/>
        </w:rPr>
      </w:pPr>
      <w:r>
        <w:rPr>
          <w:rFonts w:hint="eastAsia"/>
          <w:b/>
          <w:bCs/>
          <w:color w:val="auto"/>
          <w:sz w:val="32"/>
        </w:rPr>
        <w:t>资质证书编号：</w:t>
      </w:r>
      <w:r>
        <w:rPr>
          <w:b/>
          <w:bCs/>
          <w:color w:val="auto"/>
          <w:sz w:val="32"/>
        </w:rPr>
        <w:t>APJ</w:t>
      </w:r>
      <w:r>
        <w:rPr>
          <w:rFonts w:hint="eastAsia"/>
          <w:b/>
          <w:bCs/>
          <w:color w:val="auto"/>
          <w:sz w:val="32"/>
        </w:rPr>
        <w:t>-（赣）-002</w:t>
      </w:r>
    </w:p>
    <w:p w14:paraId="0A5A6D9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Ansi="宋体"/>
          <w:b/>
          <w:bCs/>
          <w:color w:val="auto"/>
          <w:sz w:val="32"/>
        </w:rPr>
      </w:pPr>
      <w:r>
        <w:rPr>
          <w:rFonts w:hint="eastAsia" w:hAnsi="宋体"/>
          <w:b/>
          <w:bCs/>
          <w:color w:val="auto"/>
          <w:sz w:val="32"/>
        </w:rPr>
        <w:t>202</w:t>
      </w:r>
      <w:r>
        <w:rPr>
          <w:rFonts w:hint="eastAsia" w:hAnsi="宋体"/>
          <w:b/>
          <w:bCs/>
          <w:color w:val="auto"/>
          <w:sz w:val="32"/>
          <w:lang w:val="en-US" w:eastAsia="zh-CN"/>
        </w:rPr>
        <w:t>6</w:t>
      </w:r>
      <w:r>
        <w:rPr>
          <w:rFonts w:hAnsi="宋体"/>
          <w:b/>
          <w:bCs/>
          <w:color w:val="auto"/>
          <w:sz w:val="32"/>
        </w:rPr>
        <w:t>年</w:t>
      </w:r>
      <w:r>
        <w:rPr>
          <w:rFonts w:hint="eastAsia" w:hAnsi="宋体"/>
          <w:b/>
          <w:bCs/>
          <w:color w:val="auto"/>
          <w:sz w:val="32"/>
          <w:lang w:val="en-US" w:eastAsia="zh-CN"/>
        </w:rPr>
        <w:t>5</w:t>
      </w:r>
      <w:r>
        <w:rPr>
          <w:rFonts w:hAnsi="宋体"/>
          <w:b/>
          <w:bCs/>
          <w:color w:val="auto"/>
          <w:sz w:val="32"/>
        </w:rPr>
        <w:t>月</w:t>
      </w:r>
      <w:r>
        <w:rPr>
          <w:rFonts w:hint="eastAsia" w:hAnsi="宋体"/>
          <w:b/>
          <w:bCs/>
          <w:color w:val="auto"/>
          <w:sz w:val="32"/>
          <w:lang w:val="en-US" w:eastAsia="zh-CN"/>
        </w:rPr>
        <w:t>18</w:t>
      </w:r>
      <w:r>
        <w:rPr>
          <w:rFonts w:hint="eastAsia" w:hAnsi="宋体"/>
          <w:b/>
          <w:bCs/>
          <w:color w:val="auto"/>
          <w:sz w:val="32"/>
        </w:rPr>
        <w:t>日</w:t>
      </w:r>
    </w:p>
    <w:p w14:paraId="4C2FC1F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hAnsi="宋体"/>
          <w:b/>
          <w:bCs/>
          <w:color w:val="auto"/>
          <w:sz w:val="32"/>
        </w:rPr>
      </w:pPr>
    </w:p>
    <w:p w14:paraId="30952803">
      <w:pPr>
        <w:spacing w:line="600" w:lineRule="exact"/>
        <w:jc w:val="center"/>
        <w:rPr>
          <w:b/>
          <w:color w:val="auto"/>
          <w:sz w:val="32"/>
          <w:szCs w:val="32"/>
        </w:rPr>
      </w:pPr>
    </w:p>
    <w:p w14:paraId="7F3032E2">
      <w:pPr>
        <w:spacing w:line="600" w:lineRule="exact"/>
        <w:jc w:val="center"/>
        <w:rPr>
          <w:b/>
          <w:color w:val="auto"/>
          <w:sz w:val="32"/>
          <w:szCs w:val="32"/>
        </w:rPr>
        <w:sectPr>
          <w:pgSz w:w="11906" w:h="16839"/>
          <w:pgMar w:top="1417" w:right="1417" w:bottom="1417" w:left="1417" w:header="850" w:footer="964" w:gutter="0"/>
          <w:cols w:space="425" w:num="1"/>
          <w:rtlGutter w:val="0"/>
          <w:docGrid w:linePitch="312" w:charSpace="0"/>
        </w:sectPr>
      </w:pPr>
    </w:p>
    <w:p w14:paraId="4A0F7EDA">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b/>
          <w:color w:val="auto"/>
          <w:sz w:val="32"/>
          <w:szCs w:val="32"/>
        </w:rPr>
      </w:pPr>
    </w:p>
    <w:p w14:paraId="439B32A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color w:val="auto"/>
          <w:sz w:val="32"/>
          <w:szCs w:val="32"/>
        </w:rPr>
      </w:pPr>
    </w:p>
    <w:p w14:paraId="4606063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color w:val="auto"/>
          <w:sz w:val="32"/>
          <w:szCs w:val="32"/>
        </w:rPr>
      </w:pPr>
    </w:p>
    <w:p w14:paraId="4E07F1F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color w:val="auto"/>
          <w:sz w:val="36"/>
          <w:szCs w:val="36"/>
          <w:lang w:eastAsia="zh-CN"/>
        </w:rPr>
      </w:pPr>
      <w:r>
        <w:rPr>
          <w:rFonts w:hint="eastAsia"/>
          <w:b/>
          <w:color w:val="auto"/>
          <w:sz w:val="36"/>
          <w:szCs w:val="36"/>
          <w:lang w:eastAsia="zh-CN"/>
        </w:rPr>
        <w:t>鄱阳县金义矿产有限公司</w:t>
      </w:r>
    </w:p>
    <w:p w14:paraId="481985D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宋体"/>
          <w:b/>
          <w:color w:val="auto"/>
          <w:sz w:val="36"/>
          <w:szCs w:val="36"/>
          <w:lang w:eastAsia="zh-CN"/>
        </w:rPr>
      </w:pPr>
      <w:r>
        <w:rPr>
          <w:rFonts w:hint="eastAsia"/>
          <w:b/>
          <w:color w:val="auto"/>
          <w:sz w:val="36"/>
          <w:szCs w:val="36"/>
          <w:lang w:eastAsia="zh-CN"/>
        </w:rPr>
        <w:t>鄱阳县响水滩乡禾互山建筑用石料矿</w:t>
      </w:r>
    </w:p>
    <w:p w14:paraId="333D3DB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b/>
          <w:color w:val="auto"/>
          <w:sz w:val="44"/>
          <w:szCs w:val="44"/>
        </w:rPr>
      </w:pPr>
      <w:r>
        <w:rPr>
          <w:rFonts w:hint="eastAsia"/>
          <w:b/>
          <w:color w:val="auto"/>
          <w:sz w:val="44"/>
          <w:szCs w:val="44"/>
        </w:rPr>
        <w:t>安全现状评价报告</w:t>
      </w:r>
    </w:p>
    <w:p w14:paraId="68670D1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黑体"/>
          <w:b/>
          <w:color w:val="auto"/>
          <w:sz w:val="44"/>
          <w:szCs w:val="44"/>
        </w:rPr>
      </w:pPr>
      <w:r>
        <w:rPr>
          <w:rFonts w:hint="eastAsia" w:eastAsia="黑体"/>
          <w:b/>
          <w:color w:val="auto"/>
          <w:sz w:val="44"/>
          <w:szCs w:val="44"/>
        </w:rPr>
        <w:t>（</w:t>
      </w:r>
      <w:r>
        <w:rPr>
          <w:rFonts w:hint="eastAsia" w:eastAsia="黑体"/>
          <w:b/>
          <w:color w:val="auto"/>
          <w:sz w:val="44"/>
          <w:szCs w:val="44"/>
          <w:lang w:val="en-US" w:eastAsia="zh-CN"/>
        </w:rPr>
        <w:t>终稿</w:t>
      </w:r>
      <w:r>
        <w:rPr>
          <w:rFonts w:hint="eastAsia" w:eastAsia="黑体"/>
          <w:b/>
          <w:color w:val="auto"/>
          <w:sz w:val="44"/>
          <w:szCs w:val="44"/>
        </w:rPr>
        <w:t>）</w:t>
      </w:r>
    </w:p>
    <w:p w14:paraId="44B869D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eastAsia="黑体"/>
          <w:b/>
          <w:color w:val="auto"/>
          <w:sz w:val="44"/>
          <w:szCs w:val="44"/>
        </w:rPr>
      </w:pPr>
    </w:p>
    <w:p w14:paraId="6770B87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eastAsia="黑体"/>
          <w:b/>
          <w:color w:val="auto"/>
          <w:sz w:val="44"/>
          <w:szCs w:val="44"/>
        </w:rPr>
      </w:pPr>
    </w:p>
    <w:p w14:paraId="06417E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黑体"/>
          <w:b/>
          <w:color w:val="auto"/>
          <w:sz w:val="44"/>
          <w:szCs w:val="44"/>
        </w:rPr>
      </w:pPr>
    </w:p>
    <w:p w14:paraId="2F71181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黑体"/>
          <w:b/>
          <w:color w:val="auto"/>
          <w:sz w:val="44"/>
          <w:szCs w:val="44"/>
        </w:rPr>
      </w:pPr>
    </w:p>
    <w:p w14:paraId="13B9EDF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color w:val="auto"/>
          <w:lang w:eastAsia="zh-CN"/>
        </w:rPr>
      </w:pPr>
      <w:r>
        <w:rPr>
          <w:color w:val="auto"/>
        </w:rPr>
        <w:t>法</w:t>
      </w:r>
      <w:r>
        <w:rPr>
          <w:rFonts w:hint="eastAsia"/>
          <w:color w:val="auto"/>
        </w:rPr>
        <w:t xml:space="preserve"> 定 </w:t>
      </w:r>
      <w:r>
        <w:rPr>
          <w:color w:val="auto"/>
        </w:rPr>
        <w:t>代</w:t>
      </w:r>
      <w:r>
        <w:rPr>
          <w:rFonts w:hint="eastAsia"/>
          <w:color w:val="auto"/>
        </w:rPr>
        <w:t xml:space="preserve"> </w:t>
      </w:r>
      <w:r>
        <w:rPr>
          <w:color w:val="auto"/>
        </w:rPr>
        <w:t>表</w:t>
      </w:r>
      <w:r>
        <w:rPr>
          <w:rFonts w:hint="eastAsia"/>
          <w:color w:val="auto"/>
        </w:rPr>
        <w:t xml:space="preserve"> </w:t>
      </w:r>
      <w:r>
        <w:rPr>
          <w:color w:val="auto"/>
        </w:rPr>
        <w:t>人：</w:t>
      </w:r>
      <w:r>
        <w:rPr>
          <w:rFonts w:hint="eastAsia"/>
          <w:color w:val="auto"/>
          <w:lang w:val="en-US" w:eastAsia="zh-CN"/>
        </w:rPr>
        <w:t>应  宏</w:t>
      </w:r>
    </w:p>
    <w:p w14:paraId="35FF3EE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rPr>
      </w:pPr>
      <w:r>
        <w:rPr>
          <w:color w:val="auto"/>
        </w:rPr>
        <w:t>技</w:t>
      </w:r>
      <w:r>
        <w:rPr>
          <w:rFonts w:hint="eastAsia"/>
          <w:color w:val="auto"/>
        </w:rPr>
        <w:t xml:space="preserve"> </w:t>
      </w:r>
      <w:r>
        <w:rPr>
          <w:color w:val="auto"/>
        </w:rPr>
        <w:t>术</w:t>
      </w:r>
      <w:r>
        <w:rPr>
          <w:rFonts w:hint="eastAsia"/>
          <w:color w:val="auto"/>
        </w:rPr>
        <w:t xml:space="preserve"> </w:t>
      </w:r>
      <w:r>
        <w:rPr>
          <w:color w:val="auto"/>
        </w:rPr>
        <w:t>负</w:t>
      </w:r>
      <w:r>
        <w:rPr>
          <w:rFonts w:hint="eastAsia"/>
          <w:color w:val="auto"/>
        </w:rPr>
        <w:t xml:space="preserve"> </w:t>
      </w:r>
      <w:r>
        <w:rPr>
          <w:color w:val="auto"/>
        </w:rPr>
        <w:t>责</w:t>
      </w:r>
      <w:r>
        <w:rPr>
          <w:rFonts w:hint="eastAsia"/>
          <w:color w:val="auto"/>
        </w:rPr>
        <w:t xml:space="preserve"> </w:t>
      </w:r>
      <w:r>
        <w:rPr>
          <w:color w:val="auto"/>
        </w:rPr>
        <w:t>人：</w:t>
      </w:r>
      <w:r>
        <w:rPr>
          <w:rFonts w:hint="eastAsia"/>
          <w:color w:val="auto"/>
          <w:lang w:val="en-US" w:eastAsia="zh-CN"/>
        </w:rPr>
        <w:t>李  彦</w:t>
      </w:r>
    </w:p>
    <w:p w14:paraId="70F1820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color w:val="auto"/>
          <w:lang w:eastAsia="zh-CN"/>
        </w:rPr>
      </w:pPr>
      <w:r>
        <w:rPr>
          <w:color w:val="auto"/>
        </w:rPr>
        <w:t>评价项目负责人：</w:t>
      </w:r>
      <w:r>
        <w:rPr>
          <w:rFonts w:hint="eastAsia"/>
          <w:color w:val="auto"/>
        </w:rPr>
        <w:t>管自强</w:t>
      </w:r>
    </w:p>
    <w:p w14:paraId="3C6E82B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rPr>
      </w:pPr>
    </w:p>
    <w:p w14:paraId="6BD303A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rPr>
      </w:pPr>
    </w:p>
    <w:p w14:paraId="014634B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rPr>
      </w:pPr>
    </w:p>
    <w:p w14:paraId="7A9A5E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rPr>
      </w:pPr>
    </w:p>
    <w:p w14:paraId="48C6B79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hAnsi="宋体"/>
          <w:b/>
          <w:bCs/>
          <w:color w:val="auto"/>
          <w:spacing w:val="20"/>
          <w:sz w:val="24"/>
        </w:rPr>
      </w:pPr>
      <w:r>
        <w:rPr>
          <w:b/>
          <w:bCs/>
          <w:color w:val="auto"/>
          <w:sz w:val="24"/>
        </w:rPr>
        <w:t>评价报告完成日期：</w:t>
      </w:r>
      <w:r>
        <w:rPr>
          <w:rFonts w:hint="eastAsia"/>
          <w:b/>
          <w:bCs/>
          <w:color w:val="auto"/>
          <w:sz w:val="24"/>
        </w:rPr>
        <w:t>2026年</w:t>
      </w:r>
      <w:r>
        <w:rPr>
          <w:rFonts w:hint="eastAsia"/>
          <w:b/>
          <w:bCs/>
          <w:color w:val="auto"/>
          <w:sz w:val="24"/>
          <w:lang w:val="en-US" w:eastAsia="zh-CN"/>
        </w:rPr>
        <w:t>5</w:t>
      </w:r>
      <w:r>
        <w:rPr>
          <w:rFonts w:hint="eastAsia"/>
          <w:b/>
          <w:bCs/>
          <w:color w:val="auto"/>
          <w:sz w:val="24"/>
        </w:rPr>
        <w:t>月</w:t>
      </w:r>
      <w:r>
        <w:rPr>
          <w:rFonts w:hint="eastAsia"/>
          <w:b/>
          <w:bCs/>
          <w:color w:val="auto"/>
          <w:sz w:val="24"/>
          <w:lang w:val="en-US" w:eastAsia="zh-CN"/>
        </w:rPr>
        <w:t>18</w:t>
      </w:r>
      <w:r>
        <w:rPr>
          <w:rFonts w:hint="eastAsia"/>
          <w:b/>
          <w:bCs/>
          <w:color w:val="auto"/>
          <w:sz w:val="24"/>
        </w:rPr>
        <w:t>日</w:t>
      </w:r>
    </w:p>
    <w:p w14:paraId="3A560B61">
      <w:pPr>
        <w:bidi w:val="0"/>
        <w:ind w:left="0" w:leftChars="0" w:firstLine="0" w:firstLineChars="0"/>
        <w:jc w:val="center"/>
        <w:rPr>
          <w:rFonts w:hint="eastAsia"/>
          <w:color w:val="auto"/>
        </w:rPr>
      </w:pPr>
    </w:p>
    <w:p w14:paraId="6CB34F2E">
      <w:pPr>
        <w:spacing w:line="600" w:lineRule="exact"/>
        <w:jc w:val="center"/>
        <w:rPr>
          <w:b/>
          <w:color w:val="auto"/>
          <w:sz w:val="32"/>
          <w:szCs w:val="32"/>
        </w:rPr>
      </w:pPr>
      <w:r>
        <w:rPr>
          <w:b/>
          <w:color w:val="auto"/>
          <w:sz w:val="32"/>
          <w:szCs w:val="32"/>
        </w:rPr>
        <w:br w:type="page"/>
      </w:r>
    </w:p>
    <w:p w14:paraId="65107502">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color w:val="auto"/>
          <w:sz w:val="36"/>
          <w:szCs w:val="36"/>
        </w:rPr>
      </w:pPr>
    </w:p>
    <w:p w14:paraId="4132E844">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color w:val="auto"/>
          <w:sz w:val="36"/>
          <w:szCs w:val="36"/>
          <w:lang w:eastAsia="zh-CN"/>
        </w:rPr>
      </w:pPr>
      <w:r>
        <w:rPr>
          <w:rFonts w:hint="eastAsia" w:ascii="宋体" w:hAnsi="宋体"/>
          <w:color w:val="auto"/>
          <w:sz w:val="36"/>
          <w:szCs w:val="36"/>
          <w:lang w:eastAsia="zh-CN"/>
        </w:rPr>
        <w:t>鄱阳县金义矿产有限公司</w:t>
      </w:r>
    </w:p>
    <w:p w14:paraId="5F02A7A2">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olor w:val="auto"/>
          <w:sz w:val="36"/>
          <w:szCs w:val="36"/>
          <w:lang w:eastAsia="zh-CN"/>
        </w:rPr>
      </w:pPr>
      <w:r>
        <w:rPr>
          <w:rFonts w:hint="eastAsia" w:ascii="宋体" w:hAnsi="宋体"/>
          <w:color w:val="auto"/>
          <w:sz w:val="36"/>
          <w:szCs w:val="36"/>
          <w:lang w:eastAsia="zh-CN"/>
        </w:rPr>
        <w:t>鄱阳县响水滩乡禾互山建筑用石料矿</w:t>
      </w:r>
    </w:p>
    <w:p w14:paraId="00A25C37">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0" w:firstLineChars="0"/>
        <w:jc w:val="center"/>
        <w:textAlignment w:val="auto"/>
        <w:rPr>
          <w:rFonts w:ascii="宋体" w:hAnsi="宋体" w:cs="宋体"/>
          <w:color w:val="auto"/>
          <w:kern w:val="0"/>
          <w:sz w:val="36"/>
          <w:szCs w:val="36"/>
        </w:rPr>
      </w:pPr>
      <w:r>
        <w:rPr>
          <w:rFonts w:hint="eastAsia" w:ascii="宋体" w:hAnsi="宋体" w:cs="宋体"/>
          <w:color w:val="auto"/>
          <w:kern w:val="0"/>
          <w:sz w:val="36"/>
          <w:szCs w:val="36"/>
        </w:rPr>
        <w:t>安全现状</w:t>
      </w:r>
      <w:r>
        <w:rPr>
          <w:rFonts w:ascii="宋体" w:hAnsi="宋体" w:cs="宋体"/>
          <w:color w:val="auto"/>
          <w:kern w:val="0"/>
          <w:sz w:val="36"/>
          <w:szCs w:val="36"/>
        </w:rPr>
        <w:t>评价</w:t>
      </w:r>
      <w:r>
        <w:rPr>
          <w:rFonts w:hint="eastAsia" w:ascii="宋体" w:hAnsi="宋体" w:cs="宋体"/>
          <w:color w:val="auto"/>
          <w:kern w:val="0"/>
          <w:sz w:val="36"/>
          <w:szCs w:val="36"/>
        </w:rPr>
        <w:t>技术服务</w:t>
      </w:r>
      <w:r>
        <w:rPr>
          <w:rFonts w:ascii="宋体" w:hAnsi="宋体" w:cs="宋体"/>
          <w:color w:val="auto"/>
          <w:kern w:val="0"/>
          <w:sz w:val="36"/>
          <w:szCs w:val="36"/>
        </w:rPr>
        <w:t>承诺书</w:t>
      </w:r>
    </w:p>
    <w:p w14:paraId="1F32BFAF">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cs="宋体"/>
          <w:color w:val="auto"/>
          <w:kern w:val="0"/>
          <w:sz w:val="36"/>
          <w:szCs w:val="36"/>
        </w:rPr>
      </w:pPr>
    </w:p>
    <w:p w14:paraId="6A0E05A7">
      <w:pPr>
        <w:keepNext w:val="0"/>
        <w:keepLines w:val="0"/>
        <w:pageBreakBefore w:val="0"/>
        <w:widowControl/>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一、在本项目安全评价活动过程中，我单位严格遵守《安全生产法》及相关法律、法规和标准的要求。</w:t>
      </w:r>
    </w:p>
    <w:p w14:paraId="522E8E4A">
      <w:pPr>
        <w:keepNext w:val="0"/>
        <w:keepLines w:val="0"/>
        <w:pageBreakBefore w:val="0"/>
        <w:widowControl/>
        <w:kinsoku/>
        <w:wordWrap/>
        <w:overflowPunct/>
        <w:topLinePunct w:val="0"/>
        <w:autoSpaceDE/>
        <w:autoSpaceDN/>
        <w:bidi w:val="0"/>
        <w:adjustRightInd/>
        <w:snapToGrid/>
        <w:spacing w:line="480" w:lineRule="auto"/>
        <w:ind w:firstLine="640" w:firstLineChars="200"/>
        <w:textAlignment w:val="auto"/>
        <w:rPr>
          <w:rFonts w:hint="eastAsia" w:ascii="宋体" w:hAnsi="宋体" w:cs="宋体"/>
          <w:color w:val="auto"/>
          <w:kern w:val="0"/>
          <w:sz w:val="36"/>
          <w:szCs w:val="36"/>
        </w:rPr>
      </w:pPr>
      <w:r>
        <w:rPr>
          <w:rFonts w:hint="eastAsia" w:ascii="仿宋" w:hAnsi="仿宋" w:eastAsia="仿宋" w:cs="宋体"/>
          <w:color w:val="auto"/>
          <w:kern w:val="0"/>
          <w:sz w:val="32"/>
          <w:szCs w:val="32"/>
        </w:rPr>
        <w:t>二、在本项目安全评价活动过程中，我单位作为第三方，未受到任何组织和个人的干预和影响，依法独立开展工作，保证了技术服务活动的客观公正性。</w:t>
      </w:r>
    </w:p>
    <w:p w14:paraId="338974C1">
      <w:pPr>
        <w:keepNext w:val="0"/>
        <w:keepLines w:val="0"/>
        <w:pageBreakBefore w:val="0"/>
        <w:widowControl/>
        <w:kinsoku/>
        <w:wordWrap/>
        <w:overflowPunct/>
        <w:topLinePunct w:val="0"/>
        <w:autoSpaceDE/>
        <w:autoSpaceDN/>
        <w:bidi w:val="0"/>
        <w:adjustRightInd/>
        <w:snapToGrid/>
        <w:spacing w:line="480" w:lineRule="auto"/>
        <w:ind w:firstLine="640" w:firstLineChars="200"/>
        <w:jc w:val="left"/>
        <w:textAlignment w:val="auto"/>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三、我单位按照实事求是的原则，对本项目进行安全评价，确保出具的报告均真实有效，报告所提出的措施具有针对性、有效性和可行性。</w:t>
      </w:r>
    </w:p>
    <w:p w14:paraId="301E2149">
      <w:pPr>
        <w:keepNext w:val="0"/>
        <w:keepLines w:val="0"/>
        <w:pageBreakBefore w:val="0"/>
        <w:widowControl/>
        <w:kinsoku/>
        <w:wordWrap/>
        <w:overflowPunct/>
        <w:topLinePunct w:val="0"/>
        <w:autoSpaceDE/>
        <w:autoSpaceDN/>
        <w:bidi w:val="0"/>
        <w:adjustRightInd/>
        <w:snapToGrid/>
        <w:spacing w:line="480" w:lineRule="auto"/>
        <w:ind w:firstLine="640" w:firstLineChars="200"/>
        <w:jc w:val="left"/>
        <w:textAlignment w:val="auto"/>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四、我单位对本项目安全评价报告中结论性内容承担法律责任。</w:t>
      </w:r>
    </w:p>
    <w:p w14:paraId="2C8AD663">
      <w:pPr>
        <w:keepNext w:val="0"/>
        <w:keepLines w:val="0"/>
        <w:pageBreakBefore w:val="0"/>
        <w:widowControl/>
        <w:kinsoku/>
        <w:wordWrap/>
        <w:overflowPunct/>
        <w:topLinePunct w:val="0"/>
        <w:autoSpaceDE/>
        <w:autoSpaceDN/>
        <w:bidi w:val="0"/>
        <w:adjustRightInd/>
        <w:snapToGrid/>
        <w:spacing w:before="100" w:beforeAutospacing="1" w:after="100" w:afterAutospacing="1" w:line="400" w:lineRule="exact"/>
        <w:ind w:left="5258" w:leftChars="228" w:hanging="4620" w:hangingChars="1650"/>
        <w:jc w:val="right"/>
        <w:textAlignment w:val="auto"/>
        <w:rPr>
          <w:color w:val="auto"/>
          <w:kern w:val="0"/>
          <w:szCs w:val="28"/>
        </w:rPr>
      </w:pPr>
      <w:r>
        <w:rPr>
          <w:color w:val="auto"/>
          <w:szCs w:val="28"/>
        </w:rPr>
        <w:t>江西赣安安全生产科学技术咨询服务中心</w:t>
      </w:r>
    </w:p>
    <w:p w14:paraId="4E19ACDE">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color w:val="auto"/>
          <w:kern w:val="0"/>
          <w:szCs w:val="28"/>
        </w:rPr>
      </w:pPr>
      <w:r>
        <w:rPr>
          <w:rFonts w:hint="eastAsia"/>
          <w:color w:val="auto"/>
          <w:kern w:val="0"/>
          <w:szCs w:val="28"/>
          <w:lang w:val="en-US" w:eastAsia="zh-CN"/>
        </w:rPr>
        <w:t xml:space="preserve">                              </w:t>
      </w:r>
      <w:r>
        <w:rPr>
          <w:rFonts w:hint="eastAsia"/>
          <w:color w:val="auto"/>
          <w:kern w:val="0"/>
          <w:szCs w:val="28"/>
        </w:rPr>
        <w:t>202</w:t>
      </w:r>
      <w:r>
        <w:rPr>
          <w:rFonts w:hint="eastAsia"/>
          <w:color w:val="auto"/>
          <w:kern w:val="0"/>
          <w:szCs w:val="28"/>
          <w:lang w:val="en-US" w:eastAsia="zh-CN"/>
        </w:rPr>
        <w:t>6</w:t>
      </w:r>
      <w:r>
        <w:rPr>
          <w:rFonts w:hint="eastAsia"/>
          <w:color w:val="auto"/>
          <w:kern w:val="0"/>
          <w:szCs w:val="28"/>
        </w:rPr>
        <w:t>年</w:t>
      </w:r>
      <w:r>
        <w:rPr>
          <w:rFonts w:hint="eastAsia"/>
          <w:color w:val="auto"/>
          <w:kern w:val="0"/>
          <w:szCs w:val="28"/>
          <w:lang w:val="en-US" w:eastAsia="zh-CN"/>
        </w:rPr>
        <w:t>5</w:t>
      </w:r>
      <w:r>
        <w:rPr>
          <w:rFonts w:hint="eastAsia"/>
          <w:color w:val="auto"/>
          <w:kern w:val="0"/>
          <w:szCs w:val="28"/>
        </w:rPr>
        <w:t>月</w:t>
      </w:r>
      <w:r>
        <w:rPr>
          <w:rFonts w:hint="eastAsia"/>
          <w:color w:val="auto"/>
          <w:kern w:val="0"/>
          <w:szCs w:val="28"/>
          <w:lang w:val="en-US" w:eastAsia="zh-CN"/>
        </w:rPr>
        <w:t>18</w:t>
      </w:r>
      <w:r>
        <w:rPr>
          <w:rFonts w:hint="eastAsia"/>
          <w:color w:val="auto"/>
          <w:kern w:val="0"/>
          <w:szCs w:val="28"/>
        </w:rPr>
        <w:t>日</w:t>
      </w:r>
    </w:p>
    <w:p w14:paraId="6FF5D5F5">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0" w:firstLineChars="0"/>
        <w:jc w:val="center"/>
        <w:textAlignment w:val="auto"/>
        <w:rPr>
          <w:b/>
          <w:color w:val="auto"/>
          <w:szCs w:val="28"/>
        </w:rPr>
      </w:pPr>
      <w:r>
        <w:rPr>
          <w:b/>
          <w:color w:val="auto"/>
          <w:szCs w:val="28"/>
        </w:rPr>
        <w:br w:type="page"/>
      </w:r>
    </w:p>
    <w:p w14:paraId="425FE16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黑体" w:cs="Times New Roman"/>
          <w:b/>
          <w:color w:val="auto"/>
          <w:sz w:val="32"/>
          <w:szCs w:val="32"/>
        </w:rPr>
      </w:pPr>
    </w:p>
    <w:p w14:paraId="3D4BB78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黑体" w:cs="Times New Roman"/>
          <w:b/>
          <w:color w:val="auto"/>
          <w:sz w:val="32"/>
          <w:szCs w:val="32"/>
        </w:rPr>
      </w:pPr>
      <w:r>
        <w:rPr>
          <w:rFonts w:ascii="Times New Roman" w:hAnsi="Times New Roman" w:eastAsia="黑体" w:cs="Times New Roman"/>
          <w:b/>
          <w:color w:val="auto"/>
          <w:sz w:val="32"/>
          <w:szCs w:val="32"/>
        </w:rPr>
        <w:t>评 价 人 员</w:t>
      </w:r>
    </w:p>
    <w:p w14:paraId="0AF4685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黑体" w:cs="Times New Roman"/>
          <w:b/>
          <w:color w:val="auto"/>
          <w:sz w:val="32"/>
          <w:szCs w:val="32"/>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7"/>
        <w:gridCol w:w="1290"/>
        <w:gridCol w:w="3018"/>
        <w:gridCol w:w="1564"/>
        <w:gridCol w:w="1301"/>
      </w:tblGrid>
      <w:tr w14:paraId="72A9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14:paraId="3A4AFFF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B311BB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姓  名</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04B6E93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证书编号</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6C94CAC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从业登记号</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1651FAC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签</w:t>
            </w:r>
            <w:r>
              <w:rPr>
                <w:rFonts w:hint="eastAsia" w:cs="Times New Roman"/>
                <w:color w:val="auto"/>
                <w:sz w:val="24"/>
                <w:lang w:val="en-US" w:eastAsia="zh-CN"/>
              </w:rPr>
              <w:t xml:space="preserve">  </w:t>
            </w:r>
            <w:r>
              <w:rPr>
                <w:rFonts w:hint="default" w:ascii="Times New Roman" w:hAnsi="Times New Roman" w:eastAsia="宋体" w:cs="Times New Roman"/>
                <w:color w:val="auto"/>
                <w:sz w:val="24"/>
              </w:rPr>
              <w:t>字</w:t>
            </w:r>
          </w:p>
        </w:tc>
      </w:tr>
      <w:tr w14:paraId="6B97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14:paraId="23B51FD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项目负责人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4990F3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管自强</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2264429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S011035000110191000614</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5469B6F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020516</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692FFA8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1E812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947" w:type="dxa"/>
            <w:vMerge w:val="restart"/>
            <w:tcBorders>
              <w:top w:val="single" w:color="auto" w:sz="4" w:space="0"/>
              <w:left w:val="single" w:color="auto" w:sz="4" w:space="0"/>
              <w:right w:val="single" w:color="auto" w:sz="4" w:space="0"/>
            </w:tcBorders>
            <w:noWrap w:val="0"/>
            <w:vAlign w:val="center"/>
          </w:tcPr>
          <w:p w14:paraId="5528E20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项目组成员</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C74795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 w:val="0"/>
                <w:bCs w:val="0"/>
                <w:color w:val="auto"/>
                <w:sz w:val="24"/>
              </w:rPr>
              <w:t>曾华玉</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06838B7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 w:val="0"/>
                <w:bCs w:val="0"/>
                <w:color w:val="auto"/>
                <w:sz w:val="24"/>
              </w:rPr>
              <w:t>0800000000203970</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05B2AF0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 w:val="0"/>
                <w:bCs w:val="0"/>
                <w:color w:val="auto"/>
                <w:sz w:val="24"/>
              </w:rPr>
              <w:t>007037</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585386E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6A60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vMerge w:val="continue"/>
            <w:tcBorders>
              <w:left w:val="single" w:color="auto" w:sz="4" w:space="0"/>
              <w:right w:val="single" w:color="auto" w:sz="4" w:space="0"/>
            </w:tcBorders>
            <w:noWrap w:val="0"/>
            <w:vAlign w:val="center"/>
          </w:tcPr>
          <w:p w14:paraId="24464CC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2CA18B5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钟志宏</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1932002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0002944</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1AEBEE4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36050002981</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58D5C13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17D4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947" w:type="dxa"/>
            <w:vMerge w:val="continue"/>
            <w:tcBorders>
              <w:left w:val="single" w:color="auto" w:sz="4" w:space="0"/>
              <w:right w:val="single" w:color="auto" w:sz="4" w:space="0"/>
            </w:tcBorders>
            <w:noWrap w:val="0"/>
            <w:vAlign w:val="center"/>
          </w:tcPr>
          <w:p w14:paraId="05A4C20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F202A5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李景龙</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17F54AE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20231004636000000141</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184C7D8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36250406364</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126CA83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6AAEB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vMerge w:val="continue"/>
            <w:tcBorders>
              <w:left w:val="single" w:color="auto" w:sz="4" w:space="0"/>
              <w:right w:val="single" w:color="auto" w:sz="4" w:space="0"/>
            </w:tcBorders>
            <w:noWrap w:val="0"/>
            <w:vAlign w:val="center"/>
          </w:tcPr>
          <w:p w14:paraId="03DA24E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3621BC9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黄伯扬</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1D07861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cs="Times New Roman"/>
                <w:color w:val="auto"/>
                <w:sz w:val="24"/>
                <w:lang w:val="en-US" w:eastAsia="zh-CN"/>
              </w:rPr>
              <w:t>1</w:t>
            </w:r>
            <w:r>
              <w:rPr>
                <w:rFonts w:hint="default" w:ascii="Times New Roman" w:hAnsi="Times New Roman" w:eastAsia="宋体" w:cs="Times New Roman"/>
                <w:color w:val="auto"/>
                <w:sz w:val="24"/>
              </w:rPr>
              <w:t>800000000</w:t>
            </w:r>
            <w:r>
              <w:rPr>
                <w:rFonts w:hint="default" w:ascii="Times New Roman" w:hAnsi="Times New Roman" w:cs="Times New Roman"/>
                <w:color w:val="auto"/>
                <w:sz w:val="24"/>
                <w:lang w:val="en-US" w:eastAsia="zh-CN"/>
              </w:rPr>
              <w:t>3</w:t>
            </w:r>
            <w:r>
              <w:rPr>
                <w:rFonts w:hint="default" w:ascii="Times New Roman" w:hAnsi="Times New Roman" w:eastAsia="宋体" w:cs="Times New Roman"/>
                <w:color w:val="auto"/>
                <w:sz w:val="24"/>
              </w:rPr>
              <w:t>0</w:t>
            </w:r>
            <w:r>
              <w:rPr>
                <w:rFonts w:hint="default" w:ascii="Times New Roman" w:hAnsi="Times New Roman" w:cs="Times New Roman"/>
                <w:color w:val="auto"/>
                <w:sz w:val="24"/>
                <w:lang w:val="en-US" w:eastAsia="zh-CN"/>
              </w:rPr>
              <w:t>0643</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78DC5AF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cs="Times New Roman"/>
                <w:color w:val="auto"/>
                <w:sz w:val="24"/>
                <w:lang w:val="en-US" w:eastAsia="zh-CN"/>
              </w:rPr>
              <w:t>032737</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7835EC0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04160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vMerge w:val="continue"/>
            <w:tcBorders>
              <w:left w:val="single" w:color="auto" w:sz="4" w:space="0"/>
              <w:right w:val="single" w:color="auto" w:sz="4" w:space="0"/>
            </w:tcBorders>
            <w:noWrap w:val="0"/>
            <w:vAlign w:val="center"/>
          </w:tcPr>
          <w:p w14:paraId="68C10DB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7E26D9B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lang w:val="en-US" w:eastAsia="zh-CN"/>
              </w:rPr>
              <w:t>陆鸿</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27D51E9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rPr>
              <w:t>03320251036000000215</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59E2DBC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rPr>
              <w:t>36260456621</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3826168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7EC8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947" w:type="dxa"/>
            <w:vMerge w:val="restart"/>
            <w:tcBorders>
              <w:top w:val="single" w:color="auto" w:sz="4" w:space="0"/>
              <w:left w:val="single" w:color="auto" w:sz="4" w:space="0"/>
              <w:right w:val="single" w:color="auto" w:sz="4" w:space="0"/>
            </w:tcBorders>
            <w:noWrap w:val="0"/>
            <w:vAlign w:val="center"/>
          </w:tcPr>
          <w:p w14:paraId="27E5444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报告编制人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3B6D3AF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管自强</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709D957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S011035000110191000614</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51B975F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020516</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4EDEC40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070FB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947" w:type="dxa"/>
            <w:vMerge w:val="continue"/>
            <w:tcBorders>
              <w:left w:val="single" w:color="auto" w:sz="4" w:space="0"/>
              <w:right w:val="single" w:color="auto" w:sz="4" w:space="0"/>
            </w:tcBorders>
            <w:noWrap w:val="0"/>
            <w:vAlign w:val="center"/>
          </w:tcPr>
          <w:p w14:paraId="2161A34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937AAC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eastAsia" w:cs="Times New Roman"/>
                <w:color w:val="auto"/>
                <w:sz w:val="24"/>
                <w:lang w:val="en-US" w:eastAsia="zh-CN"/>
              </w:rPr>
              <w:t>陆鸿</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5378EDE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03320251036000000215</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20C5B0F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36260456621</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423F7EF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58B6A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14:paraId="709C597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报告审核人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CC7AC9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郑  强</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50AB4F6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0800000000101605</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286CC25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001851</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79007A2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4828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14:paraId="7D86BF6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过程控制负责</w:t>
            </w:r>
            <w:r>
              <w:rPr>
                <w:rFonts w:hint="eastAsia" w:ascii="Times New Roman" w:hAnsi="Times New Roman" w:cs="Times New Roman"/>
                <w:color w:val="auto"/>
                <w:sz w:val="24"/>
                <w:lang w:val="en-US" w:eastAsia="zh-CN"/>
              </w:rPr>
              <w:t>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C1F6C0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eastAsia" w:cs="Times New Roman"/>
                <w:color w:val="auto"/>
                <w:sz w:val="24"/>
                <w:lang w:val="en-US" w:eastAsia="zh-CN"/>
              </w:rPr>
              <w:t>黄香港</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250DB47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S011035000110191000617</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38C7C0E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024436</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58CD7EA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6ECB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14:paraId="74BC25A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技术负责人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F95752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李</w:t>
            </w:r>
            <w:r>
              <w:rPr>
                <w:rFonts w:hint="eastAsia" w:cs="Times New Roman"/>
                <w:color w:val="auto"/>
                <w:sz w:val="24"/>
                <w:lang w:val="en-US" w:eastAsia="zh-CN"/>
              </w:rPr>
              <w:t xml:space="preserve">  </w:t>
            </w:r>
            <w:r>
              <w:rPr>
                <w:rFonts w:hint="default" w:ascii="Times New Roman" w:hAnsi="Times New Roman" w:eastAsia="宋体" w:cs="Times New Roman"/>
                <w:color w:val="auto"/>
                <w:sz w:val="24"/>
              </w:rPr>
              <w:t>彦</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097CFA8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S011053000110191001167</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003D801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035879</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0FBCF6F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bl>
    <w:p w14:paraId="70367830">
      <w:pPr>
        <w:bidi w:val="0"/>
        <w:rPr>
          <w:color w:val="auto"/>
        </w:rPr>
      </w:pPr>
    </w:p>
    <w:p w14:paraId="71D1C154">
      <w:pPr>
        <w:bidi w:val="0"/>
        <w:rPr>
          <w:color w:val="auto"/>
        </w:rPr>
      </w:pPr>
    </w:p>
    <w:p w14:paraId="2401C47E">
      <w:pPr>
        <w:pStyle w:val="3"/>
        <w:bidi w:val="0"/>
        <w:ind w:left="0" w:leftChars="0" w:firstLine="0" w:firstLineChars="0"/>
        <w:jc w:val="center"/>
        <w:rPr>
          <w:rFonts w:hint="eastAsia" w:ascii="黑体" w:hAnsi="黑体" w:eastAsia="黑体" w:cs="黑体"/>
          <w:b/>
          <w:bCs/>
          <w:color w:val="auto"/>
          <w:sz w:val="32"/>
          <w:szCs w:val="32"/>
        </w:rPr>
      </w:pPr>
      <w:r>
        <w:rPr>
          <w:rFonts w:ascii="宋体" w:hAnsi="宋体"/>
          <w:color w:val="auto"/>
          <w:sz w:val="28"/>
          <w:szCs w:val="28"/>
        </w:rPr>
        <w:br w:type="page"/>
      </w:r>
      <w:bookmarkStart w:id="0" w:name="_Toc8079"/>
      <w:bookmarkStart w:id="1" w:name="_Toc12133"/>
      <w:bookmarkStart w:id="2" w:name="_Toc29201"/>
      <w:bookmarkStart w:id="3" w:name="_Toc18768"/>
      <w:r>
        <w:rPr>
          <w:rFonts w:hint="eastAsia" w:ascii="黑体" w:hAnsi="黑体" w:eastAsia="黑体" w:cs="黑体"/>
          <w:b/>
          <w:bCs/>
          <w:color w:val="auto"/>
          <w:sz w:val="32"/>
          <w:szCs w:val="32"/>
        </w:rPr>
        <w:t>前    言</w:t>
      </w:r>
      <w:bookmarkEnd w:id="0"/>
      <w:bookmarkEnd w:id="1"/>
      <w:bookmarkEnd w:id="2"/>
      <w:bookmarkEnd w:id="3"/>
    </w:p>
    <w:p w14:paraId="3183ECA6">
      <w:pPr>
        <w:bidi w:val="0"/>
        <w:rPr>
          <w:rFonts w:hint="eastAsia"/>
          <w:color w:val="auto"/>
        </w:rPr>
      </w:pPr>
      <w:r>
        <w:rPr>
          <w:rFonts w:hint="eastAsia"/>
          <w:color w:val="auto"/>
          <w:lang w:eastAsia="zh-CN"/>
        </w:rPr>
        <w:t>鄱阳县金义矿产有限公司</w:t>
      </w:r>
      <w:r>
        <w:rPr>
          <w:rFonts w:hint="eastAsia"/>
          <w:color w:val="auto"/>
        </w:rPr>
        <w:t>成立于20</w:t>
      </w:r>
      <w:r>
        <w:rPr>
          <w:rFonts w:hint="eastAsia"/>
          <w:color w:val="auto"/>
          <w:lang w:val="en-US" w:eastAsia="zh-CN"/>
        </w:rPr>
        <w:t>18</w:t>
      </w:r>
      <w:r>
        <w:rPr>
          <w:rFonts w:hint="eastAsia"/>
          <w:color w:val="auto"/>
        </w:rPr>
        <w:t>年</w:t>
      </w:r>
      <w:r>
        <w:rPr>
          <w:rFonts w:hint="eastAsia"/>
          <w:color w:val="auto"/>
          <w:lang w:val="en-US" w:eastAsia="zh-CN"/>
        </w:rPr>
        <w:t>5</w:t>
      </w:r>
      <w:r>
        <w:rPr>
          <w:rFonts w:hint="eastAsia"/>
          <w:color w:val="auto"/>
        </w:rPr>
        <w:t>月</w:t>
      </w:r>
      <w:r>
        <w:rPr>
          <w:rFonts w:hint="eastAsia"/>
          <w:color w:val="auto"/>
          <w:lang w:val="en-US" w:eastAsia="zh-CN"/>
        </w:rPr>
        <w:t>21</w:t>
      </w:r>
      <w:r>
        <w:rPr>
          <w:rFonts w:hint="eastAsia"/>
          <w:color w:val="auto"/>
        </w:rPr>
        <w:t>日，位于江西省上饶市鄱阳县响水滩乡李嘴村委会李嘴村；公司营业执照统一社会信用代码：9136112</w:t>
      </w:r>
      <w:r>
        <w:rPr>
          <w:rFonts w:hint="eastAsia"/>
          <w:color w:val="auto"/>
          <w:lang w:val="en-US" w:eastAsia="zh-CN"/>
        </w:rPr>
        <w:t>8MA37X6JY4R</w:t>
      </w:r>
      <w:r>
        <w:rPr>
          <w:rFonts w:hint="eastAsia"/>
          <w:color w:val="auto"/>
        </w:rPr>
        <w:t>；注册资本为伍</w:t>
      </w:r>
      <w:r>
        <w:rPr>
          <w:rFonts w:hint="eastAsia"/>
          <w:color w:val="auto"/>
          <w:lang w:val="en-US" w:eastAsia="zh-CN"/>
        </w:rPr>
        <w:t>佰</w:t>
      </w:r>
      <w:r>
        <w:rPr>
          <w:rFonts w:hint="eastAsia"/>
          <w:color w:val="auto"/>
        </w:rPr>
        <w:t>万元整，法定代</w:t>
      </w:r>
      <w:r>
        <w:rPr>
          <w:rFonts w:hint="eastAsia"/>
          <w:color w:val="auto"/>
          <w:lang w:eastAsia="zh-CN"/>
        </w:rPr>
        <w:t>表人</w:t>
      </w:r>
      <w:r>
        <w:rPr>
          <w:rFonts w:hint="eastAsia"/>
          <w:color w:val="auto"/>
        </w:rPr>
        <w:t>为李志明；类型为有限责任公司（自然人投资或控股）；经营范围：许可项目</w:t>
      </w:r>
      <w:r>
        <w:rPr>
          <w:rFonts w:hint="eastAsia"/>
          <w:color w:val="auto"/>
          <w:lang w:val="en-US" w:eastAsia="zh-CN"/>
        </w:rPr>
        <w:t>为</w:t>
      </w:r>
      <w:r>
        <w:rPr>
          <w:rFonts w:hint="eastAsia"/>
          <w:color w:val="auto"/>
        </w:rPr>
        <w:t>矿产资源（非煤矿山）开采（依法须经批准的项目，经相关部门批准后方可开展经营活动）</w:t>
      </w:r>
      <w:r>
        <w:rPr>
          <w:rFonts w:hint="eastAsia"/>
          <w:color w:val="auto"/>
          <w:lang w:eastAsia="zh-CN"/>
        </w:rPr>
        <w:t>，</w:t>
      </w:r>
      <w:r>
        <w:rPr>
          <w:rFonts w:hint="eastAsia"/>
          <w:color w:val="auto"/>
        </w:rPr>
        <w:t>一般项目</w:t>
      </w:r>
      <w:r>
        <w:rPr>
          <w:rFonts w:hint="eastAsia"/>
          <w:color w:val="auto"/>
          <w:lang w:val="en-US" w:eastAsia="zh-CN"/>
        </w:rPr>
        <w:t>为</w:t>
      </w:r>
      <w:r>
        <w:rPr>
          <w:rFonts w:hint="eastAsia"/>
          <w:color w:val="auto"/>
        </w:rPr>
        <w:t>建筑材料销售，非金属矿物制品制造，非金属矿及制品销售，建筑用石加工（除许可业务外，可自主依法经营法律法规非禁止或限制的项目）。</w:t>
      </w:r>
    </w:p>
    <w:p w14:paraId="16F782A3">
      <w:pPr>
        <w:bidi w:val="0"/>
        <w:rPr>
          <w:rFonts w:hint="eastAsia"/>
          <w:color w:val="auto"/>
        </w:rPr>
      </w:pPr>
      <w:r>
        <w:rPr>
          <w:rFonts w:hint="eastAsia"/>
          <w:color w:val="auto"/>
        </w:rPr>
        <w:t>鄱阳县响水滩乡禾互山建筑用石料矿位于鄱阳县北西约345°方向，</w:t>
      </w:r>
      <w:r>
        <w:rPr>
          <w:rFonts w:hint="eastAsia"/>
          <w:color w:val="auto"/>
          <w:lang w:val="en-US" w:eastAsia="zh-CN"/>
        </w:rPr>
        <w:t>直线距离</w:t>
      </w:r>
      <w:r>
        <w:rPr>
          <w:rFonts w:hint="eastAsia"/>
          <w:color w:val="auto"/>
        </w:rPr>
        <w:t>约68.5km处，</w:t>
      </w:r>
      <w:r>
        <w:rPr>
          <w:rFonts w:hint="eastAsia"/>
          <w:color w:val="auto"/>
          <w:lang w:val="en-US" w:eastAsia="zh-CN"/>
        </w:rPr>
        <w:t>行政区划</w:t>
      </w:r>
      <w:r>
        <w:rPr>
          <w:rFonts w:hint="eastAsia"/>
          <w:color w:val="auto"/>
        </w:rPr>
        <w:t>属鄱阳县响水滩乡管辖。矿区地理坐标（西安80坐标系）：东经116°30′0</w:t>
      </w:r>
      <w:r>
        <w:rPr>
          <w:rFonts w:hint="eastAsia"/>
          <w:color w:val="auto"/>
          <w:lang w:val="en-US" w:eastAsia="zh-CN"/>
        </w:rPr>
        <w:t>3</w:t>
      </w:r>
      <w:r>
        <w:rPr>
          <w:rFonts w:hint="eastAsia"/>
          <w:color w:val="auto"/>
        </w:rPr>
        <w:t>″～116°30′</w:t>
      </w:r>
      <w:r>
        <w:rPr>
          <w:rFonts w:hint="eastAsia"/>
          <w:color w:val="auto"/>
          <w:lang w:val="en-US" w:eastAsia="zh-CN"/>
        </w:rPr>
        <w:t>15</w:t>
      </w:r>
      <w:r>
        <w:rPr>
          <w:rFonts w:hint="eastAsia"/>
          <w:color w:val="auto"/>
        </w:rPr>
        <w:t>″，北纬29°35′01″～29°35′07″。矿区范围由6个拐点圈定，面积约0.0422km</w:t>
      </w:r>
      <w:r>
        <w:rPr>
          <w:rFonts w:hint="eastAsia"/>
          <w:color w:val="auto"/>
          <w:vertAlign w:val="superscript"/>
        </w:rPr>
        <w:t>2</w:t>
      </w:r>
      <w:r>
        <w:rPr>
          <w:rFonts w:hint="eastAsia"/>
          <w:color w:val="auto"/>
        </w:rPr>
        <w:t>。响水滩乡到矿区有简易公路通行，</w:t>
      </w:r>
      <w:r>
        <w:rPr>
          <w:rFonts w:hint="eastAsia"/>
          <w:color w:val="auto"/>
          <w:lang w:val="en-US" w:eastAsia="zh-CN"/>
        </w:rPr>
        <w:t>直线距离</w:t>
      </w:r>
      <w:r>
        <w:rPr>
          <w:rFonts w:hint="eastAsia"/>
          <w:color w:val="auto"/>
        </w:rPr>
        <w:t>约14km。九景高速公路自响水滩乡南部通过</w:t>
      </w:r>
      <w:r>
        <w:rPr>
          <w:rFonts w:hint="eastAsia"/>
          <w:color w:val="auto"/>
          <w:lang w:eastAsia="zh-CN"/>
        </w:rPr>
        <w:t>，</w:t>
      </w:r>
      <w:r>
        <w:rPr>
          <w:rFonts w:hint="eastAsia"/>
          <w:color w:val="auto"/>
        </w:rPr>
        <w:t>响水滩乡距九景高速公路约20km</w:t>
      </w:r>
      <w:r>
        <w:rPr>
          <w:rFonts w:hint="eastAsia"/>
          <w:color w:val="auto"/>
          <w:lang w:eastAsia="zh-CN"/>
        </w:rPr>
        <w:t>，</w:t>
      </w:r>
      <w:r>
        <w:rPr>
          <w:rFonts w:hint="eastAsia"/>
          <w:color w:val="auto"/>
        </w:rPr>
        <w:t>交通较为便利。</w:t>
      </w:r>
    </w:p>
    <w:p w14:paraId="6CB40584">
      <w:pPr>
        <w:bidi w:val="0"/>
        <w:rPr>
          <w:rFonts w:hint="eastAsia"/>
          <w:color w:val="auto"/>
        </w:rPr>
      </w:pPr>
      <w:r>
        <w:rPr>
          <w:rFonts w:hint="eastAsia"/>
          <w:color w:val="auto"/>
          <w:lang w:eastAsia="zh-CN"/>
        </w:rPr>
        <w:t>鄱阳县响水滩乡禾互山建筑用石料矿</w:t>
      </w:r>
      <w:r>
        <w:rPr>
          <w:rFonts w:hint="eastAsia"/>
          <w:color w:val="auto"/>
        </w:rPr>
        <w:t>于202</w:t>
      </w:r>
      <w:r>
        <w:rPr>
          <w:rFonts w:hint="eastAsia"/>
          <w:color w:val="auto"/>
          <w:lang w:val="en-US" w:eastAsia="zh-CN"/>
        </w:rPr>
        <w:t>3</w:t>
      </w:r>
      <w:r>
        <w:rPr>
          <w:rFonts w:hint="eastAsia"/>
          <w:color w:val="auto"/>
        </w:rPr>
        <w:t>年04月</w:t>
      </w:r>
      <w:r>
        <w:rPr>
          <w:rFonts w:hint="eastAsia"/>
          <w:color w:val="auto"/>
          <w:lang w:val="en-US" w:eastAsia="zh-CN"/>
        </w:rPr>
        <w:t>06</w:t>
      </w:r>
      <w:r>
        <w:rPr>
          <w:rFonts w:hint="eastAsia"/>
          <w:color w:val="auto"/>
        </w:rPr>
        <w:t>日获得了</w:t>
      </w:r>
      <w:r>
        <w:rPr>
          <w:rFonts w:hint="eastAsia"/>
          <w:color w:val="auto"/>
          <w:lang w:eastAsia="zh-CN"/>
        </w:rPr>
        <w:t>鄱阳县</w:t>
      </w:r>
      <w:r>
        <w:rPr>
          <w:rFonts w:hint="eastAsia"/>
          <w:color w:val="auto"/>
          <w:lang w:val="en-US" w:eastAsia="zh-CN"/>
        </w:rPr>
        <w:t>应急管理局</w:t>
      </w:r>
      <w:r>
        <w:rPr>
          <w:rFonts w:hint="eastAsia"/>
          <w:color w:val="auto"/>
        </w:rPr>
        <w:t>颁发的安全生产许可证，证号为（赣）FM安许证字</w:t>
      </w:r>
      <w:r>
        <w:rPr>
          <w:rFonts w:hint="eastAsia" w:asciiTheme="minorEastAsia" w:hAnsiTheme="minorEastAsia" w:eastAsiaTheme="minorEastAsia" w:cstheme="minorEastAsia"/>
          <w:color w:val="auto"/>
        </w:rPr>
        <w:t>[</w:t>
      </w:r>
      <w:r>
        <w:rPr>
          <w:rFonts w:hint="eastAsia"/>
          <w:color w:val="auto"/>
        </w:rPr>
        <w:t>2023</w:t>
      </w:r>
      <w:r>
        <w:rPr>
          <w:rFonts w:hint="eastAsia" w:asciiTheme="minorEastAsia" w:hAnsiTheme="minorEastAsia" w:eastAsiaTheme="minorEastAsia" w:cstheme="minorEastAsia"/>
          <w:color w:val="auto"/>
        </w:rPr>
        <w:t>]</w:t>
      </w:r>
      <w:r>
        <w:rPr>
          <w:rFonts w:hint="eastAsia" w:eastAsiaTheme="minorEastAsia"/>
          <w:color w:val="auto"/>
          <w:lang w:val="en-US" w:eastAsia="zh-CN"/>
        </w:rPr>
        <w:t>EK05</w:t>
      </w:r>
      <w:r>
        <w:rPr>
          <w:rFonts w:hint="eastAsia"/>
          <w:color w:val="auto"/>
        </w:rPr>
        <w:t>号，许可范围：</w:t>
      </w:r>
      <w:r>
        <w:rPr>
          <w:rFonts w:hint="eastAsia"/>
          <w:color w:val="auto"/>
          <w:lang w:val="en-US" w:eastAsia="zh-CN"/>
        </w:rPr>
        <w:t>露天爆破开采建筑用砂岩，35万吨/年，+180m、+170m</w:t>
      </w:r>
      <w:r>
        <w:rPr>
          <w:rFonts w:hint="eastAsia"/>
          <w:color w:val="auto"/>
        </w:rPr>
        <w:t>等</w:t>
      </w:r>
      <w:r>
        <w:rPr>
          <w:rFonts w:hint="eastAsia"/>
          <w:color w:val="auto"/>
          <w:lang w:val="en-US" w:eastAsia="zh-CN"/>
        </w:rPr>
        <w:t>两个</w:t>
      </w:r>
      <w:r>
        <w:rPr>
          <w:rFonts w:hint="eastAsia"/>
          <w:color w:val="auto"/>
        </w:rPr>
        <w:t>台阶</w:t>
      </w:r>
      <w:r>
        <w:rPr>
          <w:rFonts w:hint="eastAsia"/>
          <w:color w:val="auto"/>
          <w:lang w:eastAsia="zh-CN"/>
        </w:rPr>
        <w:t>，</w:t>
      </w:r>
      <w:r>
        <w:rPr>
          <w:rFonts w:hint="eastAsia"/>
          <w:color w:val="auto"/>
          <w:lang w:val="en-US" w:eastAsia="zh-CN"/>
        </w:rPr>
        <w:t>台阶坡面角65°</w:t>
      </w:r>
      <w:r>
        <w:rPr>
          <w:rFonts w:hint="eastAsia"/>
          <w:color w:val="auto"/>
        </w:rPr>
        <w:t>。</w:t>
      </w:r>
      <w:r>
        <w:rPr>
          <w:rFonts w:hint="default"/>
          <w:color w:val="auto"/>
          <w:lang w:val="en-US" w:eastAsia="zh-CN"/>
        </w:rPr>
        <w:t>20</w:t>
      </w:r>
      <w:r>
        <w:rPr>
          <w:rFonts w:hint="eastAsia"/>
          <w:color w:val="auto"/>
          <w:lang w:val="en-US" w:eastAsia="zh-CN"/>
        </w:rPr>
        <w:t>23</w:t>
      </w:r>
      <w:r>
        <w:rPr>
          <w:rFonts w:hint="default"/>
          <w:color w:val="auto"/>
          <w:lang w:val="en-US" w:eastAsia="zh-CN"/>
        </w:rPr>
        <w:t>年</w:t>
      </w:r>
      <w:r>
        <w:rPr>
          <w:rFonts w:hint="eastAsia"/>
          <w:color w:val="auto"/>
          <w:lang w:val="en-US" w:eastAsia="zh-CN"/>
        </w:rPr>
        <w:t>04</w:t>
      </w:r>
      <w:r>
        <w:rPr>
          <w:rFonts w:hint="default"/>
          <w:color w:val="auto"/>
          <w:lang w:val="en-US" w:eastAsia="zh-CN"/>
        </w:rPr>
        <w:t>月</w:t>
      </w:r>
      <w:r>
        <w:rPr>
          <w:rFonts w:hint="eastAsia"/>
          <w:color w:val="auto"/>
          <w:lang w:val="en-US" w:eastAsia="zh-CN"/>
        </w:rPr>
        <w:t>06</w:t>
      </w:r>
      <w:r>
        <w:rPr>
          <w:rFonts w:hint="default"/>
          <w:color w:val="auto"/>
          <w:lang w:val="en-US" w:eastAsia="zh-CN"/>
        </w:rPr>
        <w:t>日获得了</w:t>
      </w:r>
      <w:r>
        <w:rPr>
          <w:rFonts w:hint="eastAsia"/>
          <w:color w:val="auto"/>
          <w:lang w:val="en-US" w:eastAsia="zh-CN"/>
        </w:rPr>
        <w:t>鄱阳县应急管理局颁发的</w:t>
      </w:r>
      <w:r>
        <w:rPr>
          <w:rFonts w:hint="default"/>
          <w:color w:val="auto"/>
          <w:lang w:val="en-US" w:eastAsia="zh-CN"/>
        </w:rPr>
        <w:t>安全生产标准化</w:t>
      </w:r>
      <w:r>
        <w:rPr>
          <w:rFonts w:hint="eastAsia"/>
          <w:color w:val="auto"/>
          <w:lang w:val="en-US" w:eastAsia="zh-CN"/>
        </w:rPr>
        <w:t>三级证书</w:t>
      </w:r>
      <w:r>
        <w:rPr>
          <w:rFonts w:hint="eastAsia"/>
          <w:color w:val="auto"/>
          <w:lang w:eastAsia="zh-CN"/>
        </w:rPr>
        <w:t>，</w:t>
      </w:r>
      <w:r>
        <w:rPr>
          <w:rFonts w:hint="eastAsia"/>
          <w:color w:val="auto"/>
          <w:lang w:val="en-US" w:eastAsia="zh-CN"/>
        </w:rPr>
        <w:t>证书编号：赣AQBⅢKS202300001</w:t>
      </w:r>
      <w:r>
        <w:rPr>
          <w:rFonts w:hint="eastAsia"/>
          <w:color w:val="auto"/>
        </w:rPr>
        <w:t>。</w:t>
      </w:r>
    </w:p>
    <w:p w14:paraId="6F21D781">
      <w:pPr>
        <w:bidi w:val="0"/>
        <w:rPr>
          <w:rFonts w:hint="eastAsia"/>
          <w:color w:val="auto"/>
        </w:rPr>
      </w:pPr>
      <w:r>
        <w:rPr>
          <w:rFonts w:hint="eastAsia"/>
          <w:color w:val="auto"/>
        </w:rPr>
        <w:t>根据《中华人民共和国安全生产法》、《安全生产许可证条例》和《江西省非煤矿矿山企业安全生产许可证实施办法》等有关规定，为进一步加强非煤矿山安全生产监督管理，换证前应进行安全现状评价。受</w:t>
      </w:r>
      <w:r>
        <w:rPr>
          <w:rFonts w:hint="eastAsia"/>
          <w:color w:val="auto"/>
          <w:lang w:eastAsia="zh-CN"/>
        </w:rPr>
        <w:t>鄱阳县金义矿产有限公司</w:t>
      </w:r>
      <w:r>
        <w:rPr>
          <w:rFonts w:hint="eastAsia"/>
          <w:color w:val="auto"/>
        </w:rPr>
        <w:t>的委托，江西赣安安全生产科学技术咨询服务中心承担了</w:t>
      </w:r>
      <w:r>
        <w:rPr>
          <w:rFonts w:hint="eastAsia"/>
          <w:color w:val="auto"/>
          <w:lang w:val="en-US" w:eastAsia="zh-CN"/>
        </w:rPr>
        <w:t>鄱阳县响水滩乡禾互山建筑用石料矿</w:t>
      </w:r>
      <w:r>
        <w:rPr>
          <w:rFonts w:hint="eastAsia"/>
          <w:color w:val="auto"/>
        </w:rPr>
        <w:t>安全现状评价工作。</w:t>
      </w:r>
    </w:p>
    <w:p w14:paraId="73F468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rPr>
      </w:pPr>
      <w:r>
        <w:rPr>
          <w:rFonts w:hint="eastAsia"/>
          <w:color w:val="auto"/>
        </w:rPr>
        <w:t>按</w:t>
      </w:r>
      <w:r>
        <w:rPr>
          <w:rFonts w:hint="eastAsia"/>
          <w:b w:val="0"/>
          <w:bCs w:val="0"/>
          <w:color w:val="auto"/>
        </w:rPr>
        <w:t>照《安全评价通则》的要求，我中心评价专家组于202</w:t>
      </w:r>
      <w:r>
        <w:rPr>
          <w:rFonts w:hint="eastAsia"/>
          <w:b w:val="0"/>
          <w:bCs w:val="0"/>
          <w:color w:val="auto"/>
          <w:lang w:val="en-US" w:eastAsia="zh-CN"/>
        </w:rPr>
        <w:t>6</w:t>
      </w:r>
      <w:r>
        <w:rPr>
          <w:rFonts w:hint="eastAsia"/>
          <w:b w:val="0"/>
          <w:bCs w:val="0"/>
          <w:color w:val="auto"/>
        </w:rPr>
        <w:t>年</w:t>
      </w:r>
      <w:r>
        <w:rPr>
          <w:rFonts w:hint="eastAsia"/>
          <w:b w:val="0"/>
          <w:bCs w:val="0"/>
          <w:color w:val="auto"/>
          <w:lang w:val="en-US" w:eastAsia="zh-CN"/>
        </w:rPr>
        <w:t>4</w:t>
      </w:r>
      <w:r>
        <w:rPr>
          <w:rFonts w:hint="eastAsia"/>
          <w:b w:val="0"/>
          <w:bCs w:val="0"/>
          <w:color w:val="auto"/>
        </w:rPr>
        <w:t>月</w:t>
      </w:r>
      <w:r>
        <w:rPr>
          <w:rFonts w:hint="eastAsia"/>
          <w:b w:val="0"/>
          <w:bCs w:val="0"/>
          <w:color w:val="auto"/>
          <w:lang w:val="en-US" w:eastAsia="zh-CN"/>
        </w:rPr>
        <w:t>24</w:t>
      </w:r>
      <w:r>
        <w:rPr>
          <w:rFonts w:hint="eastAsia"/>
          <w:b w:val="0"/>
          <w:bCs w:val="0"/>
          <w:color w:val="auto"/>
        </w:rPr>
        <w:t>日、</w:t>
      </w:r>
      <w:r>
        <w:rPr>
          <w:rFonts w:hint="eastAsia"/>
          <w:b w:val="0"/>
          <w:bCs w:val="0"/>
          <w:color w:val="auto"/>
          <w:lang w:val="en-US" w:eastAsia="zh-CN"/>
        </w:rPr>
        <w:t>5</w:t>
      </w:r>
      <w:r>
        <w:rPr>
          <w:rFonts w:hint="eastAsia"/>
          <w:b w:val="0"/>
          <w:bCs w:val="0"/>
          <w:color w:val="auto"/>
        </w:rPr>
        <w:t>月</w:t>
      </w:r>
      <w:r>
        <w:rPr>
          <w:rFonts w:hint="eastAsia"/>
          <w:b w:val="0"/>
          <w:bCs w:val="0"/>
          <w:color w:val="auto"/>
          <w:lang w:val="en-US" w:eastAsia="zh-CN"/>
        </w:rPr>
        <w:t>13</w:t>
      </w:r>
      <w:r>
        <w:rPr>
          <w:rFonts w:hint="eastAsia"/>
          <w:b w:val="0"/>
          <w:bCs w:val="0"/>
          <w:color w:val="auto"/>
        </w:rPr>
        <w:t>日对</w:t>
      </w:r>
      <w:r>
        <w:rPr>
          <w:rFonts w:hint="eastAsia"/>
          <w:color w:val="auto"/>
        </w:rPr>
        <w:t>该矿进行现场调研</w:t>
      </w:r>
      <w:r>
        <w:rPr>
          <w:rFonts w:hint="eastAsia"/>
          <w:color w:val="auto"/>
          <w:lang w:eastAsia="zh-CN"/>
        </w:rPr>
        <w:t>、</w:t>
      </w:r>
      <w:r>
        <w:rPr>
          <w:rFonts w:hint="eastAsia"/>
          <w:color w:val="auto"/>
          <w:lang w:val="en-US" w:eastAsia="zh-CN"/>
        </w:rPr>
        <w:t>检查和复查</w:t>
      </w:r>
      <w:r>
        <w:rPr>
          <w:rFonts w:hint="eastAsia"/>
          <w:color w:val="auto"/>
        </w:rPr>
        <w:t>，收集有关法律法规、技术标准、矿山设计资料、安全技术与安全管理措施资料和矿山现状资料。根据该矿的生产工艺特点和环境条件，针对矿山生产运行过程中设备、设施、安全装置实际情况和管理状况的调查分析，定性、定量地分析其生产过程中存在的危险、有害因素，确定其危险度，对其安全生产现状况作出客观的评价，对存在的问题提出合理可行的安全对策措施及建议，在此基础上编制本评价报告，作为企业取得安全生产许可证延期换证的技术依据之一。</w:t>
      </w:r>
    </w:p>
    <w:p w14:paraId="6A23FBFC">
      <w:pPr>
        <w:rPr>
          <w:rFonts w:hint="eastAsia"/>
          <w:color w:val="auto"/>
          <w:lang w:val="en-US" w:eastAsia="zh-CN"/>
        </w:rPr>
      </w:pPr>
      <w:r>
        <w:rPr>
          <w:rFonts w:hint="eastAsia"/>
          <w:color w:val="auto"/>
          <w:lang w:val="en-US" w:eastAsia="zh-CN"/>
        </w:rPr>
        <w:br w:type="page"/>
      </w:r>
    </w:p>
    <w:p w14:paraId="5C5A8D6E">
      <w:pPr>
        <w:pStyle w:val="3"/>
        <w:bidi w:val="0"/>
        <w:ind w:left="0" w:leftChars="0" w:firstLine="0" w:firstLineChars="0"/>
        <w:jc w:val="center"/>
      </w:pPr>
      <w:bookmarkStart w:id="4" w:name="_Toc32115"/>
      <w:bookmarkStart w:id="5" w:name="_Toc20207"/>
      <w:bookmarkStart w:id="6" w:name="_Toc18399"/>
      <w:r>
        <w:rPr>
          <w:rStyle w:val="43"/>
          <w:rFonts w:hint="eastAsia"/>
          <w:b/>
          <w:color w:val="auto"/>
          <w:lang w:val="en-US" w:eastAsia="zh-CN"/>
        </w:rPr>
        <w:t>目    录</w:t>
      </w:r>
      <w:bookmarkEnd w:id="4"/>
      <w:bookmarkEnd w:id="5"/>
      <w:bookmarkEnd w:id="6"/>
      <w:r>
        <w:rPr>
          <w:rStyle w:val="43"/>
          <w:rFonts w:hint="eastAsia"/>
          <w:b/>
          <w:color w:val="auto"/>
          <w:lang w:val="en-US" w:eastAsia="zh-CN"/>
        </w:rPr>
        <w:fldChar w:fldCharType="begin"/>
      </w:r>
      <w:r>
        <w:rPr>
          <w:rStyle w:val="43"/>
          <w:rFonts w:hint="eastAsia"/>
          <w:b/>
          <w:color w:val="auto"/>
          <w:lang w:val="en-US" w:eastAsia="zh-CN"/>
        </w:rPr>
        <w:instrText xml:space="preserve">TOC \o "1-3" \h \u </w:instrText>
      </w:r>
      <w:r>
        <w:rPr>
          <w:rStyle w:val="43"/>
          <w:rFonts w:hint="eastAsia"/>
          <w:b/>
          <w:color w:val="auto"/>
          <w:lang w:val="en-US" w:eastAsia="zh-CN"/>
        </w:rPr>
        <w:fldChar w:fldCharType="separate"/>
      </w:r>
      <w:r>
        <w:rPr>
          <w:rFonts w:hint="eastAsia"/>
          <w:color w:val="auto"/>
          <w:lang w:val="en-US" w:eastAsia="zh-CN"/>
        </w:rPr>
        <w:fldChar w:fldCharType="begin"/>
      </w:r>
      <w:r>
        <w:rPr>
          <w:rFonts w:hint="eastAsia"/>
          <w:lang w:val="en-US" w:eastAsia="zh-CN"/>
        </w:rPr>
        <w:instrText xml:space="preserve"> HYPERLINK \l _Toc8079 </w:instrText>
      </w:r>
      <w:r>
        <w:rPr>
          <w:rFonts w:hint="eastAsia"/>
          <w:lang w:val="en-US" w:eastAsia="zh-CN"/>
        </w:rPr>
        <w:fldChar w:fldCharType="separate"/>
      </w:r>
      <w:r>
        <w:rPr>
          <w:rFonts w:hint="eastAsia"/>
          <w:color w:val="auto"/>
          <w:lang w:val="en-US" w:eastAsia="zh-CN"/>
        </w:rPr>
        <w:fldChar w:fldCharType="end"/>
      </w:r>
    </w:p>
    <w:p w14:paraId="4A2968C3">
      <w:pPr>
        <w:pStyle w:val="14"/>
        <w:keepNext w:val="0"/>
        <w:keepLines w:val="0"/>
        <w:pageBreakBefore w:val="0"/>
        <w:widowControl w:val="0"/>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_Toc9737 </w:instrText>
      </w:r>
      <w:r>
        <w:rPr>
          <w:rFonts w:hint="eastAsia"/>
          <w:lang w:val="en-US" w:eastAsia="zh-CN"/>
        </w:rPr>
        <w:fldChar w:fldCharType="separate"/>
      </w:r>
      <w:r>
        <w:rPr>
          <w:rFonts w:hint="eastAsia"/>
        </w:rPr>
        <w:t xml:space="preserve">1. </w:t>
      </w:r>
      <w:r>
        <w:rPr>
          <w:rFonts w:hint="eastAsia"/>
          <w:lang w:val="en-US" w:eastAsia="zh-CN"/>
        </w:rPr>
        <w:t>评价</w:t>
      </w:r>
      <w:r>
        <w:rPr>
          <w:rFonts w:hint="eastAsia"/>
        </w:rPr>
        <w:t>概述</w:t>
      </w:r>
      <w:r>
        <w:tab/>
      </w:r>
      <w:r>
        <w:fldChar w:fldCharType="begin"/>
      </w:r>
      <w:r>
        <w:instrText xml:space="preserve"> PAGEREF _Toc9737 \h </w:instrText>
      </w:r>
      <w:r>
        <w:fldChar w:fldCharType="separate"/>
      </w:r>
      <w:r>
        <w:t>1</w:t>
      </w:r>
      <w:r>
        <w:fldChar w:fldCharType="end"/>
      </w:r>
      <w:r>
        <w:rPr>
          <w:rFonts w:hint="eastAsia"/>
          <w:color w:val="auto"/>
          <w:lang w:val="en-US" w:eastAsia="zh-CN"/>
        </w:rPr>
        <w:fldChar w:fldCharType="end"/>
      </w:r>
    </w:p>
    <w:p w14:paraId="5B499D8A">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_Toc26811 </w:instrText>
      </w:r>
      <w:r>
        <w:rPr>
          <w:rFonts w:hint="eastAsia"/>
          <w:lang w:val="en-US" w:eastAsia="zh-CN"/>
        </w:rPr>
        <w:fldChar w:fldCharType="separate"/>
      </w:r>
      <w:r>
        <w:rPr>
          <w:rFonts w:hint="eastAsia"/>
        </w:rPr>
        <w:t>1.1</w:t>
      </w:r>
      <w:r>
        <w:rPr>
          <w:rFonts w:hint="eastAsia"/>
          <w:lang w:val="en-US" w:eastAsia="zh-CN"/>
        </w:rPr>
        <w:t xml:space="preserve"> </w:t>
      </w:r>
      <w:r>
        <w:rPr>
          <w:rFonts w:hint="eastAsia"/>
        </w:rPr>
        <w:t>评价对象和范围</w:t>
      </w:r>
      <w:r>
        <w:tab/>
      </w:r>
      <w:r>
        <w:fldChar w:fldCharType="begin"/>
      </w:r>
      <w:r>
        <w:instrText xml:space="preserve"> PAGEREF _Toc26811 \h </w:instrText>
      </w:r>
      <w:r>
        <w:fldChar w:fldCharType="separate"/>
      </w:r>
      <w:r>
        <w:t>1</w:t>
      </w:r>
      <w:r>
        <w:fldChar w:fldCharType="end"/>
      </w:r>
      <w:r>
        <w:rPr>
          <w:rFonts w:hint="eastAsia"/>
          <w:color w:val="auto"/>
          <w:lang w:val="en-US" w:eastAsia="zh-CN"/>
        </w:rPr>
        <w:fldChar w:fldCharType="end"/>
      </w:r>
    </w:p>
    <w:p w14:paraId="23D79B25">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_Toc8594 </w:instrText>
      </w:r>
      <w:r>
        <w:rPr>
          <w:rFonts w:hint="eastAsia"/>
          <w:lang w:val="en-US" w:eastAsia="zh-CN"/>
        </w:rPr>
        <w:fldChar w:fldCharType="separate"/>
      </w:r>
      <w:r>
        <w:rPr>
          <w:rFonts w:hint="eastAsia"/>
        </w:rPr>
        <w:t>1.1.1</w:t>
      </w:r>
      <w:r>
        <w:rPr>
          <w:rFonts w:hint="eastAsia"/>
          <w:lang w:val="en-US" w:eastAsia="zh-CN"/>
        </w:rPr>
        <w:t xml:space="preserve"> </w:t>
      </w:r>
      <w:r>
        <w:rPr>
          <w:rFonts w:hint="eastAsia"/>
        </w:rPr>
        <w:t>评价对象</w:t>
      </w:r>
      <w:r>
        <w:tab/>
      </w:r>
      <w:r>
        <w:fldChar w:fldCharType="begin"/>
      </w:r>
      <w:r>
        <w:instrText xml:space="preserve"> PAGEREF _Toc8594 \h </w:instrText>
      </w:r>
      <w:r>
        <w:fldChar w:fldCharType="separate"/>
      </w:r>
      <w:r>
        <w:t>1</w:t>
      </w:r>
      <w:r>
        <w:fldChar w:fldCharType="end"/>
      </w:r>
      <w:r>
        <w:rPr>
          <w:rFonts w:hint="eastAsia"/>
          <w:color w:val="auto"/>
          <w:lang w:val="en-US" w:eastAsia="zh-CN"/>
        </w:rPr>
        <w:fldChar w:fldCharType="end"/>
      </w:r>
    </w:p>
    <w:p w14:paraId="5A3F07F9">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_Toc10617 </w:instrText>
      </w:r>
      <w:r>
        <w:rPr>
          <w:rFonts w:hint="eastAsia"/>
          <w:lang w:val="en-US" w:eastAsia="zh-CN"/>
        </w:rPr>
        <w:fldChar w:fldCharType="separate"/>
      </w:r>
      <w:r>
        <w:rPr>
          <w:rFonts w:hint="default"/>
          <w:lang w:val="en-US" w:eastAsia="zh-CN"/>
        </w:rPr>
        <w:t>1.1.2 评价范围</w:t>
      </w:r>
      <w:r>
        <w:tab/>
      </w:r>
      <w:r>
        <w:fldChar w:fldCharType="begin"/>
      </w:r>
      <w:r>
        <w:instrText xml:space="preserve"> PAGEREF _Toc10617 \h </w:instrText>
      </w:r>
      <w:r>
        <w:fldChar w:fldCharType="separate"/>
      </w:r>
      <w:r>
        <w:t>1</w:t>
      </w:r>
      <w:r>
        <w:fldChar w:fldCharType="end"/>
      </w:r>
      <w:r>
        <w:rPr>
          <w:rFonts w:hint="eastAsia"/>
          <w:color w:val="auto"/>
          <w:lang w:val="en-US" w:eastAsia="zh-CN"/>
        </w:rPr>
        <w:fldChar w:fldCharType="end"/>
      </w:r>
    </w:p>
    <w:p w14:paraId="3AD37126">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_Toc6893 </w:instrText>
      </w:r>
      <w:r>
        <w:rPr>
          <w:rFonts w:hint="eastAsia"/>
          <w:lang w:val="en-US" w:eastAsia="zh-CN"/>
        </w:rPr>
        <w:fldChar w:fldCharType="separate"/>
      </w:r>
      <w:r>
        <w:rPr>
          <w:rFonts w:hint="default"/>
          <w:lang w:val="en-US" w:eastAsia="zh-CN"/>
        </w:rPr>
        <w:t>1.2 评价目的和内容</w:t>
      </w:r>
      <w:r>
        <w:tab/>
      </w:r>
      <w:r>
        <w:fldChar w:fldCharType="begin"/>
      </w:r>
      <w:r>
        <w:instrText xml:space="preserve"> PAGEREF _Toc6893 \h </w:instrText>
      </w:r>
      <w:r>
        <w:fldChar w:fldCharType="separate"/>
      </w:r>
      <w:r>
        <w:t>1</w:t>
      </w:r>
      <w:r>
        <w:fldChar w:fldCharType="end"/>
      </w:r>
      <w:r>
        <w:rPr>
          <w:rFonts w:hint="eastAsia"/>
          <w:color w:val="auto"/>
          <w:lang w:val="en-US" w:eastAsia="zh-CN"/>
        </w:rPr>
        <w:fldChar w:fldCharType="end"/>
      </w:r>
    </w:p>
    <w:p w14:paraId="6EAA581A">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_Toc2504 </w:instrText>
      </w:r>
      <w:r>
        <w:rPr>
          <w:rFonts w:hint="eastAsia"/>
          <w:lang w:val="en-US" w:eastAsia="zh-CN"/>
        </w:rPr>
        <w:fldChar w:fldCharType="separate"/>
      </w:r>
      <w:r>
        <w:rPr>
          <w:rFonts w:hint="default"/>
          <w:lang w:val="en-US" w:eastAsia="zh-CN"/>
        </w:rPr>
        <w:t>1.2.1</w:t>
      </w:r>
      <w:r>
        <w:rPr>
          <w:rFonts w:hint="eastAsia"/>
          <w:lang w:val="en-US" w:eastAsia="zh-CN"/>
        </w:rPr>
        <w:t xml:space="preserve"> </w:t>
      </w:r>
      <w:r>
        <w:rPr>
          <w:rFonts w:hint="default"/>
          <w:lang w:val="en-US" w:eastAsia="zh-CN"/>
        </w:rPr>
        <w:t>评价目的</w:t>
      </w:r>
      <w:r>
        <w:tab/>
      </w:r>
      <w:r>
        <w:fldChar w:fldCharType="begin"/>
      </w:r>
      <w:r>
        <w:instrText xml:space="preserve"> PAGEREF _Toc2504 \h </w:instrText>
      </w:r>
      <w:r>
        <w:fldChar w:fldCharType="separate"/>
      </w:r>
      <w:r>
        <w:t>1</w:t>
      </w:r>
      <w:r>
        <w:fldChar w:fldCharType="end"/>
      </w:r>
      <w:r>
        <w:rPr>
          <w:rFonts w:hint="eastAsia"/>
          <w:color w:val="auto"/>
          <w:lang w:val="en-US" w:eastAsia="zh-CN"/>
        </w:rPr>
        <w:fldChar w:fldCharType="end"/>
      </w:r>
    </w:p>
    <w:p w14:paraId="75C5BEFA">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_Toc6016 </w:instrText>
      </w:r>
      <w:r>
        <w:rPr>
          <w:rFonts w:hint="eastAsia"/>
          <w:lang w:val="en-US" w:eastAsia="zh-CN"/>
        </w:rPr>
        <w:fldChar w:fldCharType="separate"/>
      </w:r>
      <w:r>
        <w:rPr>
          <w:rFonts w:hint="default"/>
          <w:lang w:val="en-US" w:eastAsia="zh-CN"/>
        </w:rPr>
        <w:t>1.2.2</w:t>
      </w:r>
      <w:r>
        <w:rPr>
          <w:rFonts w:hint="eastAsia"/>
          <w:lang w:val="en-US" w:eastAsia="zh-CN"/>
        </w:rPr>
        <w:t xml:space="preserve"> </w:t>
      </w:r>
      <w:r>
        <w:rPr>
          <w:rFonts w:hint="default"/>
          <w:lang w:val="en-US" w:eastAsia="zh-CN"/>
        </w:rPr>
        <w:t>评价内容</w:t>
      </w:r>
      <w:r>
        <w:tab/>
      </w:r>
      <w:r>
        <w:fldChar w:fldCharType="begin"/>
      </w:r>
      <w:r>
        <w:instrText xml:space="preserve"> PAGEREF _Toc6016 \h </w:instrText>
      </w:r>
      <w:r>
        <w:fldChar w:fldCharType="separate"/>
      </w:r>
      <w:r>
        <w:t>2</w:t>
      </w:r>
      <w:r>
        <w:fldChar w:fldCharType="end"/>
      </w:r>
      <w:r>
        <w:rPr>
          <w:rFonts w:hint="eastAsia"/>
          <w:color w:val="auto"/>
          <w:lang w:val="en-US" w:eastAsia="zh-CN"/>
        </w:rPr>
        <w:fldChar w:fldCharType="end"/>
      </w:r>
    </w:p>
    <w:p w14:paraId="549D5D8A">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_Toc13234 </w:instrText>
      </w:r>
      <w:r>
        <w:rPr>
          <w:rFonts w:hint="eastAsia"/>
          <w:lang w:val="en-US" w:eastAsia="zh-CN"/>
        </w:rPr>
        <w:fldChar w:fldCharType="separate"/>
      </w:r>
      <w:r>
        <w:rPr>
          <w:rFonts w:hint="default"/>
          <w:lang w:val="en-US" w:eastAsia="zh-CN"/>
        </w:rPr>
        <w:t>1.3 评价依据</w:t>
      </w:r>
      <w:r>
        <w:tab/>
      </w:r>
      <w:r>
        <w:fldChar w:fldCharType="begin"/>
      </w:r>
      <w:r>
        <w:instrText xml:space="preserve"> PAGEREF _Toc13234 \h </w:instrText>
      </w:r>
      <w:r>
        <w:fldChar w:fldCharType="separate"/>
      </w:r>
      <w:r>
        <w:t>2</w:t>
      </w:r>
      <w:r>
        <w:fldChar w:fldCharType="end"/>
      </w:r>
      <w:r>
        <w:rPr>
          <w:rFonts w:hint="eastAsia"/>
          <w:color w:val="auto"/>
          <w:lang w:val="en-US" w:eastAsia="zh-CN"/>
        </w:rPr>
        <w:fldChar w:fldCharType="end"/>
      </w:r>
    </w:p>
    <w:p w14:paraId="674B3924">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_Toc21117 </w:instrText>
      </w:r>
      <w:r>
        <w:rPr>
          <w:rFonts w:hint="eastAsia"/>
          <w:lang w:val="en-US" w:eastAsia="zh-CN"/>
        </w:rPr>
        <w:fldChar w:fldCharType="separate"/>
      </w:r>
      <w:r>
        <w:rPr>
          <w:rFonts w:hint="default"/>
          <w:lang w:val="en-US" w:eastAsia="zh-CN"/>
        </w:rPr>
        <w:t>1.3.1 法律、法规</w:t>
      </w:r>
      <w:r>
        <w:tab/>
      </w:r>
      <w:r>
        <w:fldChar w:fldCharType="begin"/>
      </w:r>
      <w:r>
        <w:instrText xml:space="preserve"> PAGEREF _Toc21117 \h </w:instrText>
      </w:r>
      <w:r>
        <w:fldChar w:fldCharType="separate"/>
      </w:r>
      <w:r>
        <w:t>2</w:t>
      </w:r>
      <w:r>
        <w:fldChar w:fldCharType="end"/>
      </w:r>
      <w:r>
        <w:rPr>
          <w:rFonts w:hint="eastAsia"/>
          <w:color w:val="auto"/>
          <w:lang w:val="en-US" w:eastAsia="zh-CN"/>
        </w:rPr>
        <w:fldChar w:fldCharType="end"/>
      </w:r>
    </w:p>
    <w:p w14:paraId="1310B229">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_Toc4519 </w:instrText>
      </w:r>
      <w:r>
        <w:rPr>
          <w:rFonts w:hint="eastAsia"/>
          <w:lang w:val="en-US" w:eastAsia="zh-CN"/>
        </w:rPr>
        <w:fldChar w:fldCharType="separate"/>
      </w:r>
      <w:r>
        <w:rPr>
          <w:rFonts w:hint="default"/>
          <w:lang w:val="en-US" w:eastAsia="zh-CN"/>
        </w:rPr>
        <w:t>1.3.2 规章、规范性文件</w:t>
      </w:r>
      <w:r>
        <w:tab/>
      </w:r>
      <w:r>
        <w:fldChar w:fldCharType="begin"/>
      </w:r>
      <w:r>
        <w:instrText xml:space="preserve"> PAGEREF _Toc4519 \h </w:instrText>
      </w:r>
      <w:r>
        <w:fldChar w:fldCharType="separate"/>
      </w:r>
      <w:r>
        <w:t>6</w:t>
      </w:r>
      <w:r>
        <w:fldChar w:fldCharType="end"/>
      </w:r>
      <w:r>
        <w:rPr>
          <w:rFonts w:hint="eastAsia"/>
          <w:color w:val="auto"/>
          <w:lang w:val="en-US" w:eastAsia="zh-CN"/>
        </w:rPr>
        <w:fldChar w:fldCharType="end"/>
      </w:r>
    </w:p>
    <w:p w14:paraId="341ADF67">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_Toc24696 </w:instrText>
      </w:r>
      <w:r>
        <w:rPr>
          <w:rFonts w:hint="eastAsia"/>
          <w:lang w:val="en-US" w:eastAsia="zh-CN"/>
        </w:rPr>
        <w:fldChar w:fldCharType="separate"/>
      </w:r>
      <w:r>
        <w:rPr>
          <w:rFonts w:hint="default"/>
          <w:lang w:val="en-US" w:eastAsia="zh-CN"/>
        </w:rPr>
        <w:t>1.3.3 标准、规范</w:t>
      </w:r>
      <w:r>
        <w:tab/>
      </w:r>
      <w:r>
        <w:fldChar w:fldCharType="begin"/>
      </w:r>
      <w:r>
        <w:instrText xml:space="preserve"> PAGEREF _Toc24696 \h </w:instrText>
      </w:r>
      <w:r>
        <w:fldChar w:fldCharType="separate"/>
      </w:r>
      <w:r>
        <w:t>10</w:t>
      </w:r>
      <w:r>
        <w:fldChar w:fldCharType="end"/>
      </w:r>
      <w:r>
        <w:rPr>
          <w:rFonts w:hint="eastAsia"/>
          <w:color w:val="auto"/>
          <w:lang w:val="en-US" w:eastAsia="zh-CN"/>
        </w:rPr>
        <w:fldChar w:fldCharType="end"/>
      </w:r>
    </w:p>
    <w:p w14:paraId="60648F1C">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_Toc29255 </w:instrText>
      </w:r>
      <w:r>
        <w:rPr>
          <w:rFonts w:hint="eastAsia"/>
          <w:lang w:val="en-US" w:eastAsia="zh-CN"/>
        </w:rPr>
        <w:fldChar w:fldCharType="separate"/>
      </w:r>
      <w:r>
        <w:rPr>
          <w:rFonts w:hint="default"/>
          <w:lang w:val="en-US" w:eastAsia="zh-CN"/>
        </w:rPr>
        <w:t>1.3.</w:t>
      </w:r>
      <w:r>
        <w:rPr>
          <w:rFonts w:hint="eastAsia"/>
          <w:lang w:val="en-US" w:eastAsia="zh-CN"/>
        </w:rPr>
        <w:t>4</w:t>
      </w:r>
      <w:r>
        <w:rPr>
          <w:rFonts w:hint="default"/>
          <w:lang w:val="en-US" w:eastAsia="zh-CN"/>
        </w:rPr>
        <w:t xml:space="preserve"> 建设项目技术资料</w:t>
      </w:r>
      <w:r>
        <w:tab/>
      </w:r>
      <w:r>
        <w:fldChar w:fldCharType="begin"/>
      </w:r>
      <w:r>
        <w:instrText xml:space="preserve"> PAGEREF _Toc29255 \h </w:instrText>
      </w:r>
      <w:r>
        <w:fldChar w:fldCharType="separate"/>
      </w:r>
      <w:r>
        <w:t>11</w:t>
      </w:r>
      <w:r>
        <w:fldChar w:fldCharType="end"/>
      </w:r>
      <w:r>
        <w:rPr>
          <w:rFonts w:hint="eastAsia"/>
          <w:color w:val="auto"/>
          <w:lang w:val="en-US" w:eastAsia="zh-CN"/>
        </w:rPr>
        <w:fldChar w:fldCharType="end"/>
      </w:r>
    </w:p>
    <w:p w14:paraId="5E8A462A">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_Toc6276 </w:instrText>
      </w:r>
      <w:r>
        <w:rPr>
          <w:rFonts w:hint="eastAsia"/>
          <w:lang w:val="en-US" w:eastAsia="zh-CN"/>
        </w:rPr>
        <w:fldChar w:fldCharType="separate"/>
      </w:r>
      <w:r>
        <w:rPr>
          <w:rFonts w:hint="default"/>
          <w:lang w:val="en-US" w:eastAsia="zh-CN"/>
        </w:rPr>
        <w:t>1.4</w:t>
      </w:r>
      <w:r>
        <w:rPr>
          <w:rFonts w:hint="eastAsia"/>
          <w:lang w:val="en-US" w:eastAsia="zh-CN"/>
        </w:rPr>
        <w:t xml:space="preserve"> </w:t>
      </w:r>
      <w:r>
        <w:rPr>
          <w:rFonts w:hint="default"/>
          <w:lang w:val="en-US" w:eastAsia="zh-CN"/>
        </w:rPr>
        <w:t>评价程序</w:t>
      </w:r>
      <w:r>
        <w:tab/>
      </w:r>
      <w:r>
        <w:fldChar w:fldCharType="begin"/>
      </w:r>
      <w:r>
        <w:instrText xml:space="preserve"> PAGEREF _Toc6276 \h </w:instrText>
      </w:r>
      <w:r>
        <w:fldChar w:fldCharType="separate"/>
      </w:r>
      <w:r>
        <w:t>12</w:t>
      </w:r>
      <w:r>
        <w:fldChar w:fldCharType="end"/>
      </w:r>
      <w:r>
        <w:rPr>
          <w:rFonts w:hint="eastAsia"/>
          <w:color w:val="auto"/>
          <w:lang w:val="en-US" w:eastAsia="zh-CN"/>
        </w:rPr>
        <w:fldChar w:fldCharType="end"/>
      </w:r>
    </w:p>
    <w:p w14:paraId="40B4ADCA">
      <w:pPr>
        <w:pStyle w:val="14"/>
        <w:keepNext w:val="0"/>
        <w:keepLines w:val="0"/>
        <w:pageBreakBefore w:val="0"/>
        <w:widowControl w:val="0"/>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_Toc20358 </w:instrText>
      </w:r>
      <w:r>
        <w:rPr>
          <w:rFonts w:hint="eastAsia"/>
          <w:lang w:val="en-US" w:eastAsia="zh-CN"/>
        </w:rPr>
        <w:fldChar w:fldCharType="separate"/>
      </w:r>
      <w:r>
        <w:rPr>
          <w:rFonts w:hint="default" w:ascii="Times New Roman" w:hAnsi="Times New Roman" w:cs="Times New Roman"/>
          <w:lang w:val="en-US" w:eastAsia="zh-CN"/>
        </w:rPr>
        <w:t>2. 项目概况</w:t>
      </w:r>
      <w:r>
        <w:tab/>
      </w:r>
      <w:r>
        <w:fldChar w:fldCharType="begin"/>
      </w:r>
      <w:r>
        <w:instrText xml:space="preserve"> PAGEREF _Toc20358 \h </w:instrText>
      </w:r>
      <w:r>
        <w:fldChar w:fldCharType="separate"/>
      </w:r>
      <w:r>
        <w:t>13</w:t>
      </w:r>
      <w:r>
        <w:fldChar w:fldCharType="end"/>
      </w:r>
      <w:r>
        <w:rPr>
          <w:rFonts w:hint="eastAsia"/>
          <w:color w:val="auto"/>
          <w:lang w:val="en-US" w:eastAsia="zh-CN"/>
        </w:rPr>
        <w:fldChar w:fldCharType="end"/>
      </w:r>
    </w:p>
    <w:p w14:paraId="3EF68C8A">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_Toc14147 </w:instrText>
      </w:r>
      <w:r>
        <w:rPr>
          <w:rFonts w:hint="eastAsia"/>
          <w:lang w:val="en-US" w:eastAsia="zh-CN"/>
        </w:rPr>
        <w:fldChar w:fldCharType="separate"/>
      </w:r>
      <w:r>
        <w:rPr>
          <w:rFonts w:hint="default"/>
          <w:lang w:val="en-US" w:eastAsia="zh-CN"/>
        </w:rPr>
        <w:t>2.1</w:t>
      </w:r>
      <w:r>
        <w:rPr>
          <w:rFonts w:hint="eastAsia"/>
          <w:lang w:val="en-US" w:eastAsia="zh-CN"/>
        </w:rPr>
        <w:t xml:space="preserve"> </w:t>
      </w:r>
      <w:r>
        <w:rPr>
          <w:rFonts w:hint="default"/>
          <w:lang w:val="en-US" w:eastAsia="zh-CN"/>
        </w:rPr>
        <w:t>建设单位概况</w:t>
      </w:r>
      <w:r>
        <w:tab/>
      </w:r>
      <w:r>
        <w:fldChar w:fldCharType="begin"/>
      </w:r>
      <w:r>
        <w:instrText xml:space="preserve"> PAGEREF _Toc14147 \h </w:instrText>
      </w:r>
      <w:r>
        <w:fldChar w:fldCharType="separate"/>
      </w:r>
      <w:r>
        <w:t>13</w:t>
      </w:r>
      <w:r>
        <w:fldChar w:fldCharType="end"/>
      </w:r>
      <w:r>
        <w:rPr>
          <w:rFonts w:hint="eastAsia"/>
          <w:color w:val="auto"/>
          <w:lang w:val="en-US" w:eastAsia="zh-CN"/>
        </w:rPr>
        <w:fldChar w:fldCharType="end"/>
      </w:r>
    </w:p>
    <w:p w14:paraId="6EAF6567">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_Toc31731 </w:instrText>
      </w:r>
      <w:r>
        <w:rPr>
          <w:rFonts w:hint="eastAsia"/>
          <w:lang w:val="en-US" w:eastAsia="zh-CN"/>
        </w:rPr>
        <w:fldChar w:fldCharType="separate"/>
      </w:r>
      <w:r>
        <w:rPr>
          <w:rFonts w:hint="default"/>
          <w:lang w:val="en-US" w:eastAsia="zh-CN"/>
        </w:rPr>
        <w:t>2.1.1</w:t>
      </w:r>
      <w:r>
        <w:rPr>
          <w:rFonts w:hint="eastAsia"/>
          <w:lang w:val="en-US" w:eastAsia="zh-CN"/>
        </w:rPr>
        <w:t xml:space="preserve"> </w:t>
      </w:r>
      <w:r>
        <w:rPr>
          <w:rFonts w:hint="default"/>
          <w:lang w:val="en-US" w:eastAsia="zh-CN"/>
        </w:rPr>
        <w:t>建设单位简介及项目</w:t>
      </w:r>
      <w:r>
        <w:rPr>
          <w:rFonts w:hint="eastAsia"/>
          <w:lang w:val="en-US" w:eastAsia="zh-CN"/>
        </w:rPr>
        <w:t>情况</w:t>
      </w:r>
      <w:r>
        <w:tab/>
      </w:r>
      <w:r>
        <w:fldChar w:fldCharType="begin"/>
      </w:r>
      <w:r>
        <w:instrText xml:space="preserve"> PAGEREF _Toc31731 \h </w:instrText>
      </w:r>
      <w:r>
        <w:fldChar w:fldCharType="separate"/>
      </w:r>
      <w:r>
        <w:t>13</w:t>
      </w:r>
      <w:r>
        <w:fldChar w:fldCharType="end"/>
      </w:r>
      <w:r>
        <w:rPr>
          <w:rFonts w:hint="eastAsia"/>
          <w:color w:val="auto"/>
          <w:lang w:val="en-US" w:eastAsia="zh-CN"/>
        </w:rPr>
        <w:fldChar w:fldCharType="end"/>
      </w:r>
    </w:p>
    <w:p w14:paraId="245C99B0">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_Toc5020 </w:instrText>
      </w:r>
      <w:r>
        <w:rPr>
          <w:rFonts w:hint="eastAsia"/>
          <w:lang w:val="en-US" w:eastAsia="zh-CN"/>
        </w:rPr>
        <w:fldChar w:fldCharType="separate"/>
      </w:r>
      <w:r>
        <w:rPr>
          <w:rFonts w:hint="default"/>
          <w:lang w:val="en-US" w:eastAsia="zh-CN"/>
        </w:rPr>
        <w:t>2.1.2</w:t>
      </w:r>
      <w:r>
        <w:rPr>
          <w:rFonts w:hint="eastAsia"/>
          <w:lang w:val="en-US" w:eastAsia="zh-CN"/>
        </w:rPr>
        <w:t xml:space="preserve"> </w:t>
      </w:r>
      <w:r>
        <w:rPr>
          <w:rFonts w:hint="default"/>
          <w:lang w:val="en-US" w:eastAsia="zh-CN"/>
        </w:rPr>
        <w:t>地理位置及交通</w:t>
      </w:r>
      <w:r>
        <w:tab/>
      </w:r>
      <w:r>
        <w:fldChar w:fldCharType="begin"/>
      </w:r>
      <w:r>
        <w:instrText xml:space="preserve"> PAGEREF _Toc5020 \h </w:instrText>
      </w:r>
      <w:r>
        <w:fldChar w:fldCharType="separate"/>
      </w:r>
      <w:r>
        <w:t>15</w:t>
      </w:r>
      <w:r>
        <w:fldChar w:fldCharType="end"/>
      </w:r>
      <w:r>
        <w:rPr>
          <w:rFonts w:hint="eastAsia"/>
          <w:color w:val="auto"/>
          <w:lang w:val="en-US" w:eastAsia="zh-CN"/>
        </w:rPr>
        <w:fldChar w:fldCharType="end"/>
      </w:r>
    </w:p>
    <w:p w14:paraId="6D02F71F">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_Toc20260 </w:instrText>
      </w:r>
      <w:r>
        <w:rPr>
          <w:rFonts w:hint="eastAsia"/>
          <w:lang w:val="en-US" w:eastAsia="zh-CN"/>
        </w:rPr>
        <w:fldChar w:fldCharType="separate"/>
      </w:r>
      <w:r>
        <w:rPr>
          <w:rFonts w:hint="eastAsia"/>
          <w:lang w:val="en-US" w:eastAsia="zh-CN"/>
        </w:rPr>
        <w:t>2.1.3 开采范围</w:t>
      </w:r>
      <w:r>
        <w:tab/>
      </w:r>
      <w:r>
        <w:fldChar w:fldCharType="begin"/>
      </w:r>
      <w:r>
        <w:instrText xml:space="preserve"> PAGEREF _Toc20260 \h </w:instrText>
      </w:r>
      <w:r>
        <w:fldChar w:fldCharType="separate"/>
      </w:r>
      <w:r>
        <w:t>16</w:t>
      </w:r>
      <w:r>
        <w:fldChar w:fldCharType="end"/>
      </w:r>
      <w:r>
        <w:rPr>
          <w:rFonts w:hint="eastAsia"/>
          <w:color w:val="auto"/>
          <w:lang w:val="en-US" w:eastAsia="zh-CN"/>
        </w:rPr>
        <w:fldChar w:fldCharType="end"/>
      </w:r>
    </w:p>
    <w:p w14:paraId="7E00C33E">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_Toc14831 </w:instrText>
      </w:r>
      <w:r>
        <w:rPr>
          <w:rFonts w:hint="eastAsia"/>
          <w:lang w:val="en-US" w:eastAsia="zh-CN"/>
        </w:rPr>
        <w:fldChar w:fldCharType="separate"/>
      </w:r>
      <w:r>
        <w:rPr>
          <w:rFonts w:hint="default"/>
          <w:lang w:val="en-US" w:eastAsia="zh-CN"/>
        </w:rPr>
        <w:t>2.1.</w:t>
      </w:r>
      <w:r>
        <w:rPr>
          <w:rFonts w:hint="eastAsia"/>
          <w:lang w:val="en-US" w:eastAsia="zh-CN"/>
        </w:rPr>
        <w:t>4</w:t>
      </w:r>
      <w:r>
        <w:rPr>
          <w:rFonts w:hint="default"/>
          <w:lang w:val="en-US" w:eastAsia="zh-CN"/>
        </w:rPr>
        <w:t xml:space="preserve"> 矿区周边环境</w:t>
      </w:r>
      <w:r>
        <w:tab/>
      </w:r>
      <w:r>
        <w:fldChar w:fldCharType="begin"/>
      </w:r>
      <w:r>
        <w:instrText xml:space="preserve"> PAGEREF _Toc14831 \h </w:instrText>
      </w:r>
      <w:r>
        <w:fldChar w:fldCharType="separate"/>
      </w:r>
      <w:r>
        <w:t>16</w:t>
      </w:r>
      <w:r>
        <w:fldChar w:fldCharType="end"/>
      </w:r>
      <w:r>
        <w:rPr>
          <w:rFonts w:hint="eastAsia"/>
          <w:color w:val="auto"/>
          <w:lang w:val="en-US" w:eastAsia="zh-CN"/>
        </w:rPr>
        <w:fldChar w:fldCharType="end"/>
      </w:r>
    </w:p>
    <w:p w14:paraId="3377E63C">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_Toc29336 </w:instrText>
      </w:r>
      <w:r>
        <w:rPr>
          <w:rFonts w:hint="eastAsia"/>
          <w:lang w:val="en-US" w:eastAsia="zh-CN"/>
        </w:rPr>
        <w:fldChar w:fldCharType="separate"/>
      </w:r>
      <w:r>
        <w:rPr>
          <w:rFonts w:hint="eastAsia"/>
          <w:lang w:val="en-US" w:eastAsia="zh-CN"/>
        </w:rPr>
        <w:t>2.2 自然环境概况</w:t>
      </w:r>
      <w:r>
        <w:tab/>
      </w:r>
      <w:r>
        <w:fldChar w:fldCharType="begin"/>
      </w:r>
      <w:r>
        <w:instrText xml:space="preserve"> PAGEREF _Toc29336 \h </w:instrText>
      </w:r>
      <w:r>
        <w:fldChar w:fldCharType="separate"/>
      </w:r>
      <w:r>
        <w:t>16</w:t>
      </w:r>
      <w:r>
        <w:fldChar w:fldCharType="end"/>
      </w:r>
      <w:r>
        <w:rPr>
          <w:rFonts w:hint="eastAsia"/>
          <w:color w:val="auto"/>
          <w:lang w:val="en-US" w:eastAsia="zh-CN"/>
        </w:rPr>
        <w:fldChar w:fldCharType="end"/>
      </w:r>
    </w:p>
    <w:p w14:paraId="14678E56">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_Toc10740 </w:instrText>
      </w:r>
      <w:r>
        <w:rPr>
          <w:rFonts w:hint="eastAsia"/>
          <w:lang w:val="en-US" w:eastAsia="zh-CN"/>
        </w:rPr>
        <w:fldChar w:fldCharType="separate"/>
      </w:r>
      <w:r>
        <w:rPr>
          <w:rFonts w:hint="default"/>
          <w:lang w:val="en-US" w:eastAsia="zh-CN"/>
        </w:rPr>
        <w:t>2.3 地质概况</w:t>
      </w:r>
      <w:r>
        <w:tab/>
      </w:r>
      <w:r>
        <w:fldChar w:fldCharType="begin"/>
      </w:r>
      <w:r>
        <w:instrText xml:space="preserve"> PAGEREF _Toc10740 \h </w:instrText>
      </w:r>
      <w:r>
        <w:fldChar w:fldCharType="separate"/>
      </w:r>
      <w:r>
        <w:t>17</w:t>
      </w:r>
      <w:r>
        <w:fldChar w:fldCharType="end"/>
      </w:r>
      <w:r>
        <w:rPr>
          <w:rFonts w:hint="eastAsia"/>
          <w:color w:val="auto"/>
          <w:lang w:val="en-US" w:eastAsia="zh-CN"/>
        </w:rPr>
        <w:fldChar w:fldCharType="end"/>
      </w:r>
    </w:p>
    <w:p w14:paraId="6959C0D8">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_Toc14985 </w:instrText>
      </w:r>
      <w:r>
        <w:rPr>
          <w:rFonts w:hint="eastAsia"/>
          <w:lang w:val="en-US" w:eastAsia="zh-CN"/>
        </w:rPr>
        <w:fldChar w:fldCharType="separate"/>
      </w:r>
      <w:r>
        <w:rPr>
          <w:rFonts w:hint="default"/>
          <w:lang w:val="en-US" w:eastAsia="zh-CN"/>
        </w:rPr>
        <w:t>2.3.1</w:t>
      </w:r>
      <w:r>
        <w:rPr>
          <w:rFonts w:hint="eastAsia"/>
          <w:lang w:val="en-US" w:eastAsia="zh-CN"/>
        </w:rPr>
        <w:t xml:space="preserve"> </w:t>
      </w:r>
      <w:r>
        <w:rPr>
          <w:rFonts w:hint="default"/>
          <w:lang w:val="en-US" w:eastAsia="zh-CN"/>
        </w:rPr>
        <w:t>矿区地质概况</w:t>
      </w:r>
      <w:r>
        <w:tab/>
      </w:r>
      <w:r>
        <w:fldChar w:fldCharType="begin"/>
      </w:r>
      <w:r>
        <w:instrText xml:space="preserve"> PAGEREF _Toc14985 \h </w:instrText>
      </w:r>
      <w:r>
        <w:fldChar w:fldCharType="separate"/>
      </w:r>
      <w:r>
        <w:t>17</w:t>
      </w:r>
      <w:r>
        <w:fldChar w:fldCharType="end"/>
      </w:r>
      <w:r>
        <w:rPr>
          <w:rFonts w:hint="eastAsia"/>
          <w:color w:val="auto"/>
          <w:lang w:val="en-US" w:eastAsia="zh-CN"/>
        </w:rPr>
        <w:fldChar w:fldCharType="end"/>
      </w:r>
    </w:p>
    <w:p w14:paraId="73F9C89D">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_Toc5305 </w:instrText>
      </w:r>
      <w:r>
        <w:rPr>
          <w:rFonts w:hint="eastAsia"/>
          <w:lang w:val="en-US" w:eastAsia="zh-CN"/>
        </w:rPr>
        <w:fldChar w:fldCharType="separate"/>
      </w:r>
      <w:r>
        <w:rPr>
          <w:rFonts w:hint="default"/>
          <w:lang w:val="en-US" w:eastAsia="zh-CN"/>
        </w:rPr>
        <w:t>2.3.</w:t>
      </w:r>
      <w:r>
        <w:rPr>
          <w:rFonts w:hint="eastAsia"/>
          <w:lang w:val="en-US" w:eastAsia="zh-CN"/>
        </w:rPr>
        <w:t>2</w:t>
      </w:r>
      <w:r>
        <w:rPr>
          <w:rFonts w:hint="default"/>
          <w:lang w:val="en-US" w:eastAsia="zh-CN"/>
        </w:rPr>
        <w:t xml:space="preserve"> 水文地质概况</w:t>
      </w:r>
      <w:r>
        <w:tab/>
      </w:r>
      <w:r>
        <w:fldChar w:fldCharType="begin"/>
      </w:r>
      <w:r>
        <w:instrText xml:space="preserve"> PAGEREF _Toc5305 \h </w:instrText>
      </w:r>
      <w:r>
        <w:fldChar w:fldCharType="separate"/>
      </w:r>
      <w:r>
        <w:t>18</w:t>
      </w:r>
      <w:r>
        <w:fldChar w:fldCharType="end"/>
      </w:r>
      <w:r>
        <w:rPr>
          <w:rFonts w:hint="eastAsia"/>
          <w:color w:val="auto"/>
          <w:lang w:val="en-US" w:eastAsia="zh-CN"/>
        </w:rPr>
        <w:fldChar w:fldCharType="end"/>
      </w:r>
    </w:p>
    <w:p w14:paraId="556837DF">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_Toc4750 </w:instrText>
      </w:r>
      <w:r>
        <w:rPr>
          <w:rFonts w:hint="eastAsia"/>
          <w:lang w:val="en-US" w:eastAsia="zh-CN"/>
        </w:rPr>
        <w:fldChar w:fldCharType="separate"/>
      </w:r>
      <w:r>
        <w:rPr>
          <w:rFonts w:hint="eastAsia"/>
          <w:lang w:val="en-US" w:eastAsia="zh-CN"/>
        </w:rPr>
        <w:t xml:space="preserve">2.3.3 </w:t>
      </w:r>
      <w:r>
        <w:rPr>
          <w:rFonts w:hint="default"/>
          <w:lang w:val="en-US" w:eastAsia="zh-CN"/>
        </w:rPr>
        <w:t>工程地质概况</w:t>
      </w:r>
      <w:r>
        <w:tab/>
      </w:r>
      <w:r>
        <w:fldChar w:fldCharType="begin"/>
      </w:r>
      <w:r>
        <w:instrText xml:space="preserve"> PAGEREF _Toc4750 \h </w:instrText>
      </w:r>
      <w:r>
        <w:fldChar w:fldCharType="separate"/>
      </w:r>
      <w:r>
        <w:t>19</w:t>
      </w:r>
      <w:r>
        <w:fldChar w:fldCharType="end"/>
      </w:r>
      <w:r>
        <w:rPr>
          <w:rFonts w:hint="eastAsia"/>
          <w:color w:val="auto"/>
          <w:lang w:val="en-US" w:eastAsia="zh-CN"/>
        </w:rPr>
        <w:fldChar w:fldCharType="end"/>
      </w:r>
    </w:p>
    <w:p w14:paraId="5E988698">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_Toc9041 </w:instrText>
      </w:r>
      <w:r>
        <w:rPr>
          <w:rFonts w:hint="eastAsia"/>
          <w:lang w:val="en-US" w:eastAsia="zh-CN"/>
        </w:rPr>
        <w:fldChar w:fldCharType="separate"/>
      </w:r>
      <w:r>
        <w:rPr>
          <w:rFonts w:hint="eastAsia"/>
          <w:lang w:val="en-US" w:eastAsia="zh-CN"/>
        </w:rPr>
        <w:t>2.3.4 环境地质概况</w:t>
      </w:r>
      <w:r>
        <w:tab/>
      </w:r>
      <w:r>
        <w:fldChar w:fldCharType="begin"/>
      </w:r>
      <w:r>
        <w:instrText xml:space="preserve"> PAGEREF _Toc9041 \h </w:instrText>
      </w:r>
      <w:r>
        <w:fldChar w:fldCharType="separate"/>
      </w:r>
      <w:r>
        <w:t>19</w:t>
      </w:r>
      <w:r>
        <w:fldChar w:fldCharType="end"/>
      </w:r>
      <w:r>
        <w:rPr>
          <w:rFonts w:hint="eastAsia"/>
          <w:color w:val="auto"/>
          <w:lang w:val="en-US" w:eastAsia="zh-CN"/>
        </w:rPr>
        <w:fldChar w:fldCharType="end"/>
      </w:r>
    </w:p>
    <w:p w14:paraId="124C2722">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_Toc1013 </w:instrText>
      </w:r>
      <w:r>
        <w:rPr>
          <w:rFonts w:hint="eastAsia"/>
          <w:lang w:val="en-US" w:eastAsia="zh-CN"/>
        </w:rPr>
        <w:fldChar w:fldCharType="separate"/>
      </w:r>
      <w:r>
        <w:rPr>
          <w:rFonts w:hint="default"/>
          <w:lang w:val="en-US" w:eastAsia="zh-CN"/>
        </w:rPr>
        <w:t>2.</w:t>
      </w:r>
      <w:r>
        <w:rPr>
          <w:rFonts w:hint="eastAsia"/>
          <w:lang w:val="en-US" w:eastAsia="zh-CN"/>
        </w:rPr>
        <w:t>4</w:t>
      </w:r>
      <w:r>
        <w:rPr>
          <w:rFonts w:hint="default"/>
          <w:lang w:val="en-US" w:eastAsia="zh-CN"/>
        </w:rPr>
        <w:t xml:space="preserve"> 矿山生产现状</w:t>
      </w:r>
      <w:r>
        <w:tab/>
      </w:r>
      <w:r>
        <w:fldChar w:fldCharType="begin"/>
      </w:r>
      <w:r>
        <w:instrText xml:space="preserve"> PAGEREF _Toc1013 \h </w:instrText>
      </w:r>
      <w:r>
        <w:fldChar w:fldCharType="separate"/>
      </w:r>
      <w:r>
        <w:t>20</w:t>
      </w:r>
      <w:r>
        <w:fldChar w:fldCharType="end"/>
      </w:r>
      <w:r>
        <w:rPr>
          <w:rFonts w:hint="eastAsia"/>
          <w:color w:val="auto"/>
          <w:lang w:val="en-US" w:eastAsia="zh-CN"/>
        </w:rPr>
        <w:fldChar w:fldCharType="end"/>
      </w:r>
    </w:p>
    <w:p w14:paraId="1FA985DF">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_Toc21553 </w:instrText>
      </w:r>
      <w:r>
        <w:rPr>
          <w:rFonts w:hint="eastAsia"/>
          <w:lang w:val="en-US" w:eastAsia="zh-CN"/>
        </w:rPr>
        <w:fldChar w:fldCharType="separate"/>
      </w:r>
      <w:r>
        <w:rPr>
          <w:rFonts w:hint="eastAsia"/>
          <w:lang w:val="en-US" w:eastAsia="zh-CN"/>
        </w:rPr>
        <w:t>2.4.1 设计情况</w:t>
      </w:r>
      <w:r>
        <w:tab/>
      </w:r>
      <w:r>
        <w:fldChar w:fldCharType="begin"/>
      </w:r>
      <w:r>
        <w:instrText xml:space="preserve"> PAGEREF _Toc21553 \h </w:instrText>
      </w:r>
      <w:r>
        <w:fldChar w:fldCharType="separate"/>
      </w:r>
      <w:r>
        <w:t>20</w:t>
      </w:r>
      <w:r>
        <w:fldChar w:fldCharType="end"/>
      </w:r>
      <w:r>
        <w:rPr>
          <w:rFonts w:hint="eastAsia"/>
          <w:color w:val="auto"/>
          <w:lang w:val="en-US" w:eastAsia="zh-CN"/>
        </w:rPr>
        <w:fldChar w:fldCharType="end"/>
      </w:r>
    </w:p>
    <w:p w14:paraId="5081DF7F">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_Toc19514 </w:instrText>
      </w:r>
      <w:r>
        <w:rPr>
          <w:rFonts w:hint="eastAsia"/>
          <w:lang w:val="en-US" w:eastAsia="zh-CN"/>
        </w:rPr>
        <w:fldChar w:fldCharType="separate"/>
      </w:r>
      <w:r>
        <w:rPr>
          <w:rFonts w:hint="default"/>
          <w:lang w:val="en-US" w:eastAsia="zh-CN"/>
        </w:rPr>
        <w:t>2.</w:t>
      </w:r>
      <w:r>
        <w:rPr>
          <w:rFonts w:hint="eastAsia"/>
          <w:lang w:val="en-US" w:eastAsia="zh-CN"/>
        </w:rPr>
        <w:t>4</w:t>
      </w:r>
      <w:r>
        <w:rPr>
          <w:rFonts w:hint="default"/>
          <w:lang w:val="en-US" w:eastAsia="zh-CN"/>
        </w:rPr>
        <w:t>.</w:t>
      </w:r>
      <w:r>
        <w:rPr>
          <w:rFonts w:hint="eastAsia"/>
          <w:lang w:val="en-US" w:eastAsia="zh-CN"/>
        </w:rPr>
        <w:t>2</w:t>
      </w:r>
      <w:r>
        <w:rPr>
          <w:rFonts w:hint="default"/>
          <w:lang w:val="en-US" w:eastAsia="zh-CN"/>
        </w:rPr>
        <w:t xml:space="preserve"> 矿山开采上轮许可状况</w:t>
      </w:r>
      <w:r>
        <w:tab/>
      </w:r>
      <w:r>
        <w:fldChar w:fldCharType="begin"/>
      </w:r>
      <w:r>
        <w:instrText xml:space="preserve"> PAGEREF _Toc19514 \h </w:instrText>
      </w:r>
      <w:r>
        <w:fldChar w:fldCharType="separate"/>
      </w:r>
      <w:r>
        <w:t>21</w:t>
      </w:r>
      <w:r>
        <w:fldChar w:fldCharType="end"/>
      </w:r>
      <w:r>
        <w:rPr>
          <w:rFonts w:hint="eastAsia"/>
          <w:color w:val="auto"/>
          <w:lang w:val="en-US" w:eastAsia="zh-CN"/>
        </w:rPr>
        <w:fldChar w:fldCharType="end"/>
      </w:r>
    </w:p>
    <w:p w14:paraId="73B9260A">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_Toc11347 </w:instrText>
      </w:r>
      <w:r>
        <w:rPr>
          <w:rFonts w:hint="eastAsia"/>
          <w:lang w:val="en-US" w:eastAsia="zh-CN"/>
        </w:rPr>
        <w:fldChar w:fldCharType="separate"/>
      </w:r>
      <w:r>
        <w:rPr>
          <w:rFonts w:hint="default"/>
          <w:lang w:val="en-US" w:eastAsia="zh-CN"/>
        </w:rPr>
        <w:t>2.</w:t>
      </w:r>
      <w:r>
        <w:rPr>
          <w:rFonts w:hint="eastAsia"/>
          <w:lang w:val="en-US" w:eastAsia="zh-CN"/>
        </w:rPr>
        <w:t>4</w:t>
      </w:r>
      <w:r>
        <w:rPr>
          <w:rFonts w:hint="default"/>
          <w:lang w:val="en-US" w:eastAsia="zh-CN"/>
        </w:rPr>
        <w:t>.</w:t>
      </w:r>
      <w:r>
        <w:rPr>
          <w:rFonts w:hint="eastAsia"/>
          <w:lang w:val="en-US" w:eastAsia="zh-CN"/>
        </w:rPr>
        <w:t>3</w:t>
      </w:r>
      <w:r>
        <w:rPr>
          <w:rFonts w:hint="default"/>
          <w:lang w:val="en-US" w:eastAsia="zh-CN"/>
        </w:rPr>
        <w:t xml:space="preserve"> 生产规模及工作制度</w:t>
      </w:r>
      <w:r>
        <w:tab/>
      </w:r>
      <w:r>
        <w:fldChar w:fldCharType="begin"/>
      </w:r>
      <w:r>
        <w:instrText xml:space="preserve"> PAGEREF _Toc11347 \h </w:instrText>
      </w:r>
      <w:r>
        <w:fldChar w:fldCharType="separate"/>
      </w:r>
      <w:r>
        <w:t>22</w:t>
      </w:r>
      <w:r>
        <w:fldChar w:fldCharType="end"/>
      </w:r>
      <w:r>
        <w:rPr>
          <w:rFonts w:hint="eastAsia"/>
          <w:color w:val="auto"/>
          <w:lang w:val="en-US" w:eastAsia="zh-CN"/>
        </w:rPr>
        <w:fldChar w:fldCharType="end"/>
      </w:r>
    </w:p>
    <w:p w14:paraId="27103622">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_Toc27670 </w:instrText>
      </w:r>
      <w:r>
        <w:rPr>
          <w:rFonts w:hint="eastAsia"/>
          <w:lang w:val="en-US" w:eastAsia="zh-CN"/>
        </w:rPr>
        <w:fldChar w:fldCharType="separate"/>
      </w:r>
      <w:r>
        <w:rPr>
          <w:rFonts w:hint="default"/>
          <w:lang w:val="en-US" w:eastAsia="zh-CN"/>
        </w:rPr>
        <w:t>2.</w:t>
      </w:r>
      <w:r>
        <w:rPr>
          <w:rFonts w:hint="eastAsia"/>
          <w:lang w:val="en-US" w:eastAsia="zh-CN"/>
        </w:rPr>
        <w:t>4</w:t>
      </w:r>
      <w:r>
        <w:rPr>
          <w:rFonts w:hint="default"/>
          <w:lang w:val="en-US" w:eastAsia="zh-CN"/>
        </w:rPr>
        <w:t>.</w:t>
      </w:r>
      <w:r>
        <w:rPr>
          <w:rFonts w:hint="eastAsia"/>
          <w:lang w:val="en-US" w:eastAsia="zh-CN"/>
        </w:rPr>
        <w:t>4</w:t>
      </w:r>
      <w:r>
        <w:rPr>
          <w:rFonts w:hint="default"/>
          <w:lang w:val="en-US" w:eastAsia="zh-CN"/>
        </w:rPr>
        <w:t xml:space="preserve"> </w:t>
      </w:r>
      <w:r>
        <w:rPr>
          <w:rFonts w:hint="eastAsia"/>
          <w:lang w:val="en-US" w:eastAsia="zh-CN"/>
        </w:rPr>
        <w:t>总平面布置</w:t>
      </w:r>
      <w:r>
        <w:tab/>
      </w:r>
      <w:r>
        <w:fldChar w:fldCharType="begin"/>
      </w:r>
      <w:r>
        <w:instrText xml:space="preserve"> PAGEREF _Toc27670 \h </w:instrText>
      </w:r>
      <w:r>
        <w:fldChar w:fldCharType="separate"/>
      </w:r>
      <w:r>
        <w:t>22</w:t>
      </w:r>
      <w:r>
        <w:fldChar w:fldCharType="end"/>
      </w:r>
      <w:r>
        <w:rPr>
          <w:rFonts w:hint="eastAsia"/>
          <w:color w:val="auto"/>
          <w:lang w:val="en-US" w:eastAsia="zh-CN"/>
        </w:rPr>
        <w:fldChar w:fldCharType="end"/>
      </w:r>
    </w:p>
    <w:p w14:paraId="552957CE">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_Toc8856 </w:instrText>
      </w:r>
      <w:r>
        <w:rPr>
          <w:rFonts w:hint="eastAsia"/>
          <w:lang w:val="en-US" w:eastAsia="zh-CN"/>
        </w:rPr>
        <w:fldChar w:fldCharType="separate"/>
      </w:r>
      <w:r>
        <w:rPr>
          <w:rFonts w:hint="default"/>
          <w:lang w:val="en-US" w:eastAsia="zh-CN"/>
        </w:rPr>
        <w:t>2.</w:t>
      </w:r>
      <w:r>
        <w:rPr>
          <w:rFonts w:hint="eastAsia"/>
          <w:lang w:val="en-US" w:eastAsia="zh-CN"/>
        </w:rPr>
        <w:t>4</w:t>
      </w:r>
      <w:r>
        <w:rPr>
          <w:rFonts w:hint="default"/>
          <w:lang w:val="en-US" w:eastAsia="zh-CN"/>
        </w:rPr>
        <w:t>.</w:t>
      </w:r>
      <w:r>
        <w:rPr>
          <w:rFonts w:hint="eastAsia"/>
          <w:lang w:val="en-US" w:eastAsia="zh-CN"/>
        </w:rPr>
        <w:t>5</w:t>
      </w:r>
      <w:r>
        <w:rPr>
          <w:rFonts w:hint="default"/>
          <w:lang w:val="en-US" w:eastAsia="zh-CN"/>
        </w:rPr>
        <w:t xml:space="preserve"> 开采范围</w:t>
      </w:r>
      <w:r>
        <w:tab/>
      </w:r>
      <w:r>
        <w:fldChar w:fldCharType="begin"/>
      </w:r>
      <w:r>
        <w:instrText xml:space="preserve"> PAGEREF _Toc8856 \h </w:instrText>
      </w:r>
      <w:r>
        <w:fldChar w:fldCharType="separate"/>
      </w:r>
      <w:r>
        <w:t>23</w:t>
      </w:r>
      <w:r>
        <w:fldChar w:fldCharType="end"/>
      </w:r>
      <w:r>
        <w:rPr>
          <w:rFonts w:hint="eastAsia"/>
          <w:color w:val="auto"/>
          <w:lang w:val="en-US" w:eastAsia="zh-CN"/>
        </w:rPr>
        <w:fldChar w:fldCharType="end"/>
      </w:r>
    </w:p>
    <w:p w14:paraId="72963798">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_Toc7139 </w:instrText>
      </w:r>
      <w:r>
        <w:rPr>
          <w:rFonts w:hint="eastAsia"/>
          <w:lang w:val="en-US" w:eastAsia="zh-CN"/>
        </w:rPr>
        <w:fldChar w:fldCharType="separate"/>
      </w:r>
      <w:r>
        <w:rPr>
          <w:rFonts w:hint="default"/>
          <w:lang w:val="en-US" w:eastAsia="zh-CN"/>
        </w:rPr>
        <w:t>2.</w:t>
      </w:r>
      <w:r>
        <w:rPr>
          <w:rFonts w:hint="eastAsia"/>
          <w:lang w:val="en-US" w:eastAsia="zh-CN"/>
        </w:rPr>
        <w:t>4</w:t>
      </w:r>
      <w:r>
        <w:rPr>
          <w:rFonts w:hint="default"/>
          <w:lang w:val="en-US" w:eastAsia="zh-CN"/>
        </w:rPr>
        <w:t>.</w:t>
      </w:r>
      <w:r>
        <w:rPr>
          <w:rFonts w:hint="eastAsia"/>
          <w:lang w:val="en-US" w:eastAsia="zh-CN"/>
        </w:rPr>
        <w:t>6</w:t>
      </w:r>
      <w:r>
        <w:rPr>
          <w:rFonts w:hint="default"/>
          <w:lang w:val="en-US" w:eastAsia="zh-CN"/>
        </w:rPr>
        <w:t xml:space="preserve"> 开拓运输</w:t>
      </w:r>
      <w:r>
        <w:tab/>
      </w:r>
      <w:r>
        <w:fldChar w:fldCharType="begin"/>
      </w:r>
      <w:r>
        <w:instrText xml:space="preserve"> PAGEREF _Toc7139 \h </w:instrText>
      </w:r>
      <w:r>
        <w:fldChar w:fldCharType="separate"/>
      </w:r>
      <w:r>
        <w:t>23</w:t>
      </w:r>
      <w:r>
        <w:fldChar w:fldCharType="end"/>
      </w:r>
      <w:r>
        <w:rPr>
          <w:rFonts w:hint="eastAsia"/>
          <w:color w:val="auto"/>
          <w:lang w:val="en-US" w:eastAsia="zh-CN"/>
        </w:rPr>
        <w:fldChar w:fldCharType="end"/>
      </w:r>
    </w:p>
    <w:p w14:paraId="3DFEEC7D">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_Toc7930 </w:instrText>
      </w:r>
      <w:r>
        <w:rPr>
          <w:rFonts w:hint="eastAsia"/>
          <w:lang w:val="en-US" w:eastAsia="zh-CN"/>
        </w:rPr>
        <w:fldChar w:fldCharType="separate"/>
      </w:r>
      <w:r>
        <w:rPr>
          <w:rFonts w:hint="default"/>
          <w:lang w:val="en-US" w:eastAsia="zh-CN"/>
        </w:rPr>
        <w:t>2.</w:t>
      </w:r>
      <w:r>
        <w:rPr>
          <w:rFonts w:hint="eastAsia"/>
          <w:lang w:val="en-US" w:eastAsia="zh-CN"/>
        </w:rPr>
        <w:t>4</w:t>
      </w:r>
      <w:r>
        <w:rPr>
          <w:rFonts w:hint="default"/>
          <w:lang w:val="en-US" w:eastAsia="zh-CN"/>
        </w:rPr>
        <w:t>.</w:t>
      </w:r>
      <w:r>
        <w:rPr>
          <w:rFonts w:hint="eastAsia"/>
          <w:lang w:val="en-US" w:eastAsia="zh-CN"/>
        </w:rPr>
        <w:t>7</w:t>
      </w:r>
      <w:r>
        <w:rPr>
          <w:rFonts w:hint="default"/>
          <w:lang w:val="en-US" w:eastAsia="zh-CN"/>
        </w:rPr>
        <w:t xml:space="preserve"> 采矿工艺</w:t>
      </w:r>
      <w:r>
        <w:tab/>
      </w:r>
      <w:r>
        <w:fldChar w:fldCharType="begin"/>
      </w:r>
      <w:r>
        <w:instrText xml:space="preserve"> PAGEREF _Toc7930 \h </w:instrText>
      </w:r>
      <w:r>
        <w:fldChar w:fldCharType="separate"/>
      </w:r>
      <w:r>
        <w:t>24</w:t>
      </w:r>
      <w:r>
        <w:fldChar w:fldCharType="end"/>
      </w:r>
      <w:r>
        <w:rPr>
          <w:rFonts w:hint="eastAsia"/>
          <w:color w:val="auto"/>
          <w:lang w:val="en-US" w:eastAsia="zh-CN"/>
        </w:rPr>
        <w:fldChar w:fldCharType="end"/>
      </w:r>
    </w:p>
    <w:p w14:paraId="5934D2A6">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_Toc14461 </w:instrText>
      </w:r>
      <w:r>
        <w:rPr>
          <w:rFonts w:hint="eastAsia"/>
          <w:lang w:val="en-US" w:eastAsia="zh-CN"/>
        </w:rPr>
        <w:fldChar w:fldCharType="separate"/>
      </w:r>
      <w:r>
        <w:rPr>
          <w:rFonts w:hint="default"/>
          <w:lang w:val="en-US" w:eastAsia="zh-CN"/>
        </w:rPr>
        <w:t>2.4.</w:t>
      </w:r>
      <w:r>
        <w:rPr>
          <w:rFonts w:hint="eastAsia"/>
          <w:lang w:val="en-US" w:eastAsia="zh-CN"/>
        </w:rPr>
        <w:t>8</w:t>
      </w:r>
      <w:r>
        <w:rPr>
          <w:rFonts w:hint="default"/>
          <w:lang w:val="en-US" w:eastAsia="zh-CN"/>
        </w:rPr>
        <w:t xml:space="preserve"> 矿山通风与防尘</w:t>
      </w:r>
      <w:r>
        <w:tab/>
      </w:r>
      <w:r>
        <w:fldChar w:fldCharType="begin"/>
      </w:r>
      <w:r>
        <w:instrText xml:space="preserve"> PAGEREF _Toc14461 \h </w:instrText>
      </w:r>
      <w:r>
        <w:fldChar w:fldCharType="separate"/>
      </w:r>
      <w:r>
        <w:t>25</w:t>
      </w:r>
      <w:r>
        <w:fldChar w:fldCharType="end"/>
      </w:r>
      <w:r>
        <w:rPr>
          <w:rFonts w:hint="eastAsia"/>
          <w:color w:val="auto"/>
          <w:lang w:val="en-US" w:eastAsia="zh-CN"/>
        </w:rPr>
        <w:fldChar w:fldCharType="end"/>
      </w:r>
    </w:p>
    <w:p w14:paraId="04921F62">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_Toc29837 </w:instrText>
      </w:r>
      <w:r>
        <w:rPr>
          <w:rFonts w:hint="eastAsia"/>
          <w:lang w:val="en-US" w:eastAsia="zh-CN"/>
        </w:rPr>
        <w:fldChar w:fldCharType="separate"/>
      </w:r>
      <w:r>
        <w:rPr>
          <w:rFonts w:hint="default"/>
          <w:lang w:val="en-US" w:eastAsia="zh-CN"/>
        </w:rPr>
        <w:t>2.4.</w:t>
      </w:r>
      <w:r>
        <w:rPr>
          <w:rFonts w:hint="eastAsia"/>
          <w:lang w:val="en-US" w:eastAsia="zh-CN"/>
        </w:rPr>
        <w:t>9</w:t>
      </w:r>
      <w:r>
        <w:rPr>
          <w:rFonts w:hint="default"/>
          <w:lang w:val="en-US" w:eastAsia="zh-CN"/>
        </w:rPr>
        <w:t xml:space="preserve"> 防排水与防灭火</w:t>
      </w:r>
      <w:r>
        <w:tab/>
      </w:r>
      <w:r>
        <w:fldChar w:fldCharType="begin"/>
      </w:r>
      <w:r>
        <w:instrText xml:space="preserve"> PAGEREF _Toc29837 \h </w:instrText>
      </w:r>
      <w:r>
        <w:fldChar w:fldCharType="separate"/>
      </w:r>
      <w:r>
        <w:t>25</w:t>
      </w:r>
      <w:r>
        <w:fldChar w:fldCharType="end"/>
      </w:r>
      <w:r>
        <w:rPr>
          <w:rFonts w:hint="eastAsia"/>
          <w:color w:val="auto"/>
          <w:lang w:val="en-US" w:eastAsia="zh-CN"/>
        </w:rPr>
        <w:fldChar w:fldCharType="end"/>
      </w:r>
    </w:p>
    <w:p w14:paraId="597A4EC1">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_Toc5058 </w:instrText>
      </w:r>
      <w:r>
        <w:rPr>
          <w:rFonts w:hint="eastAsia"/>
          <w:lang w:val="en-US" w:eastAsia="zh-CN"/>
        </w:rPr>
        <w:fldChar w:fldCharType="separate"/>
      </w:r>
      <w:r>
        <w:rPr>
          <w:rFonts w:hint="default"/>
          <w:lang w:val="en-US" w:eastAsia="zh-CN"/>
        </w:rPr>
        <w:t>2.4.</w:t>
      </w:r>
      <w:r>
        <w:rPr>
          <w:rFonts w:hint="eastAsia"/>
          <w:lang w:val="en-US" w:eastAsia="zh-CN"/>
        </w:rPr>
        <w:t xml:space="preserve">10 </w:t>
      </w:r>
      <w:r>
        <w:rPr>
          <w:rFonts w:hint="default"/>
          <w:lang w:val="en-US" w:eastAsia="zh-CN"/>
        </w:rPr>
        <w:t>供电系统</w:t>
      </w:r>
      <w:r>
        <w:tab/>
      </w:r>
      <w:r>
        <w:fldChar w:fldCharType="begin"/>
      </w:r>
      <w:r>
        <w:instrText xml:space="preserve"> PAGEREF _Toc5058 \h </w:instrText>
      </w:r>
      <w:r>
        <w:fldChar w:fldCharType="separate"/>
      </w:r>
      <w:r>
        <w:t>26</w:t>
      </w:r>
      <w:r>
        <w:fldChar w:fldCharType="end"/>
      </w:r>
      <w:r>
        <w:rPr>
          <w:rFonts w:hint="eastAsia"/>
          <w:color w:val="auto"/>
          <w:lang w:val="en-US" w:eastAsia="zh-CN"/>
        </w:rPr>
        <w:fldChar w:fldCharType="end"/>
      </w:r>
    </w:p>
    <w:p w14:paraId="56676119">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_Toc13416 </w:instrText>
      </w:r>
      <w:r>
        <w:rPr>
          <w:rFonts w:hint="eastAsia"/>
          <w:lang w:val="en-US" w:eastAsia="zh-CN"/>
        </w:rPr>
        <w:fldChar w:fldCharType="separate"/>
      </w:r>
      <w:r>
        <w:rPr>
          <w:rFonts w:hint="default"/>
          <w:lang w:val="en-US" w:eastAsia="zh-CN"/>
        </w:rPr>
        <w:t>2.4.</w:t>
      </w:r>
      <w:r>
        <w:rPr>
          <w:rFonts w:hint="eastAsia"/>
          <w:lang w:val="en-US" w:eastAsia="zh-CN"/>
        </w:rPr>
        <w:t>11 供风</w:t>
      </w:r>
      <w:r>
        <w:rPr>
          <w:rFonts w:hint="default"/>
          <w:lang w:val="en-US" w:eastAsia="zh-CN"/>
        </w:rPr>
        <w:t>系统</w:t>
      </w:r>
      <w:r>
        <w:tab/>
      </w:r>
      <w:r>
        <w:fldChar w:fldCharType="begin"/>
      </w:r>
      <w:r>
        <w:instrText xml:space="preserve"> PAGEREF _Toc13416 \h </w:instrText>
      </w:r>
      <w:r>
        <w:fldChar w:fldCharType="separate"/>
      </w:r>
      <w:r>
        <w:t>26</w:t>
      </w:r>
      <w:r>
        <w:fldChar w:fldCharType="end"/>
      </w:r>
      <w:r>
        <w:rPr>
          <w:rFonts w:hint="eastAsia"/>
          <w:color w:val="auto"/>
          <w:lang w:val="en-US" w:eastAsia="zh-CN"/>
        </w:rPr>
        <w:fldChar w:fldCharType="end"/>
      </w:r>
    </w:p>
    <w:p w14:paraId="0D2CBB4E">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_Toc11859 </w:instrText>
      </w:r>
      <w:r>
        <w:rPr>
          <w:rFonts w:hint="eastAsia"/>
          <w:lang w:val="en-US" w:eastAsia="zh-CN"/>
        </w:rPr>
        <w:fldChar w:fldCharType="separate"/>
      </w:r>
      <w:r>
        <w:rPr>
          <w:rFonts w:hint="default"/>
          <w:lang w:val="en-US" w:eastAsia="zh-CN"/>
        </w:rPr>
        <w:t>2.4.1</w:t>
      </w:r>
      <w:r>
        <w:rPr>
          <w:rFonts w:hint="eastAsia"/>
          <w:lang w:val="en-US" w:eastAsia="zh-CN"/>
        </w:rPr>
        <w:t>2</w:t>
      </w:r>
      <w:r>
        <w:rPr>
          <w:rFonts w:hint="default"/>
          <w:lang w:val="en-US" w:eastAsia="zh-CN"/>
        </w:rPr>
        <w:t xml:space="preserve"> </w:t>
      </w:r>
      <w:r>
        <w:rPr>
          <w:rFonts w:hint="eastAsia"/>
          <w:lang w:val="en-US" w:eastAsia="zh-CN"/>
        </w:rPr>
        <w:t>通讯系统</w:t>
      </w:r>
      <w:r>
        <w:tab/>
      </w:r>
      <w:r>
        <w:fldChar w:fldCharType="begin"/>
      </w:r>
      <w:r>
        <w:instrText xml:space="preserve"> PAGEREF _Toc11859 \h </w:instrText>
      </w:r>
      <w:r>
        <w:fldChar w:fldCharType="separate"/>
      </w:r>
      <w:r>
        <w:t>26</w:t>
      </w:r>
      <w:r>
        <w:fldChar w:fldCharType="end"/>
      </w:r>
      <w:r>
        <w:rPr>
          <w:rFonts w:hint="eastAsia"/>
          <w:color w:val="auto"/>
          <w:lang w:val="en-US" w:eastAsia="zh-CN"/>
        </w:rPr>
        <w:fldChar w:fldCharType="end"/>
      </w:r>
    </w:p>
    <w:p w14:paraId="323D4FA3">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_Toc26857 </w:instrText>
      </w:r>
      <w:r>
        <w:rPr>
          <w:rFonts w:hint="eastAsia"/>
          <w:lang w:val="en-US" w:eastAsia="zh-CN"/>
        </w:rPr>
        <w:fldChar w:fldCharType="separate"/>
      </w:r>
      <w:r>
        <w:rPr>
          <w:rFonts w:hint="default"/>
          <w:lang w:val="en-US" w:eastAsia="zh-CN"/>
        </w:rPr>
        <w:t>2.4.1</w:t>
      </w:r>
      <w:r>
        <w:rPr>
          <w:rFonts w:hint="eastAsia"/>
          <w:lang w:val="en-US" w:eastAsia="zh-CN"/>
        </w:rPr>
        <w:t>3</w:t>
      </w:r>
      <w:r>
        <w:rPr>
          <w:rFonts w:hint="default"/>
          <w:lang w:val="en-US" w:eastAsia="zh-CN"/>
        </w:rPr>
        <w:t xml:space="preserve"> </w:t>
      </w:r>
      <w:r>
        <w:rPr>
          <w:rFonts w:hint="eastAsia"/>
          <w:lang w:val="en-US" w:eastAsia="zh-CN"/>
        </w:rPr>
        <w:t>个人安全防护</w:t>
      </w:r>
      <w:r>
        <w:tab/>
      </w:r>
      <w:r>
        <w:fldChar w:fldCharType="begin"/>
      </w:r>
      <w:r>
        <w:instrText xml:space="preserve"> PAGEREF _Toc26857 \h </w:instrText>
      </w:r>
      <w:r>
        <w:fldChar w:fldCharType="separate"/>
      </w:r>
      <w:r>
        <w:t>27</w:t>
      </w:r>
      <w:r>
        <w:fldChar w:fldCharType="end"/>
      </w:r>
      <w:r>
        <w:rPr>
          <w:rFonts w:hint="eastAsia"/>
          <w:color w:val="auto"/>
          <w:lang w:val="en-US" w:eastAsia="zh-CN"/>
        </w:rPr>
        <w:fldChar w:fldCharType="end"/>
      </w:r>
    </w:p>
    <w:p w14:paraId="732D6E57">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_Toc19544 </w:instrText>
      </w:r>
      <w:r>
        <w:rPr>
          <w:rFonts w:hint="eastAsia"/>
          <w:lang w:val="en-US" w:eastAsia="zh-CN"/>
        </w:rPr>
        <w:fldChar w:fldCharType="separate"/>
      </w:r>
      <w:r>
        <w:rPr>
          <w:rFonts w:hint="default"/>
          <w:lang w:val="en-US" w:eastAsia="zh-CN"/>
        </w:rPr>
        <w:t>2.4.1</w:t>
      </w:r>
      <w:r>
        <w:rPr>
          <w:rFonts w:hint="eastAsia"/>
          <w:lang w:val="en-US" w:eastAsia="zh-CN"/>
        </w:rPr>
        <w:t>4</w:t>
      </w:r>
      <w:r>
        <w:rPr>
          <w:rFonts w:hint="default"/>
          <w:lang w:val="en-US" w:eastAsia="zh-CN"/>
        </w:rPr>
        <w:t xml:space="preserve"> </w:t>
      </w:r>
      <w:r>
        <w:rPr>
          <w:rFonts w:hint="eastAsia"/>
          <w:lang w:val="en-US" w:eastAsia="zh-CN"/>
        </w:rPr>
        <w:t>安全标志</w:t>
      </w:r>
      <w:r>
        <w:tab/>
      </w:r>
      <w:r>
        <w:fldChar w:fldCharType="begin"/>
      </w:r>
      <w:r>
        <w:instrText xml:space="preserve"> PAGEREF _Toc19544 \h </w:instrText>
      </w:r>
      <w:r>
        <w:fldChar w:fldCharType="separate"/>
      </w:r>
      <w:r>
        <w:t>27</w:t>
      </w:r>
      <w:r>
        <w:fldChar w:fldCharType="end"/>
      </w:r>
      <w:r>
        <w:rPr>
          <w:rFonts w:hint="eastAsia"/>
          <w:color w:val="auto"/>
          <w:lang w:val="en-US" w:eastAsia="zh-CN"/>
        </w:rPr>
        <w:fldChar w:fldCharType="end"/>
      </w:r>
    </w:p>
    <w:p w14:paraId="219076A3">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_Toc1001 </w:instrText>
      </w:r>
      <w:r>
        <w:rPr>
          <w:rFonts w:hint="eastAsia"/>
          <w:lang w:val="en-US" w:eastAsia="zh-CN"/>
        </w:rPr>
        <w:fldChar w:fldCharType="separate"/>
      </w:r>
      <w:r>
        <w:rPr>
          <w:rFonts w:hint="default"/>
          <w:lang w:val="en-US" w:eastAsia="zh-CN"/>
        </w:rPr>
        <w:t>2.4.1</w:t>
      </w:r>
      <w:r>
        <w:rPr>
          <w:rFonts w:hint="eastAsia"/>
          <w:lang w:val="en-US" w:eastAsia="zh-CN"/>
        </w:rPr>
        <w:t>5</w:t>
      </w:r>
      <w:r>
        <w:rPr>
          <w:rFonts w:hint="default"/>
          <w:lang w:val="en-US" w:eastAsia="zh-CN"/>
        </w:rPr>
        <w:t xml:space="preserve"> 排土场</w:t>
      </w:r>
      <w:r>
        <w:tab/>
      </w:r>
      <w:r>
        <w:fldChar w:fldCharType="begin"/>
      </w:r>
      <w:r>
        <w:instrText xml:space="preserve"> PAGEREF _Toc1001 \h </w:instrText>
      </w:r>
      <w:r>
        <w:fldChar w:fldCharType="separate"/>
      </w:r>
      <w:r>
        <w:t>27</w:t>
      </w:r>
      <w:r>
        <w:fldChar w:fldCharType="end"/>
      </w:r>
      <w:r>
        <w:rPr>
          <w:rFonts w:hint="eastAsia"/>
          <w:color w:val="auto"/>
          <w:lang w:val="en-US" w:eastAsia="zh-CN"/>
        </w:rPr>
        <w:fldChar w:fldCharType="end"/>
      </w:r>
    </w:p>
    <w:p w14:paraId="6F40523E">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_Toc9544 </w:instrText>
      </w:r>
      <w:r>
        <w:rPr>
          <w:rFonts w:hint="eastAsia"/>
          <w:lang w:val="en-US" w:eastAsia="zh-CN"/>
        </w:rPr>
        <w:fldChar w:fldCharType="separate"/>
      </w:r>
      <w:r>
        <w:rPr>
          <w:rFonts w:hint="eastAsia"/>
          <w:lang w:val="en-US" w:eastAsia="zh-CN"/>
        </w:rPr>
        <w:t>2.4.16 主要生产设备</w:t>
      </w:r>
      <w:r>
        <w:tab/>
      </w:r>
      <w:r>
        <w:fldChar w:fldCharType="begin"/>
      </w:r>
      <w:r>
        <w:instrText xml:space="preserve"> PAGEREF _Toc9544 \h </w:instrText>
      </w:r>
      <w:r>
        <w:fldChar w:fldCharType="separate"/>
      </w:r>
      <w:r>
        <w:t>27</w:t>
      </w:r>
      <w:r>
        <w:fldChar w:fldCharType="end"/>
      </w:r>
      <w:r>
        <w:rPr>
          <w:rFonts w:hint="eastAsia"/>
          <w:color w:val="auto"/>
          <w:lang w:val="en-US" w:eastAsia="zh-CN"/>
        </w:rPr>
        <w:fldChar w:fldCharType="end"/>
      </w:r>
    </w:p>
    <w:p w14:paraId="1D7C412B">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_Toc24551 </w:instrText>
      </w:r>
      <w:r>
        <w:rPr>
          <w:rFonts w:hint="eastAsia"/>
          <w:lang w:val="en-US" w:eastAsia="zh-CN"/>
        </w:rPr>
        <w:fldChar w:fldCharType="separate"/>
      </w:r>
      <w:r>
        <w:rPr>
          <w:rFonts w:hint="default"/>
          <w:shd w:val="clear" w:color="auto" w:fill="auto"/>
          <w:lang w:val="en-US" w:eastAsia="zh-CN"/>
        </w:rPr>
        <w:t>2.5 矿山安全管理</w:t>
      </w:r>
      <w:r>
        <w:tab/>
      </w:r>
      <w:r>
        <w:fldChar w:fldCharType="begin"/>
      </w:r>
      <w:r>
        <w:instrText xml:space="preserve"> PAGEREF _Toc24551 \h </w:instrText>
      </w:r>
      <w:r>
        <w:fldChar w:fldCharType="separate"/>
      </w:r>
      <w:r>
        <w:t>28</w:t>
      </w:r>
      <w:r>
        <w:fldChar w:fldCharType="end"/>
      </w:r>
      <w:r>
        <w:rPr>
          <w:rFonts w:hint="eastAsia"/>
          <w:color w:val="auto"/>
          <w:lang w:val="en-US" w:eastAsia="zh-CN"/>
        </w:rPr>
        <w:fldChar w:fldCharType="end"/>
      </w:r>
    </w:p>
    <w:p w14:paraId="5BF488E0">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_Toc12037 </w:instrText>
      </w:r>
      <w:r>
        <w:rPr>
          <w:rFonts w:hint="eastAsia"/>
          <w:lang w:val="en-US" w:eastAsia="zh-CN"/>
        </w:rPr>
        <w:fldChar w:fldCharType="separate"/>
      </w:r>
      <w:r>
        <w:rPr>
          <w:rFonts w:hint="default"/>
          <w:lang w:val="en-US" w:eastAsia="zh-CN"/>
        </w:rPr>
        <w:t>2.5.1 安全生产组织机构</w:t>
      </w:r>
      <w:r>
        <w:tab/>
      </w:r>
      <w:r>
        <w:fldChar w:fldCharType="begin"/>
      </w:r>
      <w:r>
        <w:instrText xml:space="preserve"> PAGEREF _Toc12037 \h </w:instrText>
      </w:r>
      <w:r>
        <w:fldChar w:fldCharType="separate"/>
      </w:r>
      <w:r>
        <w:t>28</w:t>
      </w:r>
      <w:r>
        <w:fldChar w:fldCharType="end"/>
      </w:r>
      <w:r>
        <w:rPr>
          <w:rFonts w:hint="eastAsia"/>
          <w:color w:val="auto"/>
          <w:lang w:val="en-US" w:eastAsia="zh-CN"/>
        </w:rPr>
        <w:fldChar w:fldCharType="end"/>
      </w:r>
    </w:p>
    <w:p w14:paraId="272707C6">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_Toc29488 </w:instrText>
      </w:r>
      <w:r>
        <w:rPr>
          <w:rFonts w:hint="eastAsia"/>
          <w:lang w:val="en-US" w:eastAsia="zh-CN"/>
        </w:rPr>
        <w:fldChar w:fldCharType="separate"/>
      </w:r>
      <w:r>
        <w:rPr>
          <w:rFonts w:hint="default"/>
          <w:lang w:val="en-US" w:eastAsia="zh-CN"/>
        </w:rPr>
        <w:t>2.</w:t>
      </w:r>
      <w:r>
        <w:rPr>
          <w:rFonts w:hint="eastAsia"/>
          <w:lang w:val="en-US" w:eastAsia="zh-CN"/>
        </w:rPr>
        <w:t>5</w:t>
      </w:r>
      <w:r>
        <w:rPr>
          <w:rFonts w:hint="default"/>
          <w:lang w:val="en-US" w:eastAsia="zh-CN"/>
        </w:rPr>
        <w:t>.2 安全生产管理规章制度</w:t>
      </w:r>
      <w:r>
        <w:tab/>
      </w:r>
      <w:r>
        <w:fldChar w:fldCharType="begin"/>
      </w:r>
      <w:r>
        <w:instrText xml:space="preserve"> PAGEREF _Toc29488 \h </w:instrText>
      </w:r>
      <w:r>
        <w:fldChar w:fldCharType="separate"/>
      </w:r>
      <w:r>
        <w:t>28</w:t>
      </w:r>
      <w:r>
        <w:fldChar w:fldCharType="end"/>
      </w:r>
      <w:r>
        <w:rPr>
          <w:rFonts w:hint="eastAsia"/>
          <w:color w:val="auto"/>
          <w:lang w:val="en-US" w:eastAsia="zh-CN"/>
        </w:rPr>
        <w:fldChar w:fldCharType="end"/>
      </w:r>
    </w:p>
    <w:p w14:paraId="50C55AFA">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_Toc18125 </w:instrText>
      </w:r>
      <w:r>
        <w:rPr>
          <w:rFonts w:hint="eastAsia"/>
          <w:lang w:val="en-US" w:eastAsia="zh-CN"/>
        </w:rPr>
        <w:fldChar w:fldCharType="separate"/>
      </w:r>
      <w:r>
        <w:rPr>
          <w:rFonts w:hint="eastAsia"/>
          <w:lang w:val="en-US" w:eastAsia="zh-CN"/>
        </w:rPr>
        <w:t>2.5.3 安全教育培训</w:t>
      </w:r>
      <w:r>
        <w:tab/>
      </w:r>
      <w:r>
        <w:fldChar w:fldCharType="begin"/>
      </w:r>
      <w:r>
        <w:instrText xml:space="preserve"> PAGEREF _Toc18125 \h </w:instrText>
      </w:r>
      <w:r>
        <w:fldChar w:fldCharType="separate"/>
      </w:r>
      <w:r>
        <w:t>29</w:t>
      </w:r>
      <w:r>
        <w:fldChar w:fldCharType="end"/>
      </w:r>
      <w:r>
        <w:rPr>
          <w:rFonts w:hint="eastAsia"/>
          <w:color w:val="auto"/>
          <w:lang w:val="en-US" w:eastAsia="zh-CN"/>
        </w:rPr>
        <w:fldChar w:fldCharType="end"/>
      </w:r>
    </w:p>
    <w:p w14:paraId="2ACE90E1">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_Toc3464 </w:instrText>
      </w:r>
      <w:r>
        <w:rPr>
          <w:rFonts w:hint="eastAsia"/>
          <w:lang w:val="en-US" w:eastAsia="zh-CN"/>
        </w:rPr>
        <w:fldChar w:fldCharType="separate"/>
      </w:r>
      <w:r>
        <w:rPr>
          <w:rFonts w:hint="default"/>
          <w:lang w:val="en-US" w:eastAsia="zh-CN"/>
        </w:rPr>
        <w:t>2.5.</w:t>
      </w:r>
      <w:r>
        <w:rPr>
          <w:rFonts w:hint="eastAsia"/>
          <w:lang w:val="en-US" w:eastAsia="zh-CN"/>
        </w:rPr>
        <w:t>4</w:t>
      </w:r>
      <w:r>
        <w:rPr>
          <w:rFonts w:hint="default"/>
          <w:lang w:val="en-US" w:eastAsia="zh-CN"/>
        </w:rPr>
        <w:t xml:space="preserve"> 安全标准化运行情况</w:t>
      </w:r>
      <w:r>
        <w:tab/>
      </w:r>
      <w:r>
        <w:fldChar w:fldCharType="begin"/>
      </w:r>
      <w:r>
        <w:instrText xml:space="preserve"> PAGEREF _Toc3464 \h </w:instrText>
      </w:r>
      <w:r>
        <w:fldChar w:fldCharType="separate"/>
      </w:r>
      <w:r>
        <w:t>29</w:t>
      </w:r>
      <w:r>
        <w:fldChar w:fldCharType="end"/>
      </w:r>
      <w:r>
        <w:rPr>
          <w:rFonts w:hint="eastAsia"/>
          <w:color w:val="auto"/>
          <w:lang w:val="en-US" w:eastAsia="zh-CN"/>
        </w:rPr>
        <w:fldChar w:fldCharType="end"/>
      </w:r>
    </w:p>
    <w:p w14:paraId="26FBDB2E">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_Toc20181 </w:instrText>
      </w:r>
      <w:r>
        <w:rPr>
          <w:rFonts w:hint="eastAsia"/>
          <w:lang w:val="en-US" w:eastAsia="zh-CN"/>
        </w:rPr>
        <w:fldChar w:fldCharType="separate"/>
      </w:r>
      <w:r>
        <w:rPr>
          <w:rFonts w:hint="eastAsia"/>
          <w:lang w:val="en-US" w:eastAsia="zh-CN"/>
        </w:rPr>
        <w:t>2.5.5 双重预防机制</w:t>
      </w:r>
      <w:r>
        <w:tab/>
      </w:r>
      <w:r>
        <w:fldChar w:fldCharType="begin"/>
      </w:r>
      <w:r>
        <w:instrText xml:space="preserve"> PAGEREF _Toc20181 \h </w:instrText>
      </w:r>
      <w:r>
        <w:fldChar w:fldCharType="separate"/>
      </w:r>
      <w:r>
        <w:t>29</w:t>
      </w:r>
      <w:r>
        <w:fldChar w:fldCharType="end"/>
      </w:r>
      <w:r>
        <w:rPr>
          <w:rFonts w:hint="eastAsia"/>
          <w:color w:val="auto"/>
          <w:lang w:val="en-US" w:eastAsia="zh-CN"/>
        </w:rPr>
        <w:fldChar w:fldCharType="end"/>
      </w:r>
    </w:p>
    <w:p w14:paraId="4369FC63">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_Toc31716 </w:instrText>
      </w:r>
      <w:r>
        <w:rPr>
          <w:rFonts w:hint="eastAsia"/>
          <w:lang w:val="en-US" w:eastAsia="zh-CN"/>
        </w:rPr>
        <w:fldChar w:fldCharType="separate"/>
      </w:r>
      <w:r>
        <w:rPr>
          <w:rFonts w:hint="default"/>
          <w:lang w:val="en-US" w:eastAsia="zh-CN"/>
        </w:rPr>
        <w:t>2.</w:t>
      </w:r>
      <w:r>
        <w:rPr>
          <w:rFonts w:hint="eastAsia"/>
          <w:lang w:val="en-US" w:eastAsia="zh-CN"/>
        </w:rPr>
        <w:t>5</w:t>
      </w:r>
      <w:r>
        <w:rPr>
          <w:rFonts w:hint="default"/>
          <w:lang w:val="en-US" w:eastAsia="zh-CN"/>
        </w:rPr>
        <w:t>.6</w:t>
      </w:r>
      <w:r>
        <w:rPr>
          <w:rFonts w:hint="eastAsia"/>
          <w:lang w:val="en-US" w:eastAsia="zh-CN"/>
        </w:rPr>
        <w:t xml:space="preserve"> 安全生产费用</w:t>
      </w:r>
      <w:r>
        <w:tab/>
      </w:r>
      <w:r>
        <w:fldChar w:fldCharType="begin"/>
      </w:r>
      <w:r>
        <w:instrText xml:space="preserve"> PAGEREF _Toc31716 \h </w:instrText>
      </w:r>
      <w:r>
        <w:fldChar w:fldCharType="separate"/>
      </w:r>
      <w:r>
        <w:t>30</w:t>
      </w:r>
      <w:r>
        <w:fldChar w:fldCharType="end"/>
      </w:r>
      <w:r>
        <w:rPr>
          <w:rFonts w:hint="eastAsia"/>
          <w:color w:val="auto"/>
          <w:lang w:val="en-US" w:eastAsia="zh-CN"/>
        </w:rPr>
        <w:fldChar w:fldCharType="end"/>
      </w:r>
    </w:p>
    <w:p w14:paraId="2B246DB5">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_Toc19843 </w:instrText>
      </w:r>
      <w:r>
        <w:rPr>
          <w:rFonts w:hint="eastAsia"/>
          <w:lang w:val="en-US" w:eastAsia="zh-CN"/>
        </w:rPr>
        <w:fldChar w:fldCharType="separate"/>
      </w:r>
      <w:r>
        <w:rPr>
          <w:rFonts w:hint="eastAsia"/>
          <w:lang w:val="en-US" w:eastAsia="zh-CN"/>
        </w:rPr>
        <w:t>2.5.7 工伤保险与安全生产责任险</w:t>
      </w:r>
      <w:r>
        <w:tab/>
      </w:r>
      <w:r>
        <w:fldChar w:fldCharType="begin"/>
      </w:r>
      <w:r>
        <w:instrText xml:space="preserve"> PAGEREF _Toc19843 \h </w:instrText>
      </w:r>
      <w:r>
        <w:fldChar w:fldCharType="separate"/>
      </w:r>
      <w:r>
        <w:t>30</w:t>
      </w:r>
      <w:r>
        <w:fldChar w:fldCharType="end"/>
      </w:r>
      <w:r>
        <w:rPr>
          <w:rFonts w:hint="eastAsia"/>
          <w:color w:val="auto"/>
          <w:lang w:val="en-US" w:eastAsia="zh-CN"/>
        </w:rPr>
        <w:fldChar w:fldCharType="end"/>
      </w:r>
    </w:p>
    <w:p w14:paraId="2B3E23E5">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_Toc2869 </w:instrText>
      </w:r>
      <w:r>
        <w:rPr>
          <w:rFonts w:hint="eastAsia"/>
          <w:lang w:val="en-US" w:eastAsia="zh-CN"/>
        </w:rPr>
        <w:fldChar w:fldCharType="separate"/>
      </w:r>
      <w:r>
        <w:rPr>
          <w:rFonts w:hint="default"/>
          <w:lang w:val="en-US" w:eastAsia="zh-CN"/>
        </w:rPr>
        <w:t>2.</w:t>
      </w:r>
      <w:r>
        <w:rPr>
          <w:rFonts w:hint="eastAsia"/>
          <w:lang w:val="en-US" w:eastAsia="zh-CN"/>
        </w:rPr>
        <w:t>5</w:t>
      </w:r>
      <w:r>
        <w:rPr>
          <w:rFonts w:hint="default"/>
          <w:lang w:val="en-US" w:eastAsia="zh-CN"/>
        </w:rPr>
        <w:t>.</w:t>
      </w:r>
      <w:r>
        <w:rPr>
          <w:rFonts w:hint="eastAsia"/>
          <w:lang w:val="en-US" w:eastAsia="zh-CN"/>
        </w:rPr>
        <w:t xml:space="preserve">8 </w:t>
      </w:r>
      <w:r>
        <w:rPr>
          <w:rFonts w:hint="default"/>
          <w:lang w:val="en-US" w:eastAsia="zh-CN"/>
        </w:rPr>
        <w:t>应急救援</w:t>
      </w:r>
      <w:r>
        <w:tab/>
      </w:r>
      <w:r>
        <w:fldChar w:fldCharType="begin"/>
      </w:r>
      <w:r>
        <w:instrText xml:space="preserve"> PAGEREF _Toc2869 \h </w:instrText>
      </w:r>
      <w:r>
        <w:fldChar w:fldCharType="separate"/>
      </w:r>
      <w:r>
        <w:t>30</w:t>
      </w:r>
      <w:r>
        <w:fldChar w:fldCharType="end"/>
      </w:r>
      <w:r>
        <w:rPr>
          <w:rFonts w:hint="eastAsia"/>
          <w:color w:val="auto"/>
          <w:lang w:val="en-US" w:eastAsia="zh-CN"/>
        </w:rPr>
        <w:fldChar w:fldCharType="end"/>
      </w:r>
    </w:p>
    <w:p w14:paraId="374571C1">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_Toc17309 </w:instrText>
      </w:r>
      <w:r>
        <w:rPr>
          <w:rFonts w:hint="eastAsia"/>
          <w:lang w:val="en-US" w:eastAsia="zh-CN"/>
        </w:rPr>
        <w:fldChar w:fldCharType="separate"/>
      </w:r>
      <w:r>
        <w:rPr>
          <w:rFonts w:hint="default"/>
          <w:lang w:val="en-US" w:eastAsia="zh-CN"/>
        </w:rPr>
        <w:t>2.</w:t>
      </w:r>
      <w:r>
        <w:rPr>
          <w:rFonts w:hint="eastAsia"/>
          <w:lang w:val="en-US" w:eastAsia="zh-CN"/>
        </w:rPr>
        <w:t>5</w:t>
      </w:r>
      <w:r>
        <w:rPr>
          <w:rFonts w:hint="default"/>
          <w:lang w:val="en-US" w:eastAsia="zh-CN"/>
        </w:rPr>
        <w:t>.</w:t>
      </w:r>
      <w:r>
        <w:rPr>
          <w:rFonts w:hint="eastAsia"/>
          <w:lang w:val="en-US" w:eastAsia="zh-CN"/>
        </w:rPr>
        <w:t xml:space="preserve">9 </w:t>
      </w:r>
      <w:r>
        <w:rPr>
          <w:rFonts w:hint="default"/>
          <w:lang w:val="en-US" w:eastAsia="zh-CN"/>
        </w:rPr>
        <w:t>安全生产状况</w:t>
      </w:r>
      <w:r>
        <w:tab/>
      </w:r>
      <w:r>
        <w:fldChar w:fldCharType="begin"/>
      </w:r>
      <w:r>
        <w:instrText xml:space="preserve"> PAGEREF _Toc17309 \h </w:instrText>
      </w:r>
      <w:r>
        <w:fldChar w:fldCharType="separate"/>
      </w:r>
      <w:r>
        <w:t>31</w:t>
      </w:r>
      <w:r>
        <w:fldChar w:fldCharType="end"/>
      </w:r>
      <w:r>
        <w:rPr>
          <w:rFonts w:hint="eastAsia"/>
          <w:color w:val="auto"/>
          <w:lang w:val="en-US" w:eastAsia="zh-CN"/>
        </w:rPr>
        <w:fldChar w:fldCharType="end"/>
      </w:r>
    </w:p>
    <w:p w14:paraId="00B817BD">
      <w:pPr>
        <w:pStyle w:val="14"/>
        <w:keepNext w:val="0"/>
        <w:keepLines w:val="0"/>
        <w:pageBreakBefore w:val="0"/>
        <w:widowControl w:val="0"/>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_Toc27227 </w:instrText>
      </w:r>
      <w:r>
        <w:rPr>
          <w:rFonts w:hint="eastAsia"/>
          <w:lang w:val="en-US" w:eastAsia="zh-CN"/>
        </w:rPr>
        <w:fldChar w:fldCharType="separate"/>
      </w:r>
      <w:r>
        <w:rPr>
          <w:rFonts w:hint="default" w:ascii="Times New Roman" w:hAnsi="Times New Roman" w:cs="Times New Roman"/>
          <w:lang w:val="en-US" w:eastAsia="zh-CN"/>
        </w:rPr>
        <w:t>3. 危险、有害因素辨识与分析</w:t>
      </w:r>
      <w:r>
        <w:tab/>
      </w:r>
      <w:r>
        <w:fldChar w:fldCharType="begin"/>
      </w:r>
      <w:r>
        <w:instrText xml:space="preserve"> PAGEREF _Toc27227 \h </w:instrText>
      </w:r>
      <w:r>
        <w:fldChar w:fldCharType="separate"/>
      </w:r>
      <w:r>
        <w:t>32</w:t>
      </w:r>
      <w:r>
        <w:fldChar w:fldCharType="end"/>
      </w:r>
      <w:r>
        <w:rPr>
          <w:rFonts w:hint="eastAsia"/>
          <w:color w:val="auto"/>
          <w:lang w:val="en-US" w:eastAsia="zh-CN"/>
        </w:rPr>
        <w:fldChar w:fldCharType="end"/>
      </w:r>
    </w:p>
    <w:p w14:paraId="497FD73D">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_Toc22771 </w:instrText>
      </w:r>
      <w:r>
        <w:rPr>
          <w:rFonts w:hint="eastAsia"/>
          <w:lang w:val="en-US" w:eastAsia="zh-CN"/>
        </w:rPr>
        <w:fldChar w:fldCharType="separate"/>
      </w:r>
      <w:r>
        <w:rPr>
          <w:rFonts w:hint="default"/>
          <w:lang w:val="en-US" w:eastAsia="zh-CN"/>
        </w:rPr>
        <w:t>3.1 危险因素辨识</w:t>
      </w:r>
      <w:r>
        <w:tab/>
      </w:r>
      <w:r>
        <w:fldChar w:fldCharType="begin"/>
      </w:r>
      <w:r>
        <w:instrText xml:space="preserve"> PAGEREF _Toc22771 \h </w:instrText>
      </w:r>
      <w:r>
        <w:fldChar w:fldCharType="separate"/>
      </w:r>
      <w:r>
        <w:t>32</w:t>
      </w:r>
      <w:r>
        <w:fldChar w:fldCharType="end"/>
      </w:r>
      <w:r>
        <w:rPr>
          <w:rFonts w:hint="eastAsia"/>
          <w:color w:val="auto"/>
          <w:lang w:val="en-US" w:eastAsia="zh-CN"/>
        </w:rPr>
        <w:fldChar w:fldCharType="end"/>
      </w:r>
    </w:p>
    <w:p w14:paraId="3BAA87E8">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_Toc11430 </w:instrText>
      </w:r>
      <w:r>
        <w:rPr>
          <w:rFonts w:hint="eastAsia"/>
          <w:lang w:val="en-US" w:eastAsia="zh-CN"/>
        </w:rPr>
        <w:fldChar w:fldCharType="separate"/>
      </w:r>
      <w:r>
        <w:rPr>
          <w:rFonts w:hint="default"/>
          <w:lang w:val="en-US" w:eastAsia="zh-CN"/>
        </w:rPr>
        <w:t>3.1.1 民用爆炸物品爆炸</w:t>
      </w:r>
      <w:r>
        <w:tab/>
      </w:r>
      <w:r>
        <w:fldChar w:fldCharType="begin"/>
      </w:r>
      <w:r>
        <w:instrText xml:space="preserve"> PAGEREF _Toc11430 \h </w:instrText>
      </w:r>
      <w:r>
        <w:fldChar w:fldCharType="separate"/>
      </w:r>
      <w:r>
        <w:t>32</w:t>
      </w:r>
      <w:r>
        <w:fldChar w:fldCharType="end"/>
      </w:r>
      <w:r>
        <w:rPr>
          <w:rFonts w:hint="eastAsia"/>
          <w:color w:val="auto"/>
          <w:lang w:val="en-US" w:eastAsia="zh-CN"/>
        </w:rPr>
        <w:fldChar w:fldCharType="end"/>
      </w:r>
    </w:p>
    <w:p w14:paraId="309EA77D">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_Toc15175 </w:instrText>
      </w:r>
      <w:r>
        <w:rPr>
          <w:rFonts w:hint="eastAsia"/>
          <w:lang w:val="en-US" w:eastAsia="zh-CN"/>
        </w:rPr>
        <w:fldChar w:fldCharType="separate"/>
      </w:r>
      <w:r>
        <w:rPr>
          <w:rFonts w:hint="default"/>
          <w:lang w:val="en-US" w:eastAsia="zh-CN"/>
        </w:rPr>
        <w:t>3.1.</w:t>
      </w:r>
      <w:r>
        <w:rPr>
          <w:rFonts w:hint="eastAsia"/>
          <w:lang w:val="en-US" w:eastAsia="zh-CN"/>
        </w:rPr>
        <w:t>2</w:t>
      </w:r>
      <w:r>
        <w:rPr>
          <w:rFonts w:hint="default"/>
          <w:lang w:val="en-US" w:eastAsia="zh-CN"/>
        </w:rPr>
        <w:t xml:space="preserve"> 坍塌</w:t>
      </w:r>
      <w:r>
        <w:tab/>
      </w:r>
      <w:r>
        <w:fldChar w:fldCharType="begin"/>
      </w:r>
      <w:r>
        <w:instrText xml:space="preserve"> PAGEREF _Toc15175 \h </w:instrText>
      </w:r>
      <w:r>
        <w:fldChar w:fldCharType="separate"/>
      </w:r>
      <w:r>
        <w:t>33</w:t>
      </w:r>
      <w:r>
        <w:fldChar w:fldCharType="end"/>
      </w:r>
      <w:r>
        <w:rPr>
          <w:rFonts w:hint="eastAsia"/>
          <w:color w:val="auto"/>
          <w:lang w:val="en-US" w:eastAsia="zh-CN"/>
        </w:rPr>
        <w:fldChar w:fldCharType="end"/>
      </w:r>
    </w:p>
    <w:p w14:paraId="5977B5F1">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_Toc31141 </w:instrText>
      </w:r>
      <w:r>
        <w:rPr>
          <w:rFonts w:hint="eastAsia"/>
          <w:lang w:val="en-US" w:eastAsia="zh-CN"/>
        </w:rPr>
        <w:fldChar w:fldCharType="separate"/>
      </w:r>
      <w:r>
        <w:rPr>
          <w:rFonts w:hint="eastAsia"/>
          <w:lang w:val="en-US" w:eastAsia="zh-CN"/>
        </w:rPr>
        <w:t>3.1.3 厂（场）内车辆致害</w:t>
      </w:r>
      <w:r>
        <w:tab/>
      </w:r>
      <w:r>
        <w:fldChar w:fldCharType="begin"/>
      </w:r>
      <w:r>
        <w:instrText xml:space="preserve"> PAGEREF _Toc31141 \h </w:instrText>
      </w:r>
      <w:r>
        <w:fldChar w:fldCharType="separate"/>
      </w:r>
      <w:r>
        <w:t>34</w:t>
      </w:r>
      <w:r>
        <w:fldChar w:fldCharType="end"/>
      </w:r>
      <w:r>
        <w:rPr>
          <w:rFonts w:hint="eastAsia"/>
          <w:color w:val="auto"/>
          <w:lang w:val="en-US" w:eastAsia="zh-CN"/>
        </w:rPr>
        <w:fldChar w:fldCharType="end"/>
      </w:r>
    </w:p>
    <w:p w14:paraId="356FE8D3">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_Toc10623 </w:instrText>
      </w:r>
      <w:r>
        <w:rPr>
          <w:rFonts w:hint="eastAsia"/>
          <w:lang w:val="en-US" w:eastAsia="zh-CN"/>
        </w:rPr>
        <w:fldChar w:fldCharType="separate"/>
      </w:r>
      <w:r>
        <w:rPr>
          <w:rFonts w:hint="eastAsia"/>
          <w:lang w:val="en-US" w:eastAsia="zh-CN"/>
        </w:rPr>
        <w:t>3.1.4 机械致害</w:t>
      </w:r>
      <w:r>
        <w:tab/>
      </w:r>
      <w:r>
        <w:fldChar w:fldCharType="begin"/>
      </w:r>
      <w:r>
        <w:instrText xml:space="preserve"> PAGEREF _Toc10623 \h </w:instrText>
      </w:r>
      <w:r>
        <w:fldChar w:fldCharType="separate"/>
      </w:r>
      <w:r>
        <w:t>34</w:t>
      </w:r>
      <w:r>
        <w:fldChar w:fldCharType="end"/>
      </w:r>
      <w:r>
        <w:rPr>
          <w:rFonts w:hint="eastAsia"/>
          <w:color w:val="auto"/>
          <w:lang w:val="en-US" w:eastAsia="zh-CN"/>
        </w:rPr>
        <w:fldChar w:fldCharType="end"/>
      </w:r>
    </w:p>
    <w:p w14:paraId="562F8A6A">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_Toc7172 </w:instrText>
      </w:r>
      <w:r>
        <w:rPr>
          <w:rFonts w:hint="eastAsia"/>
          <w:lang w:val="en-US" w:eastAsia="zh-CN"/>
        </w:rPr>
        <w:fldChar w:fldCharType="separate"/>
      </w:r>
      <w:r>
        <w:rPr>
          <w:rFonts w:hint="eastAsia"/>
          <w:lang w:val="en-US" w:eastAsia="zh-CN"/>
        </w:rPr>
        <w:t xml:space="preserve">3.1.5 </w:t>
      </w:r>
      <w:r>
        <w:rPr>
          <w:rFonts w:hint="eastAsia"/>
          <w:bCs/>
          <w:lang w:val="en-US" w:eastAsia="zh-CN"/>
        </w:rPr>
        <w:t>火灾</w:t>
      </w:r>
      <w:r>
        <w:tab/>
      </w:r>
      <w:r>
        <w:fldChar w:fldCharType="begin"/>
      </w:r>
      <w:r>
        <w:instrText xml:space="preserve"> PAGEREF _Toc7172 \h </w:instrText>
      </w:r>
      <w:r>
        <w:fldChar w:fldCharType="separate"/>
      </w:r>
      <w:r>
        <w:t>35</w:t>
      </w:r>
      <w:r>
        <w:fldChar w:fldCharType="end"/>
      </w:r>
      <w:r>
        <w:rPr>
          <w:rFonts w:hint="eastAsia"/>
          <w:color w:val="auto"/>
          <w:lang w:val="en-US" w:eastAsia="zh-CN"/>
        </w:rPr>
        <w:fldChar w:fldCharType="end"/>
      </w:r>
    </w:p>
    <w:p w14:paraId="7775304B">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_Toc13674 </w:instrText>
      </w:r>
      <w:r>
        <w:rPr>
          <w:rFonts w:hint="eastAsia"/>
          <w:lang w:val="en-US" w:eastAsia="zh-CN"/>
        </w:rPr>
        <w:fldChar w:fldCharType="separate"/>
      </w:r>
      <w:r>
        <w:rPr>
          <w:rFonts w:hint="eastAsia"/>
          <w:lang w:val="en-US" w:eastAsia="zh-CN"/>
        </w:rPr>
        <w:t>3.1.6 物体打击</w:t>
      </w:r>
      <w:r>
        <w:tab/>
      </w:r>
      <w:r>
        <w:fldChar w:fldCharType="begin"/>
      </w:r>
      <w:r>
        <w:instrText xml:space="preserve"> PAGEREF _Toc13674 \h </w:instrText>
      </w:r>
      <w:r>
        <w:fldChar w:fldCharType="separate"/>
      </w:r>
      <w:r>
        <w:t>35</w:t>
      </w:r>
      <w:r>
        <w:fldChar w:fldCharType="end"/>
      </w:r>
      <w:r>
        <w:rPr>
          <w:rFonts w:hint="eastAsia"/>
          <w:color w:val="auto"/>
          <w:lang w:val="en-US" w:eastAsia="zh-CN"/>
        </w:rPr>
        <w:fldChar w:fldCharType="end"/>
      </w:r>
    </w:p>
    <w:p w14:paraId="71FA6596">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_Toc28876 </w:instrText>
      </w:r>
      <w:r>
        <w:rPr>
          <w:rFonts w:hint="eastAsia"/>
          <w:lang w:val="en-US" w:eastAsia="zh-CN"/>
        </w:rPr>
        <w:fldChar w:fldCharType="separate"/>
      </w:r>
      <w:r>
        <w:rPr>
          <w:rFonts w:hint="eastAsia"/>
          <w:lang w:val="en-US" w:eastAsia="zh-CN"/>
        </w:rPr>
        <w:t>3.1.7 高处坠落、跌落</w:t>
      </w:r>
      <w:r>
        <w:tab/>
      </w:r>
      <w:r>
        <w:fldChar w:fldCharType="begin"/>
      </w:r>
      <w:r>
        <w:instrText xml:space="preserve"> PAGEREF _Toc28876 \h </w:instrText>
      </w:r>
      <w:r>
        <w:fldChar w:fldCharType="separate"/>
      </w:r>
      <w:r>
        <w:t>36</w:t>
      </w:r>
      <w:r>
        <w:fldChar w:fldCharType="end"/>
      </w:r>
      <w:r>
        <w:rPr>
          <w:rFonts w:hint="eastAsia"/>
          <w:color w:val="auto"/>
          <w:lang w:val="en-US" w:eastAsia="zh-CN"/>
        </w:rPr>
        <w:fldChar w:fldCharType="end"/>
      </w:r>
    </w:p>
    <w:p w14:paraId="24BFC35E">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_Toc22680 </w:instrText>
      </w:r>
      <w:r>
        <w:rPr>
          <w:rFonts w:hint="eastAsia"/>
          <w:lang w:val="en-US" w:eastAsia="zh-CN"/>
        </w:rPr>
        <w:fldChar w:fldCharType="separate"/>
      </w:r>
      <w:r>
        <w:rPr>
          <w:rFonts w:hint="eastAsia"/>
          <w:lang w:val="en-US" w:eastAsia="zh-CN"/>
        </w:rPr>
        <w:t xml:space="preserve">3.1.8 </w:t>
      </w:r>
      <w:r>
        <w:rPr>
          <w:rFonts w:hint="default"/>
          <w:lang w:val="en-US" w:eastAsia="zh-CN"/>
        </w:rPr>
        <w:t>淹溺</w:t>
      </w:r>
      <w:r>
        <w:tab/>
      </w:r>
      <w:r>
        <w:fldChar w:fldCharType="begin"/>
      </w:r>
      <w:r>
        <w:instrText xml:space="preserve"> PAGEREF _Toc22680 \h </w:instrText>
      </w:r>
      <w:r>
        <w:fldChar w:fldCharType="separate"/>
      </w:r>
      <w:r>
        <w:t>36</w:t>
      </w:r>
      <w:r>
        <w:fldChar w:fldCharType="end"/>
      </w:r>
      <w:r>
        <w:rPr>
          <w:rFonts w:hint="eastAsia"/>
          <w:color w:val="auto"/>
          <w:lang w:val="en-US" w:eastAsia="zh-CN"/>
        </w:rPr>
        <w:fldChar w:fldCharType="end"/>
      </w:r>
    </w:p>
    <w:p w14:paraId="5E8C224E">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_Toc330 </w:instrText>
      </w:r>
      <w:r>
        <w:rPr>
          <w:rFonts w:hint="eastAsia"/>
          <w:lang w:val="en-US" w:eastAsia="zh-CN"/>
        </w:rPr>
        <w:fldChar w:fldCharType="separate"/>
      </w:r>
      <w:r>
        <w:rPr>
          <w:rFonts w:hint="eastAsia"/>
          <w:lang w:val="en-US" w:eastAsia="zh-CN"/>
        </w:rPr>
        <w:t>3.1.9 其他</w:t>
      </w:r>
      <w:r>
        <w:tab/>
      </w:r>
      <w:r>
        <w:fldChar w:fldCharType="begin"/>
      </w:r>
      <w:r>
        <w:instrText xml:space="preserve"> PAGEREF _Toc330 \h </w:instrText>
      </w:r>
      <w:r>
        <w:fldChar w:fldCharType="separate"/>
      </w:r>
      <w:r>
        <w:t>36</w:t>
      </w:r>
      <w:r>
        <w:fldChar w:fldCharType="end"/>
      </w:r>
      <w:r>
        <w:rPr>
          <w:rFonts w:hint="eastAsia"/>
          <w:color w:val="auto"/>
          <w:lang w:val="en-US" w:eastAsia="zh-CN"/>
        </w:rPr>
        <w:fldChar w:fldCharType="end"/>
      </w:r>
    </w:p>
    <w:p w14:paraId="142B23C8">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_Toc7454 </w:instrText>
      </w:r>
      <w:r>
        <w:rPr>
          <w:rFonts w:hint="eastAsia"/>
          <w:lang w:val="en-US" w:eastAsia="zh-CN"/>
        </w:rPr>
        <w:fldChar w:fldCharType="separate"/>
      </w:r>
      <w:r>
        <w:rPr>
          <w:rFonts w:hint="default"/>
          <w:lang w:val="en-US" w:eastAsia="zh-CN"/>
        </w:rPr>
        <w:t>3.2 有害因素分析</w:t>
      </w:r>
      <w:r>
        <w:tab/>
      </w:r>
      <w:r>
        <w:fldChar w:fldCharType="begin"/>
      </w:r>
      <w:r>
        <w:instrText xml:space="preserve"> PAGEREF _Toc7454 \h </w:instrText>
      </w:r>
      <w:r>
        <w:fldChar w:fldCharType="separate"/>
      </w:r>
      <w:r>
        <w:t>36</w:t>
      </w:r>
      <w:r>
        <w:fldChar w:fldCharType="end"/>
      </w:r>
      <w:r>
        <w:rPr>
          <w:rFonts w:hint="eastAsia"/>
          <w:color w:val="auto"/>
          <w:lang w:val="en-US" w:eastAsia="zh-CN"/>
        </w:rPr>
        <w:fldChar w:fldCharType="end"/>
      </w:r>
    </w:p>
    <w:p w14:paraId="7BD9E99A">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_Toc9562 </w:instrText>
      </w:r>
      <w:r>
        <w:rPr>
          <w:rFonts w:hint="eastAsia"/>
          <w:lang w:val="en-US" w:eastAsia="zh-CN"/>
        </w:rPr>
        <w:fldChar w:fldCharType="separate"/>
      </w:r>
      <w:r>
        <w:rPr>
          <w:rFonts w:hint="default"/>
          <w:lang w:val="en-US" w:eastAsia="zh-CN"/>
        </w:rPr>
        <w:t>3.2.1 粉尘</w:t>
      </w:r>
      <w:r>
        <w:tab/>
      </w:r>
      <w:r>
        <w:fldChar w:fldCharType="begin"/>
      </w:r>
      <w:r>
        <w:instrText xml:space="preserve"> PAGEREF _Toc9562 \h </w:instrText>
      </w:r>
      <w:r>
        <w:fldChar w:fldCharType="separate"/>
      </w:r>
      <w:r>
        <w:t>36</w:t>
      </w:r>
      <w:r>
        <w:fldChar w:fldCharType="end"/>
      </w:r>
      <w:r>
        <w:rPr>
          <w:rFonts w:hint="eastAsia"/>
          <w:color w:val="auto"/>
          <w:lang w:val="en-US" w:eastAsia="zh-CN"/>
        </w:rPr>
        <w:fldChar w:fldCharType="end"/>
      </w:r>
    </w:p>
    <w:p w14:paraId="68EDFAD5">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_Toc24882 </w:instrText>
      </w:r>
      <w:r>
        <w:rPr>
          <w:rFonts w:hint="eastAsia"/>
          <w:lang w:val="en-US" w:eastAsia="zh-CN"/>
        </w:rPr>
        <w:fldChar w:fldCharType="separate"/>
      </w:r>
      <w:r>
        <w:rPr>
          <w:rFonts w:hint="default"/>
          <w:lang w:val="en-US" w:eastAsia="zh-CN"/>
        </w:rPr>
        <w:t>3.2.2 噪声与振动</w:t>
      </w:r>
      <w:r>
        <w:tab/>
      </w:r>
      <w:r>
        <w:fldChar w:fldCharType="begin"/>
      </w:r>
      <w:r>
        <w:instrText xml:space="preserve"> PAGEREF _Toc24882 \h </w:instrText>
      </w:r>
      <w:r>
        <w:fldChar w:fldCharType="separate"/>
      </w:r>
      <w:r>
        <w:t>37</w:t>
      </w:r>
      <w:r>
        <w:fldChar w:fldCharType="end"/>
      </w:r>
      <w:r>
        <w:rPr>
          <w:rFonts w:hint="eastAsia"/>
          <w:color w:val="auto"/>
          <w:lang w:val="en-US" w:eastAsia="zh-CN"/>
        </w:rPr>
        <w:fldChar w:fldCharType="end"/>
      </w:r>
    </w:p>
    <w:p w14:paraId="3CF8730A">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_Toc14577 </w:instrText>
      </w:r>
      <w:r>
        <w:rPr>
          <w:rFonts w:hint="eastAsia"/>
          <w:lang w:val="en-US" w:eastAsia="zh-CN"/>
        </w:rPr>
        <w:fldChar w:fldCharType="separate"/>
      </w:r>
      <w:r>
        <w:rPr>
          <w:rFonts w:hint="default"/>
          <w:lang w:val="en-US" w:eastAsia="zh-CN"/>
        </w:rPr>
        <w:t>3.</w:t>
      </w:r>
      <w:r>
        <w:rPr>
          <w:rFonts w:hint="eastAsia"/>
          <w:lang w:val="en-US" w:eastAsia="zh-CN"/>
        </w:rPr>
        <w:t>2</w:t>
      </w:r>
      <w:r>
        <w:rPr>
          <w:rFonts w:hint="default"/>
          <w:lang w:val="en-US" w:eastAsia="zh-CN"/>
        </w:rPr>
        <w:t>.</w:t>
      </w:r>
      <w:r>
        <w:rPr>
          <w:rFonts w:hint="eastAsia"/>
          <w:lang w:val="en-US" w:eastAsia="zh-CN"/>
        </w:rPr>
        <w:t xml:space="preserve">3 </w:t>
      </w:r>
      <w:r>
        <w:rPr>
          <w:rFonts w:hint="default"/>
          <w:lang w:val="en-US" w:eastAsia="zh-CN"/>
        </w:rPr>
        <w:t>高低温</w:t>
      </w:r>
      <w:r>
        <w:tab/>
      </w:r>
      <w:r>
        <w:fldChar w:fldCharType="begin"/>
      </w:r>
      <w:r>
        <w:instrText xml:space="preserve"> PAGEREF _Toc14577 \h </w:instrText>
      </w:r>
      <w:r>
        <w:fldChar w:fldCharType="separate"/>
      </w:r>
      <w:r>
        <w:t>37</w:t>
      </w:r>
      <w:r>
        <w:fldChar w:fldCharType="end"/>
      </w:r>
      <w:r>
        <w:rPr>
          <w:rFonts w:hint="eastAsia"/>
          <w:color w:val="auto"/>
          <w:lang w:val="en-US" w:eastAsia="zh-CN"/>
        </w:rPr>
        <w:fldChar w:fldCharType="end"/>
      </w:r>
    </w:p>
    <w:p w14:paraId="6F8ED677">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_Toc13582 </w:instrText>
      </w:r>
      <w:r>
        <w:rPr>
          <w:rFonts w:hint="eastAsia"/>
          <w:lang w:val="en-US" w:eastAsia="zh-CN"/>
        </w:rPr>
        <w:fldChar w:fldCharType="separate"/>
      </w:r>
      <w:r>
        <w:rPr>
          <w:rFonts w:hint="eastAsia"/>
          <w:lang w:val="en-US" w:eastAsia="zh-CN"/>
        </w:rPr>
        <w:t>3.3 重大危险源辨识</w:t>
      </w:r>
      <w:r>
        <w:tab/>
      </w:r>
      <w:r>
        <w:fldChar w:fldCharType="begin"/>
      </w:r>
      <w:r>
        <w:instrText xml:space="preserve"> PAGEREF _Toc13582 \h </w:instrText>
      </w:r>
      <w:r>
        <w:fldChar w:fldCharType="separate"/>
      </w:r>
      <w:r>
        <w:t>38</w:t>
      </w:r>
      <w:r>
        <w:fldChar w:fldCharType="end"/>
      </w:r>
      <w:r>
        <w:rPr>
          <w:rFonts w:hint="eastAsia"/>
          <w:color w:val="auto"/>
          <w:lang w:val="en-US" w:eastAsia="zh-CN"/>
        </w:rPr>
        <w:fldChar w:fldCharType="end"/>
      </w:r>
    </w:p>
    <w:p w14:paraId="6FD76543">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_Toc1820 </w:instrText>
      </w:r>
      <w:r>
        <w:rPr>
          <w:rFonts w:hint="eastAsia"/>
          <w:lang w:val="en-US" w:eastAsia="zh-CN"/>
        </w:rPr>
        <w:fldChar w:fldCharType="separate"/>
      </w:r>
      <w:r>
        <w:rPr>
          <w:rFonts w:hint="default"/>
          <w:lang w:val="en-US" w:eastAsia="zh-CN"/>
        </w:rPr>
        <w:t>3.</w:t>
      </w:r>
      <w:r>
        <w:rPr>
          <w:rFonts w:hint="eastAsia"/>
          <w:lang w:val="en-US" w:eastAsia="zh-CN"/>
        </w:rPr>
        <w:t>4</w:t>
      </w:r>
      <w:r>
        <w:rPr>
          <w:rFonts w:hint="default"/>
          <w:lang w:val="en-US" w:eastAsia="zh-CN"/>
        </w:rPr>
        <w:t xml:space="preserve"> 危险、有害因素分析辨识结果</w:t>
      </w:r>
      <w:r>
        <w:tab/>
      </w:r>
      <w:r>
        <w:fldChar w:fldCharType="begin"/>
      </w:r>
      <w:r>
        <w:instrText xml:space="preserve"> PAGEREF _Toc1820 \h </w:instrText>
      </w:r>
      <w:r>
        <w:fldChar w:fldCharType="separate"/>
      </w:r>
      <w:r>
        <w:t>38</w:t>
      </w:r>
      <w:r>
        <w:fldChar w:fldCharType="end"/>
      </w:r>
      <w:r>
        <w:rPr>
          <w:rFonts w:hint="eastAsia"/>
          <w:color w:val="auto"/>
          <w:lang w:val="en-US" w:eastAsia="zh-CN"/>
        </w:rPr>
        <w:fldChar w:fldCharType="end"/>
      </w:r>
    </w:p>
    <w:p w14:paraId="2C3E8F35">
      <w:pPr>
        <w:pStyle w:val="14"/>
        <w:keepNext w:val="0"/>
        <w:keepLines w:val="0"/>
        <w:pageBreakBefore w:val="0"/>
        <w:widowControl w:val="0"/>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_Toc3189 </w:instrText>
      </w:r>
      <w:r>
        <w:rPr>
          <w:rFonts w:hint="eastAsia"/>
          <w:lang w:val="en-US" w:eastAsia="zh-CN"/>
        </w:rPr>
        <w:fldChar w:fldCharType="separate"/>
      </w:r>
      <w:r>
        <w:rPr>
          <w:rFonts w:hint="default" w:ascii="Times New Roman" w:hAnsi="Times New Roman" w:cs="Times New Roman"/>
          <w:lang w:val="en-US" w:eastAsia="zh-CN"/>
        </w:rPr>
        <w:t>4. 评价方法选择和评价单元划分</w:t>
      </w:r>
      <w:r>
        <w:tab/>
      </w:r>
      <w:r>
        <w:fldChar w:fldCharType="begin"/>
      </w:r>
      <w:r>
        <w:instrText xml:space="preserve"> PAGEREF _Toc3189 \h </w:instrText>
      </w:r>
      <w:r>
        <w:fldChar w:fldCharType="separate"/>
      </w:r>
      <w:r>
        <w:t>39</w:t>
      </w:r>
      <w:r>
        <w:fldChar w:fldCharType="end"/>
      </w:r>
      <w:r>
        <w:rPr>
          <w:rFonts w:hint="eastAsia"/>
          <w:color w:val="auto"/>
          <w:lang w:val="en-US" w:eastAsia="zh-CN"/>
        </w:rPr>
        <w:fldChar w:fldCharType="end"/>
      </w:r>
    </w:p>
    <w:p w14:paraId="4DEE953C">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_Toc24012 </w:instrText>
      </w:r>
      <w:r>
        <w:rPr>
          <w:rFonts w:hint="eastAsia"/>
          <w:lang w:val="en-US" w:eastAsia="zh-CN"/>
        </w:rPr>
        <w:fldChar w:fldCharType="separate"/>
      </w:r>
      <w:r>
        <w:rPr>
          <w:rFonts w:hint="eastAsia"/>
          <w:lang w:val="en-US" w:eastAsia="zh-CN"/>
        </w:rPr>
        <w:t>4.1 评价单元划分</w:t>
      </w:r>
      <w:r>
        <w:tab/>
      </w:r>
      <w:r>
        <w:fldChar w:fldCharType="begin"/>
      </w:r>
      <w:r>
        <w:instrText xml:space="preserve"> PAGEREF _Toc24012 \h </w:instrText>
      </w:r>
      <w:r>
        <w:fldChar w:fldCharType="separate"/>
      </w:r>
      <w:r>
        <w:t>39</w:t>
      </w:r>
      <w:r>
        <w:fldChar w:fldCharType="end"/>
      </w:r>
      <w:r>
        <w:rPr>
          <w:rFonts w:hint="eastAsia"/>
          <w:color w:val="auto"/>
          <w:lang w:val="en-US" w:eastAsia="zh-CN"/>
        </w:rPr>
        <w:fldChar w:fldCharType="end"/>
      </w:r>
    </w:p>
    <w:p w14:paraId="34216D68">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_Toc2510 </w:instrText>
      </w:r>
      <w:r>
        <w:rPr>
          <w:rFonts w:hint="eastAsia"/>
          <w:lang w:val="en-US" w:eastAsia="zh-CN"/>
        </w:rPr>
        <w:fldChar w:fldCharType="separate"/>
      </w:r>
      <w:r>
        <w:rPr>
          <w:rFonts w:hint="default"/>
          <w:lang w:val="en-US" w:eastAsia="zh-CN"/>
        </w:rPr>
        <w:t>4.</w:t>
      </w:r>
      <w:r>
        <w:rPr>
          <w:rFonts w:hint="eastAsia"/>
          <w:lang w:val="en-US" w:eastAsia="zh-CN"/>
        </w:rPr>
        <w:t>2</w:t>
      </w:r>
      <w:r>
        <w:rPr>
          <w:rFonts w:hint="default"/>
          <w:lang w:val="en-US" w:eastAsia="zh-CN"/>
        </w:rPr>
        <w:t xml:space="preserve"> 评价方法选择</w:t>
      </w:r>
      <w:r>
        <w:tab/>
      </w:r>
      <w:r>
        <w:fldChar w:fldCharType="begin"/>
      </w:r>
      <w:r>
        <w:instrText xml:space="preserve"> PAGEREF _Toc2510 \h </w:instrText>
      </w:r>
      <w:r>
        <w:fldChar w:fldCharType="separate"/>
      </w:r>
      <w:r>
        <w:t>39</w:t>
      </w:r>
      <w:r>
        <w:fldChar w:fldCharType="end"/>
      </w:r>
      <w:r>
        <w:rPr>
          <w:rFonts w:hint="eastAsia"/>
          <w:color w:val="auto"/>
          <w:lang w:val="en-US" w:eastAsia="zh-CN"/>
        </w:rPr>
        <w:fldChar w:fldCharType="end"/>
      </w:r>
    </w:p>
    <w:p w14:paraId="0BEFB92D">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_Toc6438 </w:instrText>
      </w:r>
      <w:r>
        <w:rPr>
          <w:rFonts w:hint="eastAsia"/>
          <w:lang w:val="en-US" w:eastAsia="zh-CN"/>
        </w:rPr>
        <w:fldChar w:fldCharType="separate"/>
      </w:r>
      <w:r>
        <w:rPr>
          <w:rFonts w:hint="default"/>
          <w:lang w:val="en-US" w:eastAsia="zh-CN"/>
        </w:rPr>
        <w:t>4.</w:t>
      </w:r>
      <w:r>
        <w:rPr>
          <w:rFonts w:hint="eastAsia"/>
          <w:lang w:val="en-US" w:eastAsia="zh-CN"/>
        </w:rPr>
        <w:t>3</w:t>
      </w:r>
      <w:r>
        <w:rPr>
          <w:rFonts w:hint="default"/>
          <w:lang w:val="en-US" w:eastAsia="zh-CN"/>
        </w:rPr>
        <w:t xml:space="preserve"> 评价方法简介</w:t>
      </w:r>
      <w:r>
        <w:tab/>
      </w:r>
      <w:r>
        <w:fldChar w:fldCharType="begin"/>
      </w:r>
      <w:r>
        <w:instrText xml:space="preserve"> PAGEREF _Toc6438 \h </w:instrText>
      </w:r>
      <w:r>
        <w:fldChar w:fldCharType="separate"/>
      </w:r>
      <w:r>
        <w:t>40</w:t>
      </w:r>
      <w:r>
        <w:fldChar w:fldCharType="end"/>
      </w:r>
      <w:r>
        <w:rPr>
          <w:rFonts w:hint="eastAsia"/>
          <w:color w:val="auto"/>
          <w:lang w:val="en-US" w:eastAsia="zh-CN"/>
        </w:rPr>
        <w:fldChar w:fldCharType="end"/>
      </w:r>
    </w:p>
    <w:p w14:paraId="336B42C4">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_Toc5814 </w:instrText>
      </w:r>
      <w:r>
        <w:rPr>
          <w:rFonts w:hint="eastAsia"/>
          <w:lang w:val="en-US" w:eastAsia="zh-CN"/>
        </w:rPr>
        <w:fldChar w:fldCharType="separate"/>
      </w:r>
      <w:r>
        <w:rPr>
          <w:rFonts w:hint="eastAsia"/>
          <w:lang w:val="en-US" w:eastAsia="zh-CN"/>
        </w:rPr>
        <w:t xml:space="preserve">4.3.1 </w:t>
      </w:r>
      <w:r>
        <w:t>安全检查表法</w:t>
      </w:r>
      <w:r>
        <w:tab/>
      </w:r>
      <w:r>
        <w:fldChar w:fldCharType="begin"/>
      </w:r>
      <w:r>
        <w:instrText xml:space="preserve"> PAGEREF _Toc5814 \h </w:instrText>
      </w:r>
      <w:r>
        <w:fldChar w:fldCharType="separate"/>
      </w:r>
      <w:r>
        <w:t>40</w:t>
      </w:r>
      <w:r>
        <w:fldChar w:fldCharType="end"/>
      </w:r>
      <w:r>
        <w:rPr>
          <w:rFonts w:hint="eastAsia"/>
          <w:color w:val="auto"/>
          <w:lang w:val="en-US" w:eastAsia="zh-CN"/>
        </w:rPr>
        <w:fldChar w:fldCharType="end"/>
      </w:r>
    </w:p>
    <w:p w14:paraId="65DD0CB9">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_Toc10801 </w:instrText>
      </w:r>
      <w:r>
        <w:rPr>
          <w:rFonts w:hint="eastAsia"/>
          <w:lang w:val="en-US" w:eastAsia="zh-CN"/>
        </w:rPr>
        <w:fldChar w:fldCharType="separate"/>
      </w:r>
      <w:r>
        <w:rPr>
          <w:rFonts w:hint="default"/>
          <w:lang w:val="en-US" w:eastAsia="zh-CN"/>
        </w:rPr>
        <w:t>4.</w:t>
      </w:r>
      <w:r>
        <w:rPr>
          <w:rFonts w:hint="eastAsia"/>
          <w:lang w:val="en-US" w:eastAsia="zh-CN"/>
        </w:rPr>
        <w:t>3</w:t>
      </w:r>
      <w:r>
        <w:rPr>
          <w:rFonts w:hint="default"/>
          <w:lang w:val="en-US" w:eastAsia="zh-CN"/>
        </w:rPr>
        <w:t>.2 作业条件危险性分析</w:t>
      </w:r>
      <w:r>
        <w:tab/>
      </w:r>
      <w:r>
        <w:fldChar w:fldCharType="begin"/>
      </w:r>
      <w:r>
        <w:instrText xml:space="preserve"> PAGEREF _Toc10801 \h </w:instrText>
      </w:r>
      <w:r>
        <w:fldChar w:fldCharType="separate"/>
      </w:r>
      <w:r>
        <w:t>40</w:t>
      </w:r>
      <w:r>
        <w:fldChar w:fldCharType="end"/>
      </w:r>
      <w:r>
        <w:rPr>
          <w:rFonts w:hint="eastAsia"/>
          <w:color w:val="auto"/>
          <w:lang w:val="en-US" w:eastAsia="zh-CN"/>
        </w:rPr>
        <w:fldChar w:fldCharType="end"/>
      </w:r>
    </w:p>
    <w:p w14:paraId="41B1D267">
      <w:pPr>
        <w:pStyle w:val="14"/>
        <w:keepNext w:val="0"/>
        <w:keepLines w:val="0"/>
        <w:pageBreakBefore w:val="0"/>
        <w:widowControl w:val="0"/>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_Toc24175 </w:instrText>
      </w:r>
      <w:r>
        <w:rPr>
          <w:rFonts w:hint="eastAsia"/>
          <w:lang w:val="en-US" w:eastAsia="zh-CN"/>
        </w:rPr>
        <w:fldChar w:fldCharType="separate"/>
      </w:r>
      <w:r>
        <w:rPr>
          <w:rFonts w:hint="default" w:ascii="Times New Roman" w:hAnsi="Times New Roman" w:cs="Times New Roman"/>
          <w:lang w:val="en-US" w:eastAsia="zh-CN"/>
        </w:rPr>
        <w:t>5. 定性定量评价</w:t>
      </w:r>
      <w:r>
        <w:tab/>
      </w:r>
      <w:r>
        <w:fldChar w:fldCharType="begin"/>
      </w:r>
      <w:r>
        <w:instrText xml:space="preserve"> PAGEREF _Toc24175 \h </w:instrText>
      </w:r>
      <w:r>
        <w:fldChar w:fldCharType="separate"/>
      </w:r>
      <w:r>
        <w:t>43</w:t>
      </w:r>
      <w:r>
        <w:fldChar w:fldCharType="end"/>
      </w:r>
      <w:r>
        <w:rPr>
          <w:rFonts w:hint="eastAsia"/>
          <w:color w:val="auto"/>
          <w:lang w:val="en-US" w:eastAsia="zh-CN"/>
        </w:rPr>
        <w:fldChar w:fldCharType="end"/>
      </w:r>
    </w:p>
    <w:p w14:paraId="728FA380">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_Toc31767 </w:instrText>
      </w:r>
      <w:r>
        <w:rPr>
          <w:rFonts w:hint="eastAsia"/>
          <w:lang w:val="en-US" w:eastAsia="zh-CN"/>
        </w:rPr>
        <w:fldChar w:fldCharType="separate"/>
      </w:r>
      <w:r>
        <w:rPr>
          <w:rFonts w:hint="default"/>
          <w:lang w:val="en-US" w:eastAsia="zh-CN"/>
        </w:rPr>
        <w:t>5.1 安全管理单元</w:t>
      </w:r>
      <w:r>
        <w:tab/>
      </w:r>
      <w:r>
        <w:fldChar w:fldCharType="begin"/>
      </w:r>
      <w:r>
        <w:instrText xml:space="preserve"> PAGEREF _Toc31767 \h </w:instrText>
      </w:r>
      <w:r>
        <w:fldChar w:fldCharType="separate"/>
      </w:r>
      <w:r>
        <w:t>43</w:t>
      </w:r>
      <w:r>
        <w:fldChar w:fldCharType="end"/>
      </w:r>
      <w:r>
        <w:rPr>
          <w:rFonts w:hint="eastAsia"/>
          <w:color w:val="auto"/>
          <w:lang w:val="en-US" w:eastAsia="zh-CN"/>
        </w:rPr>
        <w:fldChar w:fldCharType="end"/>
      </w:r>
    </w:p>
    <w:p w14:paraId="5101C695">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_Toc8357 </w:instrText>
      </w:r>
      <w:r>
        <w:rPr>
          <w:rFonts w:hint="eastAsia"/>
          <w:lang w:val="en-US" w:eastAsia="zh-CN"/>
        </w:rPr>
        <w:fldChar w:fldCharType="separate"/>
      </w:r>
      <w:r>
        <w:rPr>
          <w:rFonts w:hint="eastAsia"/>
          <w:lang w:val="en-US" w:eastAsia="zh-CN"/>
        </w:rPr>
        <w:t>5.1.1 安全管理安全检查表</w:t>
      </w:r>
      <w:r>
        <w:tab/>
      </w:r>
      <w:r>
        <w:fldChar w:fldCharType="begin"/>
      </w:r>
      <w:r>
        <w:instrText xml:space="preserve"> PAGEREF _Toc8357 \h </w:instrText>
      </w:r>
      <w:r>
        <w:fldChar w:fldCharType="separate"/>
      </w:r>
      <w:r>
        <w:t>43</w:t>
      </w:r>
      <w:r>
        <w:fldChar w:fldCharType="end"/>
      </w:r>
      <w:r>
        <w:rPr>
          <w:rFonts w:hint="eastAsia"/>
          <w:color w:val="auto"/>
          <w:lang w:val="en-US" w:eastAsia="zh-CN"/>
        </w:rPr>
        <w:fldChar w:fldCharType="end"/>
      </w:r>
    </w:p>
    <w:p w14:paraId="275CAA66">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_Toc29785 </w:instrText>
      </w:r>
      <w:r>
        <w:rPr>
          <w:rFonts w:hint="eastAsia"/>
          <w:lang w:val="en-US" w:eastAsia="zh-CN"/>
        </w:rPr>
        <w:fldChar w:fldCharType="separate"/>
      </w:r>
      <w:r>
        <w:rPr>
          <w:rFonts w:hint="default"/>
          <w:lang w:val="en-US" w:eastAsia="zh-CN"/>
        </w:rPr>
        <w:t>5.1.2</w:t>
      </w:r>
      <w:r>
        <w:rPr>
          <w:rFonts w:hint="eastAsia"/>
          <w:lang w:val="en-US" w:eastAsia="zh-CN"/>
        </w:rPr>
        <w:t xml:space="preserve"> </w:t>
      </w:r>
      <w:r>
        <w:rPr>
          <w:rFonts w:hint="default"/>
          <w:lang w:val="en-US" w:eastAsia="zh-CN"/>
        </w:rPr>
        <w:t>评价小结</w:t>
      </w:r>
      <w:r>
        <w:tab/>
      </w:r>
      <w:r>
        <w:fldChar w:fldCharType="begin"/>
      </w:r>
      <w:r>
        <w:instrText xml:space="preserve"> PAGEREF _Toc29785 \h </w:instrText>
      </w:r>
      <w:r>
        <w:fldChar w:fldCharType="separate"/>
      </w:r>
      <w:r>
        <w:t>47</w:t>
      </w:r>
      <w:r>
        <w:fldChar w:fldCharType="end"/>
      </w:r>
      <w:r>
        <w:rPr>
          <w:rFonts w:hint="eastAsia"/>
          <w:color w:val="auto"/>
          <w:lang w:val="en-US" w:eastAsia="zh-CN"/>
        </w:rPr>
        <w:fldChar w:fldCharType="end"/>
      </w:r>
    </w:p>
    <w:p w14:paraId="2039981E">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_Toc18257 </w:instrText>
      </w:r>
      <w:r>
        <w:rPr>
          <w:rFonts w:hint="eastAsia"/>
          <w:lang w:val="en-US" w:eastAsia="zh-CN"/>
        </w:rPr>
        <w:fldChar w:fldCharType="separate"/>
      </w:r>
      <w:r>
        <w:rPr>
          <w:rFonts w:hint="eastAsia"/>
          <w:lang w:val="en-US" w:eastAsia="zh-CN"/>
        </w:rPr>
        <w:t>5.2 露天采场单元</w:t>
      </w:r>
      <w:r>
        <w:tab/>
      </w:r>
      <w:r>
        <w:fldChar w:fldCharType="begin"/>
      </w:r>
      <w:r>
        <w:instrText xml:space="preserve"> PAGEREF _Toc18257 \h </w:instrText>
      </w:r>
      <w:r>
        <w:fldChar w:fldCharType="separate"/>
      </w:r>
      <w:r>
        <w:t>47</w:t>
      </w:r>
      <w:r>
        <w:fldChar w:fldCharType="end"/>
      </w:r>
      <w:r>
        <w:rPr>
          <w:rFonts w:hint="eastAsia"/>
          <w:color w:val="auto"/>
          <w:lang w:val="en-US" w:eastAsia="zh-CN"/>
        </w:rPr>
        <w:fldChar w:fldCharType="end"/>
      </w:r>
    </w:p>
    <w:p w14:paraId="5CC17A73">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_Toc28062 </w:instrText>
      </w:r>
      <w:r>
        <w:rPr>
          <w:rFonts w:hint="eastAsia"/>
          <w:lang w:val="en-US" w:eastAsia="zh-CN"/>
        </w:rPr>
        <w:fldChar w:fldCharType="separate"/>
      </w:r>
      <w:r>
        <w:rPr>
          <w:rFonts w:hint="eastAsia"/>
          <w:lang w:val="en-US" w:eastAsia="zh-CN"/>
        </w:rPr>
        <w:t>5.2.1 露天采场安全检查表</w:t>
      </w:r>
      <w:r>
        <w:tab/>
      </w:r>
      <w:r>
        <w:fldChar w:fldCharType="begin"/>
      </w:r>
      <w:r>
        <w:instrText xml:space="preserve"> PAGEREF _Toc28062 \h </w:instrText>
      </w:r>
      <w:r>
        <w:fldChar w:fldCharType="separate"/>
      </w:r>
      <w:r>
        <w:t>47</w:t>
      </w:r>
      <w:r>
        <w:fldChar w:fldCharType="end"/>
      </w:r>
      <w:r>
        <w:rPr>
          <w:rFonts w:hint="eastAsia"/>
          <w:color w:val="auto"/>
          <w:lang w:val="en-US" w:eastAsia="zh-CN"/>
        </w:rPr>
        <w:fldChar w:fldCharType="end"/>
      </w:r>
    </w:p>
    <w:p w14:paraId="3D632571">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_Toc16584 </w:instrText>
      </w:r>
      <w:r>
        <w:rPr>
          <w:rFonts w:hint="eastAsia"/>
          <w:lang w:val="en-US" w:eastAsia="zh-CN"/>
        </w:rPr>
        <w:fldChar w:fldCharType="separate"/>
      </w:r>
      <w:r>
        <w:rPr>
          <w:rFonts w:hint="default"/>
          <w:lang w:val="en-US" w:eastAsia="zh-CN"/>
        </w:rPr>
        <w:t>5.</w:t>
      </w:r>
      <w:r>
        <w:rPr>
          <w:rFonts w:hint="eastAsia"/>
          <w:lang w:val="en-US" w:eastAsia="zh-CN"/>
        </w:rPr>
        <w:t>2</w:t>
      </w:r>
      <w:r>
        <w:rPr>
          <w:rFonts w:hint="default"/>
          <w:lang w:val="en-US" w:eastAsia="zh-CN"/>
        </w:rPr>
        <w:t>.2</w:t>
      </w:r>
      <w:r>
        <w:rPr>
          <w:rFonts w:hint="eastAsia"/>
          <w:lang w:val="en-US" w:eastAsia="zh-CN"/>
        </w:rPr>
        <w:t xml:space="preserve"> </w:t>
      </w:r>
      <w:r>
        <w:rPr>
          <w:rFonts w:hint="default"/>
          <w:lang w:val="en-US" w:eastAsia="zh-CN"/>
        </w:rPr>
        <w:t>评价小结</w:t>
      </w:r>
      <w:r>
        <w:tab/>
      </w:r>
      <w:r>
        <w:fldChar w:fldCharType="begin"/>
      </w:r>
      <w:r>
        <w:instrText xml:space="preserve"> PAGEREF _Toc16584 \h </w:instrText>
      </w:r>
      <w:r>
        <w:fldChar w:fldCharType="separate"/>
      </w:r>
      <w:r>
        <w:t>53</w:t>
      </w:r>
      <w:r>
        <w:fldChar w:fldCharType="end"/>
      </w:r>
      <w:r>
        <w:rPr>
          <w:rFonts w:hint="eastAsia"/>
          <w:color w:val="auto"/>
          <w:lang w:val="en-US" w:eastAsia="zh-CN"/>
        </w:rPr>
        <w:fldChar w:fldCharType="end"/>
      </w:r>
    </w:p>
    <w:p w14:paraId="0F1DD664">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_Toc18953 </w:instrText>
      </w:r>
      <w:r>
        <w:rPr>
          <w:rFonts w:hint="eastAsia"/>
          <w:lang w:val="en-US" w:eastAsia="zh-CN"/>
        </w:rPr>
        <w:fldChar w:fldCharType="separate"/>
      </w:r>
      <w:r>
        <w:rPr>
          <w:rFonts w:hint="default"/>
          <w:lang w:val="en-US" w:eastAsia="zh-CN"/>
        </w:rPr>
        <w:t>5.3</w:t>
      </w:r>
      <w:r>
        <w:rPr>
          <w:rFonts w:hint="eastAsia"/>
          <w:lang w:val="en-US" w:eastAsia="zh-CN"/>
        </w:rPr>
        <w:t xml:space="preserve"> </w:t>
      </w:r>
      <w:r>
        <w:rPr>
          <w:rFonts w:hint="default"/>
          <w:lang w:val="en-US" w:eastAsia="zh-CN"/>
        </w:rPr>
        <w:t>边坡管理单元</w:t>
      </w:r>
      <w:r>
        <w:tab/>
      </w:r>
      <w:r>
        <w:fldChar w:fldCharType="begin"/>
      </w:r>
      <w:r>
        <w:instrText xml:space="preserve"> PAGEREF _Toc18953 \h </w:instrText>
      </w:r>
      <w:r>
        <w:fldChar w:fldCharType="separate"/>
      </w:r>
      <w:r>
        <w:t>54</w:t>
      </w:r>
      <w:r>
        <w:fldChar w:fldCharType="end"/>
      </w:r>
      <w:r>
        <w:rPr>
          <w:rFonts w:hint="eastAsia"/>
          <w:color w:val="auto"/>
          <w:lang w:val="en-US" w:eastAsia="zh-CN"/>
        </w:rPr>
        <w:fldChar w:fldCharType="end"/>
      </w:r>
    </w:p>
    <w:p w14:paraId="3461B6DB">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_Toc26425 </w:instrText>
      </w:r>
      <w:r>
        <w:rPr>
          <w:rFonts w:hint="eastAsia"/>
          <w:lang w:val="en-US" w:eastAsia="zh-CN"/>
        </w:rPr>
        <w:fldChar w:fldCharType="separate"/>
      </w:r>
      <w:r>
        <w:rPr>
          <w:rFonts w:hint="default"/>
          <w:lang w:val="en-US" w:eastAsia="zh-CN"/>
        </w:rPr>
        <w:t>5.3.1</w:t>
      </w:r>
      <w:r>
        <w:rPr>
          <w:rFonts w:hint="eastAsia"/>
          <w:lang w:val="en-US" w:eastAsia="zh-CN"/>
        </w:rPr>
        <w:t xml:space="preserve"> 边坡管理</w:t>
      </w:r>
      <w:r>
        <w:rPr>
          <w:rFonts w:hint="default"/>
          <w:lang w:val="en-US" w:eastAsia="zh-CN"/>
        </w:rPr>
        <w:t>安全检查表</w:t>
      </w:r>
      <w:r>
        <w:tab/>
      </w:r>
      <w:r>
        <w:fldChar w:fldCharType="begin"/>
      </w:r>
      <w:r>
        <w:instrText xml:space="preserve"> PAGEREF _Toc26425 \h </w:instrText>
      </w:r>
      <w:r>
        <w:fldChar w:fldCharType="separate"/>
      </w:r>
      <w:r>
        <w:t>54</w:t>
      </w:r>
      <w:r>
        <w:fldChar w:fldCharType="end"/>
      </w:r>
      <w:r>
        <w:rPr>
          <w:rFonts w:hint="eastAsia"/>
          <w:color w:val="auto"/>
          <w:lang w:val="en-US" w:eastAsia="zh-CN"/>
        </w:rPr>
        <w:fldChar w:fldCharType="end"/>
      </w:r>
    </w:p>
    <w:p w14:paraId="5C858314">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_Toc24893 </w:instrText>
      </w:r>
      <w:r>
        <w:rPr>
          <w:rFonts w:hint="eastAsia"/>
          <w:lang w:val="en-US" w:eastAsia="zh-CN"/>
        </w:rPr>
        <w:fldChar w:fldCharType="separate"/>
      </w:r>
      <w:r>
        <w:rPr>
          <w:rFonts w:hint="default"/>
          <w:lang w:val="en-US" w:eastAsia="zh-CN"/>
        </w:rPr>
        <w:t>5.</w:t>
      </w:r>
      <w:r>
        <w:rPr>
          <w:rFonts w:hint="eastAsia"/>
          <w:lang w:val="en-US" w:eastAsia="zh-CN"/>
        </w:rPr>
        <w:t>3</w:t>
      </w:r>
      <w:r>
        <w:rPr>
          <w:rFonts w:hint="default"/>
          <w:lang w:val="en-US" w:eastAsia="zh-CN"/>
        </w:rPr>
        <w:t>.2 评价小结</w:t>
      </w:r>
      <w:r>
        <w:tab/>
      </w:r>
      <w:r>
        <w:fldChar w:fldCharType="begin"/>
      </w:r>
      <w:r>
        <w:instrText xml:space="preserve"> PAGEREF _Toc24893 \h </w:instrText>
      </w:r>
      <w:r>
        <w:fldChar w:fldCharType="separate"/>
      </w:r>
      <w:r>
        <w:t>55</w:t>
      </w:r>
      <w:r>
        <w:fldChar w:fldCharType="end"/>
      </w:r>
      <w:r>
        <w:rPr>
          <w:rFonts w:hint="eastAsia"/>
          <w:color w:val="auto"/>
          <w:lang w:val="en-US" w:eastAsia="zh-CN"/>
        </w:rPr>
        <w:fldChar w:fldCharType="end"/>
      </w:r>
    </w:p>
    <w:p w14:paraId="6A02ECB7">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_Toc18728 </w:instrText>
      </w:r>
      <w:r>
        <w:rPr>
          <w:rFonts w:hint="eastAsia"/>
          <w:lang w:val="en-US" w:eastAsia="zh-CN"/>
        </w:rPr>
        <w:fldChar w:fldCharType="separate"/>
      </w:r>
      <w:r>
        <w:rPr>
          <w:rFonts w:hint="eastAsia"/>
          <w:lang w:val="en-US" w:eastAsia="zh-CN"/>
        </w:rPr>
        <w:t>5.4 供配电设施单元</w:t>
      </w:r>
      <w:r>
        <w:tab/>
      </w:r>
      <w:r>
        <w:fldChar w:fldCharType="begin"/>
      </w:r>
      <w:r>
        <w:instrText xml:space="preserve"> PAGEREF _Toc18728 \h </w:instrText>
      </w:r>
      <w:r>
        <w:fldChar w:fldCharType="separate"/>
      </w:r>
      <w:r>
        <w:t>55</w:t>
      </w:r>
      <w:r>
        <w:fldChar w:fldCharType="end"/>
      </w:r>
      <w:r>
        <w:rPr>
          <w:rFonts w:hint="eastAsia"/>
          <w:color w:val="auto"/>
          <w:lang w:val="en-US" w:eastAsia="zh-CN"/>
        </w:rPr>
        <w:fldChar w:fldCharType="end"/>
      </w:r>
    </w:p>
    <w:p w14:paraId="2D45572C">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_Toc28530 </w:instrText>
      </w:r>
      <w:r>
        <w:rPr>
          <w:rFonts w:hint="eastAsia"/>
          <w:lang w:val="en-US" w:eastAsia="zh-CN"/>
        </w:rPr>
        <w:fldChar w:fldCharType="separate"/>
      </w:r>
      <w:r>
        <w:rPr>
          <w:rFonts w:hint="eastAsia"/>
          <w:lang w:val="en-US" w:eastAsia="zh-CN"/>
        </w:rPr>
        <w:t>5.4.1 供配电设施安全检查表</w:t>
      </w:r>
      <w:r>
        <w:tab/>
      </w:r>
      <w:r>
        <w:fldChar w:fldCharType="begin"/>
      </w:r>
      <w:r>
        <w:instrText xml:space="preserve"> PAGEREF _Toc28530 \h </w:instrText>
      </w:r>
      <w:r>
        <w:fldChar w:fldCharType="separate"/>
      </w:r>
      <w:r>
        <w:t>55</w:t>
      </w:r>
      <w:r>
        <w:fldChar w:fldCharType="end"/>
      </w:r>
      <w:r>
        <w:rPr>
          <w:rFonts w:hint="eastAsia"/>
          <w:color w:val="auto"/>
          <w:lang w:val="en-US" w:eastAsia="zh-CN"/>
        </w:rPr>
        <w:fldChar w:fldCharType="end"/>
      </w:r>
    </w:p>
    <w:p w14:paraId="7888612B">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_Toc675 </w:instrText>
      </w:r>
      <w:r>
        <w:rPr>
          <w:rFonts w:hint="eastAsia"/>
          <w:lang w:val="en-US" w:eastAsia="zh-CN"/>
        </w:rPr>
        <w:fldChar w:fldCharType="separate"/>
      </w:r>
      <w:r>
        <w:rPr>
          <w:rFonts w:hint="eastAsia"/>
          <w:lang w:val="en-US" w:eastAsia="zh-CN"/>
        </w:rPr>
        <w:t>5.4.2 评价小结</w:t>
      </w:r>
      <w:r>
        <w:tab/>
      </w:r>
      <w:r>
        <w:fldChar w:fldCharType="begin"/>
      </w:r>
      <w:r>
        <w:instrText xml:space="preserve"> PAGEREF _Toc675 \h </w:instrText>
      </w:r>
      <w:r>
        <w:fldChar w:fldCharType="separate"/>
      </w:r>
      <w:r>
        <w:t>59</w:t>
      </w:r>
      <w:r>
        <w:fldChar w:fldCharType="end"/>
      </w:r>
      <w:r>
        <w:rPr>
          <w:rFonts w:hint="eastAsia"/>
          <w:color w:val="auto"/>
          <w:lang w:val="en-US" w:eastAsia="zh-CN"/>
        </w:rPr>
        <w:fldChar w:fldCharType="end"/>
      </w:r>
    </w:p>
    <w:p w14:paraId="314DAC47">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_Toc5709 </w:instrText>
      </w:r>
      <w:r>
        <w:rPr>
          <w:rFonts w:hint="eastAsia"/>
          <w:lang w:val="en-US" w:eastAsia="zh-CN"/>
        </w:rPr>
        <w:fldChar w:fldCharType="separate"/>
      </w:r>
      <w:r>
        <w:rPr>
          <w:rFonts w:hint="eastAsia"/>
          <w:lang w:val="en-US" w:eastAsia="zh-CN"/>
        </w:rPr>
        <w:t>5.5 防排水单元</w:t>
      </w:r>
      <w:r>
        <w:tab/>
      </w:r>
      <w:r>
        <w:fldChar w:fldCharType="begin"/>
      </w:r>
      <w:r>
        <w:instrText xml:space="preserve"> PAGEREF _Toc5709 \h </w:instrText>
      </w:r>
      <w:r>
        <w:fldChar w:fldCharType="separate"/>
      </w:r>
      <w:r>
        <w:t>59</w:t>
      </w:r>
      <w:r>
        <w:fldChar w:fldCharType="end"/>
      </w:r>
      <w:r>
        <w:rPr>
          <w:rFonts w:hint="eastAsia"/>
          <w:color w:val="auto"/>
          <w:lang w:val="en-US" w:eastAsia="zh-CN"/>
        </w:rPr>
        <w:fldChar w:fldCharType="end"/>
      </w:r>
    </w:p>
    <w:p w14:paraId="65CEC7D9">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_Toc5450 </w:instrText>
      </w:r>
      <w:r>
        <w:rPr>
          <w:rFonts w:hint="eastAsia"/>
          <w:lang w:val="en-US" w:eastAsia="zh-CN"/>
        </w:rPr>
        <w:fldChar w:fldCharType="separate"/>
      </w:r>
      <w:r>
        <w:rPr>
          <w:rFonts w:hint="eastAsia"/>
          <w:lang w:val="en-US" w:eastAsia="zh-CN"/>
        </w:rPr>
        <w:t>5.5.1 防排水安全检查表</w:t>
      </w:r>
      <w:r>
        <w:tab/>
      </w:r>
      <w:r>
        <w:fldChar w:fldCharType="begin"/>
      </w:r>
      <w:r>
        <w:instrText xml:space="preserve"> PAGEREF _Toc5450 \h </w:instrText>
      </w:r>
      <w:r>
        <w:fldChar w:fldCharType="separate"/>
      </w:r>
      <w:r>
        <w:t>59</w:t>
      </w:r>
      <w:r>
        <w:fldChar w:fldCharType="end"/>
      </w:r>
      <w:r>
        <w:rPr>
          <w:rFonts w:hint="eastAsia"/>
          <w:color w:val="auto"/>
          <w:lang w:val="en-US" w:eastAsia="zh-CN"/>
        </w:rPr>
        <w:fldChar w:fldCharType="end"/>
      </w:r>
    </w:p>
    <w:p w14:paraId="2208F3B6">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_Toc17751 </w:instrText>
      </w:r>
      <w:r>
        <w:rPr>
          <w:rFonts w:hint="eastAsia"/>
          <w:lang w:val="en-US" w:eastAsia="zh-CN"/>
        </w:rPr>
        <w:fldChar w:fldCharType="separate"/>
      </w:r>
      <w:r>
        <w:rPr>
          <w:rFonts w:hint="eastAsia"/>
          <w:lang w:val="en-US" w:eastAsia="zh-CN"/>
        </w:rPr>
        <w:t>5.5.2 评价小结</w:t>
      </w:r>
      <w:r>
        <w:tab/>
      </w:r>
      <w:r>
        <w:fldChar w:fldCharType="begin"/>
      </w:r>
      <w:r>
        <w:instrText xml:space="preserve"> PAGEREF _Toc17751 \h </w:instrText>
      </w:r>
      <w:r>
        <w:fldChar w:fldCharType="separate"/>
      </w:r>
      <w:r>
        <w:t>60</w:t>
      </w:r>
      <w:r>
        <w:fldChar w:fldCharType="end"/>
      </w:r>
      <w:r>
        <w:rPr>
          <w:rFonts w:hint="eastAsia"/>
          <w:color w:val="auto"/>
          <w:lang w:val="en-US" w:eastAsia="zh-CN"/>
        </w:rPr>
        <w:fldChar w:fldCharType="end"/>
      </w:r>
    </w:p>
    <w:p w14:paraId="0C733C33">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_Toc23898 </w:instrText>
      </w:r>
      <w:r>
        <w:rPr>
          <w:rFonts w:hint="eastAsia"/>
          <w:lang w:val="en-US" w:eastAsia="zh-CN"/>
        </w:rPr>
        <w:fldChar w:fldCharType="separate"/>
      </w:r>
      <w:r>
        <w:rPr>
          <w:rFonts w:hint="eastAsia"/>
          <w:lang w:val="en-US" w:eastAsia="zh-CN"/>
        </w:rPr>
        <w:t>5.6 防灭火单元</w:t>
      </w:r>
      <w:r>
        <w:tab/>
      </w:r>
      <w:r>
        <w:fldChar w:fldCharType="begin"/>
      </w:r>
      <w:r>
        <w:instrText xml:space="preserve"> PAGEREF _Toc23898 \h </w:instrText>
      </w:r>
      <w:r>
        <w:fldChar w:fldCharType="separate"/>
      </w:r>
      <w:r>
        <w:t>60</w:t>
      </w:r>
      <w:r>
        <w:fldChar w:fldCharType="end"/>
      </w:r>
      <w:r>
        <w:rPr>
          <w:rFonts w:hint="eastAsia"/>
          <w:color w:val="auto"/>
          <w:lang w:val="en-US" w:eastAsia="zh-CN"/>
        </w:rPr>
        <w:fldChar w:fldCharType="end"/>
      </w:r>
    </w:p>
    <w:p w14:paraId="54E449E7">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_Toc20291 </w:instrText>
      </w:r>
      <w:r>
        <w:rPr>
          <w:rFonts w:hint="eastAsia"/>
          <w:lang w:val="en-US" w:eastAsia="zh-CN"/>
        </w:rPr>
        <w:fldChar w:fldCharType="separate"/>
      </w:r>
      <w:r>
        <w:rPr>
          <w:rFonts w:hint="eastAsia"/>
          <w:lang w:val="en-US" w:eastAsia="zh-CN"/>
        </w:rPr>
        <w:t>5.6.1 防灭火安全检查表</w:t>
      </w:r>
      <w:r>
        <w:tab/>
      </w:r>
      <w:r>
        <w:fldChar w:fldCharType="begin"/>
      </w:r>
      <w:r>
        <w:instrText xml:space="preserve"> PAGEREF _Toc20291 \h </w:instrText>
      </w:r>
      <w:r>
        <w:fldChar w:fldCharType="separate"/>
      </w:r>
      <w:r>
        <w:t>60</w:t>
      </w:r>
      <w:r>
        <w:fldChar w:fldCharType="end"/>
      </w:r>
      <w:r>
        <w:rPr>
          <w:rFonts w:hint="eastAsia"/>
          <w:color w:val="auto"/>
          <w:lang w:val="en-US" w:eastAsia="zh-CN"/>
        </w:rPr>
        <w:fldChar w:fldCharType="end"/>
      </w:r>
    </w:p>
    <w:p w14:paraId="2A3A737F">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_Toc29792 </w:instrText>
      </w:r>
      <w:r>
        <w:rPr>
          <w:rFonts w:hint="eastAsia"/>
          <w:lang w:val="en-US" w:eastAsia="zh-CN"/>
        </w:rPr>
        <w:fldChar w:fldCharType="separate"/>
      </w:r>
      <w:r>
        <w:rPr>
          <w:rFonts w:hint="eastAsia"/>
          <w:lang w:val="en-US" w:eastAsia="zh-CN"/>
        </w:rPr>
        <w:t>5.6.2 评价小结</w:t>
      </w:r>
      <w:r>
        <w:tab/>
      </w:r>
      <w:r>
        <w:fldChar w:fldCharType="begin"/>
      </w:r>
      <w:r>
        <w:instrText xml:space="preserve"> PAGEREF _Toc29792 \h </w:instrText>
      </w:r>
      <w:r>
        <w:fldChar w:fldCharType="separate"/>
      </w:r>
      <w:r>
        <w:t>61</w:t>
      </w:r>
      <w:r>
        <w:fldChar w:fldCharType="end"/>
      </w:r>
      <w:r>
        <w:rPr>
          <w:rFonts w:hint="eastAsia"/>
          <w:color w:val="auto"/>
          <w:lang w:val="en-US" w:eastAsia="zh-CN"/>
        </w:rPr>
        <w:fldChar w:fldCharType="end"/>
      </w:r>
    </w:p>
    <w:p w14:paraId="09AD0475">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_Toc23149 </w:instrText>
      </w:r>
      <w:r>
        <w:rPr>
          <w:rFonts w:hint="eastAsia"/>
          <w:lang w:val="en-US" w:eastAsia="zh-CN"/>
        </w:rPr>
        <w:fldChar w:fldCharType="separate"/>
      </w:r>
      <w:r>
        <w:rPr>
          <w:rFonts w:hint="eastAsia"/>
          <w:lang w:val="en-US" w:eastAsia="zh-CN"/>
        </w:rPr>
        <w:t>5.7 重大生产安全事故隐患判定</w:t>
      </w:r>
      <w:r>
        <w:tab/>
      </w:r>
      <w:r>
        <w:fldChar w:fldCharType="begin"/>
      </w:r>
      <w:r>
        <w:instrText xml:space="preserve"> PAGEREF _Toc23149 \h </w:instrText>
      </w:r>
      <w:r>
        <w:fldChar w:fldCharType="separate"/>
      </w:r>
      <w:r>
        <w:t>61</w:t>
      </w:r>
      <w:r>
        <w:fldChar w:fldCharType="end"/>
      </w:r>
      <w:r>
        <w:rPr>
          <w:rFonts w:hint="eastAsia"/>
          <w:color w:val="auto"/>
          <w:lang w:val="en-US" w:eastAsia="zh-CN"/>
        </w:rPr>
        <w:fldChar w:fldCharType="end"/>
      </w:r>
    </w:p>
    <w:p w14:paraId="0496BD7C">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_Toc5701 </w:instrText>
      </w:r>
      <w:r>
        <w:rPr>
          <w:rFonts w:hint="eastAsia"/>
          <w:lang w:val="en-US" w:eastAsia="zh-CN"/>
        </w:rPr>
        <w:fldChar w:fldCharType="separate"/>
      </w:r>
      <w:r>
        <w:rPr>
          <w:rFonts w:hint="eastAsia"/>
          <w:lang w:val="en-US" w:eastAsia="zh-CN"/>
        </w:rPr>
        <w:t>5.8 综合评价单元</w:t>
      </w:r>
      <w:r>
        <w:tab/>
      </w:r>
      <w:r>
        <w:fldChar w:fldCharType="begin"/>
      </w:r>
      <w:r>
        <w:instrText xml:space="preserve"> PAGEREF _Toc5701 \h </w:instrText>
      </w:r>
      <w:r>
        <w:fldChar w:fldCharType="separate"/>
      </w:r>
      <w:r>
        <w:t>63</w:t>
      </w:r>
      <w:r>
        <w:fldChar w:fldCharType="end"/>
      </w:r>
      <w:r>
        <w:rPr>
          <w:rFonts w:hint="eastAsia"/>
          <w:color w:val="auto"/>
          <w:lang w:val="en-US" w:eastAsia="zh-CN"/>
        </w:rPr>
        <w:fldChar w:fldCharType="end"/>
      </w:r>
    </w:p>
    <w:p w14:paraId="2B1302B5">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_Toc3633 </w:instrText>
      </w:r>
      <w:r>
        <w:rPr>
          <w:rFonts w:hint="eastAsia"/>
          <w:lang w:val="en-US" w:eastAsia="zh-CN"/>
        </w:rPr>
        <w:fldChar w:fldCharType="separate"/>
      </w:r>
      <w:r>
        <w:rPr>
          <w:rFonts w:hint="default"/>
          <w:lang w:val="en-US" w:eastAsia="zh-CN"/>
        </w:rPr>
        <w:t>5.8.1</w:t>
      </w:r>
      <w:r>
        <w:rPr>
          <w:rFonts w:hint="eastAsia"/>
          <w:lang w:val="en-US" w:eastAsia="zh-CN"/>
        </w:rPr>
        <w:t xml:space="preserve"> </w:t>
      </w:r>
      <w:r>
        <w:rPr>
          <w:rFonts w:hint="default"/>
          <w:lang w:val="en-US" w:eastAsia="zh-CN"/>
        </w:rPr>
        <w:t>安全检查表</w:t>
      </w:r>
      <w:r>
        <w:tab/>
      </w:r>
      <w:r>
        <w:fldChar w:fldCharType="begin"/>
      </w:r>
      <w:r>
        <w:instrText xml:space="preserve"> PAGEREF _Toc3633 \h </w:instrText>
      </w:r>
      <w:r>
        <w:fldChar w:fldCharType="separate"/>
      </w:r>
      <w:r>
        <w:t>63</w:t>
      </w:r>
      <w:r>
        <w:fldChar w:fldCharType="end"/>
      </w:r>
      <w:r>
        <w:rPr>
          <w:rFonts w:hint="eastAsia"/>
          <w:color w:val="auto"/>
          <w:lang w:val="en-US" w:eastAsia="zh-CN"/>
        </w:rPr>
        <w:fldChar w:fldCharType="end"/>
      </w:r>
    </w:p>
    <w:p w14:paraId="0C7AC79C">
      <w:pPr>
        <w:pStyle w:val="11"/>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_Toc961 </w:instrText>
      </w:r>
      <w:r>
        <w:rPr>
          <w:rFonts w:hint="eastAsia"/>
          <w:lang w:val="en-US" w:eastAsia="zh-CN"/>
        </w:rPr>
        <w:fldChar w:fldCharType="separate"/>
      </w:r>
      <w:r>
        <w:rPr>
          <w:rFonts w:hint="eastAsia"/>
          <w:lang w:val="en-US" w:eastAsia="zh-CN"/>
        </w:rPr>
        <w:t>5.8.2 评价结论</w:t>
      </w:r>
      <w:r>
        <w:tab/>
      </w:r>
      <w:r>
        <w:fldChar w:fldCharType="begin"/>
      </w:r>
      <w:r>
        <w:instrText xml:space="preserve"> PAGEREF _Toc961 \h </w:instrText>
      </w:r>
      <w:r>
        <w:fldChar w:fldCharType="separate"/>
      </w:r>
      <w:r>
        <w:t>64</w:t>
      </w:r>
      <w:r>
        <w:fldChar w:fldCharType="end"/>
      </w:r>
      <w:r>
        <w:rPr>
          <w:rFonts w:hint="eastAsia"/>
          <w:color w:val="auto"/>
          <w:lang w:val="en-US" w:eastAsia="zh-CN"/>
        </w:rPr>
        <w:fldChar w:fldCharType="end"/>
      </w:r>
    </w:p>
    <w:p w14:paraId="041F8CC9">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_Toc11271 </w:instrText>
      </w:r>
      <w:r>
        <w:rPr>
          <w:rFonts w:hint="eastAsia"/>
          <w:lang w:val="en-US" w:eastAsia="zh-CN"/>
        </w:rPr>
        <w:fldChar w:fldCharType="separate"/>
      </w:r>
      <w:r>
        <w:rPr>
          <w:rFonts w:hint="eastAsia"/>
          <w:lang w:val="en-US" w:eastAsia="zh-CN"/>
        </w:rPr>
        <w:t xml:space="preserve">5.9 </w:t>
      </w:r>
      <w:r>
        <w:rPr>
          <w:rFonts w:hint="default"/>
          <w:lang w:val="en-US" w:eastAsia="zh-CN"/>
        </w:rPr>
        <w:t>作业条件危险性分析</w:t>
      </w:r>
      <w:r>
        <w:tab/>
      </w:r>
      <w:r>
        <w:fldChar w:fldCharType="begin"/>
      </w:r>
      <w:r>
        <w:instrText xml:space="preserve"> PAGEREF _Toc11271 \h </w:instrText>
      </w:r>
      <w:r>
        <w:fldChar w:fldCharType="separate"/>
      </w:r>
      <w:r>
        <w:t>64</w:t>
      </w:r>
      <w:r>
        <w:fldChar w:fldCharType="end"/>
      </w:r>
      <w:r>
        <w:rPr>
          <w:rFonts w:hint="eastAsia"/>
          <w:color w:val="auto"/>
          <w:lang w:val="en-US" w:eastAsia="zh-CN"/>
        </w:rPr>
        <w:fldChar w:fldCharType="end"/>
      </w:r>
    </w:p>
    <w:p w14:paraId="25B34176">
      <w:pPr>
        <w:pStyle w:val="14"/>
        <w:keepNext w:val="0"/>
        <w:keepLines w:val="0"/>
        <w:pageBreakBefore w:val="0"/>
        <w:widowControl w:val="0"/>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_Toc30084 </w:instrText>
      </w:r>
      <w:r>
        <w:rPr>
          <w:rFonts w:hint="eastAsia"/>
          <w:lang w:val="en-US" w:eastAsia="zh-CN"/>
        </w:rPr>
        <w:fldChar w:fldCharType="separate"/>
      </w:r>
      <w:r>
        <w:rPr>
          <w:rFonts w:hint="default" w:ascii="Times New Roman" w:hAnsi="Times New Roman" w:cs="Times New Roman"/>
          <w:lang w:val="en-US" w:eastAsia="zh-CN"/>
        </w:rPr>
        <w:t>6. 安全对策措施及建议</w:t>
      </w:r>
      <w:r>
        <w:tab/>
      </w:r>
      <w:r>
        <w:fldChar w:fldCharType="begin"/>
      </w:r>
      <w:r>
        <w:instrText xml:space="preserve"> PAGEREF _Toc30084 \h </w:instrText>
      </w:r>
      <w:r>
        <w:fldChar w:fldCharType="separate"/>
      </w:r>
      <w:r>
        <w:t>66</w:t>
      </w:r>
      <w:r>
        <w:fldChar w:fldCharType="end"/>
      </w:r>
      <w:r>
        <w:rPr>
          <w:rFonts w:hint="eastAsia"/>
          <w:color w:val="auto"/>
          <w:lang w:val="en-US" w:eastAsia="zh-CN"/>
        </w:rPr>
        <w:fldChar w:fldCharType="end"/>
      </w:r>
    </w:p>
    <w:p w14:paraId="1CDF8FAC">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_Toc31376 </w:instrText>
      </w:r>
      <w:r>
        <w:rPr>
          <w:rFonts w:hint="eastAsia"/>
          <w:lang w:val="en-US" w:eastAsia="zh-CN"/>
        </w:rPr>
        <w:fldChar w:fldCharType="separate"/>
      </w:r>
      <w:r>
        <w:rPr>
          <w:rFonts w:hint="default"/>
          <w:lang w:val="en-US" w:eastAsia="zh-CN"/>
        </w:rPr>
        <w:t>6.1 安全管理对策措施建议</w:t>
      </w:r>
      <w:r>
        <w:tab/>
      </w:r>
      <w:r>
        <w:fldChar w:fldCharType="begin"/>
      </w:r>
      <w:r>
        <w:instrText xml:space="preserve"> PAGEREF _Toc31376 \h </w:instrText>
      </w:r>
      <w:r>
        <w:fldChar w:fldCharType="separate"/>
      </w:r>
      <w:r>
        <w:t>66</w:t>
      </w:r>
      <w:r>
        <w:fldChar w:fldCharType="end"/>
      </w:r>
      <w:r>
        <w:rPr>
          <w:rFonts w:hint="eastAsia"/>
          <w:color w:val="auto"/>
          <w:lang w:val="en-US" w:eastAsia="zh-CN"/>
        </w:rPr>
        <w:fldChar w:fldCharType="end"/>
      </w:r>
    </w:p>
    <w:p w14:paraId="0ABCA7BA">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_Toc3479 </w:instrText>
      </w:r>
      <w:r>
        <w:rPr>
          <w:rFonts w:hint="eastAsia"/>
          <w:lang w:val="en-US" w:eastAsia="zh-CN"/>
        </w:rPr>
        <w:fldChar w:fldCharType="separate"/>
      </w:r>
      <w:r>
        <w:rPr>
          <w:rFonts w:hint="default"/>
          <w:lang w:val="en-US" w:eastAsia="zh-CN"/>
        </w:rPr>
        <w:t>6.2 露天开采安全对策措施建议</w:t>
      </w:r>
      <w:r>
        <w:tab/>
      </w:r>
      <w:r>
        <w:fldChar w:fldCharType="begin"/>
      </w:r>
      <w:r>
        <w:instrText xml:space="preserve"> PAGEREF _Toc3479 \h </w:instrText>
      </w:r>
      <w:r>
        <w:fldChar w:fldCharType="separate"/>
      </w:r>
      <w:r>
        <w:t>66</w:t>
      </w:r>
      <w:r>
        <w:fldChar w:fldCharType="end"/>
      </w:r>
      <w:r>
        <w:rPr>
          <w:rFonts w:hint="eastAsia"/>
          <w:color w:val="auto"/>
          <w:lang w:val="en-US" w:eastAsia="zh-CN"/>
        </w:rPr>
        <w:fldChar w:fldCharType="end"/>
      </w:r>
    </w:p>
    <w:p w14:paraId="5095CB97">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_Toc23026 </w:instrText>
      </w:r>
      <w:r>
        <w:rPr>
          <w:rFonts w:hint="eastAsia"/>
          <w:lang w:val="en-US" w:eastAsia="zh-CN"/>
        </w:rPr>
        <w:fldChar w:fldCharType="separate"/>
      </w:r>
      <w:r>
        <w:rPr>
          <w:rFonts w:hint="eastAsia"/>
          <w:lang w:val="en-US" w:eastAsia="zh-CN"/>
        </w:rPr>
        <w:t>6.3 开拓运输单元对策措施</w:t>
      </w:r>
      <w:r>
        <w:tab/>
      </w:r>
      <w:r>
        <w:fldChar w:fldCharType="begin"/>
      </w:r>
      <w:r>
        <w:instrText xml:space="preserve"> PAGEREF _Toc23026 \h </w:instrText>
      </w:r>
      <w:r>
        <w:fldChar w:fldCharType="separate"/>
      </w:r>
      <w:r>
        <w:t>67</w:t>
      </w:r>
      <w:r>
        <w:fldChar w:fldCharType="end"/>
      </w:r>
      <w:r>
        <w:rPr>
          <w:rFonts w:hint="eastAsia"/>
          <w:color w:val="auto"/>
          <w:lang w:val="en-US" w:eastAsia="zh-CN"/>
        </w:rPr>
        <w:fldChar w:fldCharType="end"/>
      </w:r>
    </w:p>
    <w:p w14:paraId="7CB64DCB">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_Toc24764 </w:instrText>
      </w:r>
      <w:r>
        <w:rPr>
          <w:rFonts w:hint="eastAsia"/>
          <w:lang w:val="en-US" w:eastAsia="zh-CN"/>
        </w:rPr>
        <w:fldChar w:fldCharType="separate"/>
      </w:r>
      <w:r>
        <w:rPr>
          <w:rFonts w:hint="eastAsia"/>
          <w:lang w:val="en-US" w:eastAsia="zh-CN"/>
        </w:rPr>
        <w:t>6.4 爆破作业安全对策措施建议</w:t>
      </w:r>
      <w:r>
        <w:tab/>
      </w:r>
      <w:r>
        <w:fldChar w:fldCharType="begin"/>
      </w:r>
      <w:r>
        <w:instrText xml:space="preserve"> PAGEREF _Toc24764 \h </w:instrText>
      </w:r>
      <w:r>
        <w:fldChar w:fldCharType="separate"/>
      </w:r>
      <w:r>
        <w:t>68</w:t>
      </w:r>
      <w:r>
        <w:fldChar w:fldCharType="end"/>
      </w:r>
      <w:r>
        <w:rPr>
          <w:rFonts w:hint="eastAsia"/>
          <w:color w:val="auto"/>
          <w:lang w:val="en-US" w:eastAsia="zh-CN"/>
        </w:rPr>
        <w:fldChar w:fldCharType="end"/>
      </w:r>
    </w:p>
    <w:p w14:paraId="6922E8A2">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_Toc21564 </w:instrText>
      </w:r>
      <w:r>
        <w:rPr>
          <w:rFonts w:hint="eastAsia"/>
          <w:lang w:val="en-US" w:eastAsia="zh-CN"/>
        </w:rPr>
        <w:fldChar w:fldCharType="separate"/>
      </w:r>
      <w:r>
        <w:rPr>
          <w:rFonts w:hint="eastAsia"/>
          <w:lang w:val="en-US" w:eastAsia="zh-CN"/>
        </w:rPr>
        <w:t>6.5 供配电设施安全对策措施建议</w:t>
      </w:r>
      <w:r>
        <w:tab/>
      </w:r>
      <w:r>
        <w:fldChar w:fldCharType="begin"/>
      </w:r>
      <w:r>
        <w:instrText xml:space="preserve"> PAGEREF _Toc21564 \h </w:instrText>
      </w:r>
      <w:r>
        <w:fldChar w:fldCharType="separate"/>
      </w:r>
      <w:r>
        <w:t>69</w:t>
      </w:r>
      <w:r>
        <w:fldChar w:fldCharType="end"/>
      </w:r>
      <w:r>
        <w:rPr>
          <w:rFonts w:hint="eastAsia"/>
          <w:color w:val="auto"/>
          <w:lang w:val="en-US" w:eastAsia="zh-CN"/>
        </w:rPr>
        <w:fldChar w:fldCharType="end"/>
      </w:r>
    </w:p>
    <w:p w14:paraId="21F56484">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_Toc16343 </w:instrText>
      </w:r>
      <w:r>
        <w:rPr>
          <w:rFonts w:hint="eastAsia"/>
          <w:lang w:val="en-US" w:eastAsia="zh-CN"/>
        </w:rPr>
        <w:fldChar w:fldCharType="separate"/>
      </w:r>
      <w:r>
        <w:rPr>
          <w:rFonts w:hint="eastAsia"/>
          <w:lang w:val="en-US" w:eastAsia="zh-CN"/>
        </w:rPr>
        <w:t>6.6 防排水与防灭火安全对策措施建议</w:t>
      </w:r>
      <w:r>
        <w:tab/>
      </w:r>
      <w:r>
        <w:fldChar w:fldCharType="begin"/>
      </w:r>
      <w:r>
        <w:instrText xml:space="preserve"> PAGEREF _Toc16343 \h </w:instrText>
      </w:r>
      <w:r>
        <w:fldChar w:fldCharType="separate"/>
      </w:r>
      <w:r>
        <w:t>69</w:t>
      </w:r>
      <w:r>
        <w:fldChar w:fldCharType="end"/>
      </w:r>
      <w:r>
        <w:rPr>
          <w:rFonts w:hint="eastAsia"/>
          <w:color w:val="auto"/>
          <w:lang w:val="en-US" w:eastAsia="zh-CN"/>
        </w:rPr>
        <w:fldChar w:fldCharType="end"/>
      </w:r>
    </w:p>
    <w:p w14:paraId="3C547917">
      <w:pPr>
        <w:pStyle w:val="14"/>
        <w:keepNext w:val="0"/>
        <w:keepLines w:val="0"/>
        <w:pageBreakBefore w:val="0"/>
        <w:widowControl w:val="0"/>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_Toc20894 </w:instrText>
      </w:r>
      <w:r>
        <w:rPr>
          <w:rFonts w:hint="eastAsia"/>
          <w:lang w:val="en-US" w:eastAsia="zh-CN"/>
        </w:rPr>
        <w:fldChar w:fldCharType="separate"/>
      </w:r>
      <w:r>
        <w:rPr>
          <w:rFonts w:hint="default" w:ascii="Times New Roman" w:hAnsi="Times New Roman" w:cs="Times New Roman"/>
          <w:lang w:val="en-US" w:eastAsia="zh-CN"/>
        </w:rPr>
        <w:t>7. 评价结论</w:t>
      </w:r>
      <w:r>
        <w:tab/>
      </w:r>
      <w:r>
        <w:fldChar w:fldCharType="begin"/>
      </w:r>
      <w:r>
        <w:instrText xml:space="preserve"> PAGEREF _Toc20894 \h </w:instrText>
      </w:r>
      <w:r>
        <w:fldChar w:fldCharType="separate"/>
      </w:r>
      <w:r>
        <w:t>71</w:t>
      </w:r>
      <w:r>
        <w:fldChar w:fldCharType="end"/>
      </w:r>
      <w:r>
        <w:rPr>
          <w:rFonts w:hint="eastAsia"/>
          <w:color w:val="auto"/>
          <w:lang w:val="en-US" w:eastAsia="zh-CN"/>
        </w:rPr>
        <w:fldChar w:fldCharType="end"/>
      </w:r>
    </w:p>
    <w:p w14:paraId="3E46A773">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_Toc27054 </w:instrText>
      </w:r>
      <w:r>
        <w:rPr>
          <w:rFonts w:hint="eastAsia"/>
          <w:lang w:val="en-US" w:eastAsia="zh-CN"/>
        </w:rPr>
        <w:fldChar w:fldCharType="separate"/>
      </w:r>
      <w:r>
        <w:rPr>
          <w:rFonts w:hint="default"/>
          <w:lang w:val="en-US" w:eastAsia="zh-CN"/>
        </w:rPr>
        <w:t>7.1</w:t>
      </w:r>
      <w:r>
        <w:rPr>
          <w:rFonts w:hint="eastAsia"/>
          <w:lang w:val="en-US" w:eastAsia="zh-CN"/>
        </w:rPr>
        <w:t xml:space="preserve"> </w:t>
      </w:r>
      <w:r>
        <w:rPr>
          <w:rFonts w:hint="default"/>
          <w:lang w:val="en-US" w:eastAsia="zh-CN"/>
        </w:rPr>
        <w:t>矿山存在的主要危险、有害因素</w:t>
      </w:r>
      <w:r>
        <w:tab/>
      </w:r>
      <w:r>
        <w:fldChar w:fldCharType="begin"/>
      </w:r>
      <w:r>
        <w:instrText xml:space="preserve"> PAGEREF _Toc27054 \h </w:instrText>
      </w:r>
      <w:r>
        <w:fldChar w:fldCharType="separate"/>
      </w:r>
      <w:r>
        <w:t>71</w:t>
      </w:r>
      <w:r>
        <w:fldChar w:fldCharType="end"/>
      </w:r>
      <w:r>
        <w:rPr>
          <w:rFonts w:hint="eastAsia"/>
          <w:color w:val="auto"/>
          <w:lang w:val="en-US" w:eastAsia="zh-CN"/>
        </w:rPr>
        <w:fldChar w:fldCharType="end"/>
      </w:r>
    </w:p>
    <w:p w14:paraId="7DE6DE87">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_Toc6080 </w:instrText>
      </w:r>
      <w:r>
        <w:rPr>
          <w:rFonts w:hint="eastAsia"/>
          <w:lang w:val="en-US" w:eastAsia="zh-CN"/>
        </w:rPr>
        <w:fldChar w:fldCharType="separate"/>
      </w:r>
      <w:r>
        <w:rPr>
          <w:rFonts w:hint="eastAsia"/>
          <w:lang w:val="en-US" w:eastAsia="zh-CN"/>
        </w:rPr>
        <w:t>7.2 各单元评价结果</w:t>
      </w:r>
      <w:r>
        <w:tab/>
      </w:r>
      <w:r>
        <w:fldChar w:fldCharType="begin"/>
      </w:r>
      <w:r>
        <w:instrText xml:space="preserve"> PAGEREF _Toc6080 \h </w:instrText>
      </w:r>
      <w:r>
        <w:fldChar w:fldCharType="separate"/>
      </w:r>
      <w:r>
        <w:t>71</w:t>
      </w:r>
      <w:r>
        <w:fldChar w:fldCharType="end"/>
      </w:r>
      <w:r>
        <w:rPr>
          <w:rFonts w:hint="eastAsia"/>
          <w:color w:val="auto"/>
          <w:lang w:val="en-US" w:eastAsia="zh-CN"/>
        </w:rPr>
        <w:fldChar w:fldCharType="end"/>
      </w:r>
    </w:p>
    <w:p w14:paraId="0C9BC047">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_Toc20343 </w:instrText>
      </w:r>
      <w:r>
        <w:rPr>
          <w:rFonts w:hint="eastAsia"/>
          <w:lang w:val="en-US" w:eastAsia="zh-CN"/>
        </w:rPr>
        <w:fldChar w:fldCharType="separate"/>
      </w:r>
      <w:r>
        <w:rPr>
          <w:rFonts w:hint="default"/>
          <w:lang w:val="en-US" w:eastAsia="zh-CN"/>
        </w:rPr>
        <w:t>7.</w:t>
      </w:r>
      <w:r>
        <w:rPr>
          <w:rFonts w:hint="eastAsia"/>
          <w:lang w:val="en-US" w:eastAsia="zh-CN"/>
        </w:rPr>
        <w:t>3</w:t>
      </w:r>
      <w:r>
        <w:rPr>
          <w:rFonts w:hint="default"/>
          <w:lang w:val="en-US" w:eastAsia="zh-CN"/>
        </w:rPr>
        <w:t xml:space="preserve"> 评价结论</w:t>
      </w:r>
      <w:r>
        <w:tab/>
      </w:r>
      <w:r>
        <w:fldChar w:fldCharType="begin"/>
      </w:r>
      <w:r>
        <w:instrText xml:space="preserve"> PAGEREF _Toc20343 \h </w:instrText>
      </w:r>
      <w:r>
        <w:fldChar w:fldCharType="separate"/>
      </w:r>
      <w:r>
        <w:t>72</w:t>
      </w:r>
      <w:r>
        <w:fldChar w:fldCharType="end"/>
      </w:r>
      <w:r>
        <w:rPr>
          <w:rFonts w:hint="eastAsia"/>
          <w:color w:val="auto"/>
          <w:lang w:val="en-US" w:eastAsia="zh-CN"/>
        </w:rPr>
        <w:fldChar w:fldCharType="end"/>
      </w:r>
    </w:p>
    <w:p w14:paraId="22013FE2">
      <w:pPr>
        <w:pStyle w:val="14"/>
        <w:keepNext w:val="0"/>
        <w:keepLines w:val="0"/>
        <w:pageBreakBefore w:val="0"/>
        <w:widowControl w:val="0"/>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_Toc13439 </w:instrText>
      </w:r>
      <w:r>
        <w:rPr>
          <w:rFonts w:hint="eastAsia"/>
          <w:lang w:val="en-US" w:eastAsia="zh-CN"/>
        </w:rPr>
        <w:fldChar w:fldCharType="separate"/>
      </w:r>
      <w:r>
        <w:rPr>
          <w:rFonts w:hint="default" w:ascii="Times New Roman" w:hAnsi="Times New Roman" w:cs="Times New Roman"/>
          <w:lang w:val="en-US" w:eastAsia="zh-CN"/>
        </w:rPr>
        <w:t xml:space="preserve">8. </w:t>
      </w:r>
      <w:r>
        <w:rPr>
          <w:rFonts w:hint="eastAsia" w:ascii="Times New Roman" w:hAnsi="Times New Roman" w:cs="Times New Roman"/>
          <w:lang w:val="en-US" w:eastAsia="zh-CN"/>
        </w:rPr>
        <w:t>附图附件</w:t>
      </w:r>
      <w:r>
        <w:tab/>
      </w:r>
      <w:r>
        <w:fldChar w:fldCharType="begin"/>
      </w:r>
      <w:r>
        <w:instrText xml:space="preserve"> PAGEREF _Toc13439 \h </w:instrText>
      </w:r>
      <w:r>
        <w:fldChar w:fldCharType="separate"/>
      </w:r>
      <w:r>
        <w:t>73</w:t>
      </w:r>
      <w:r>
        <w:fldChar w:fldCharType="end"/>
      </w:r>
      <w:r>
        <w:rPr>
          <w:rFonts w:hint="eastAsia"/>
          <w:color w:val="auto"/>
          <w:lang w:val="en-US" w:eastAsia="zh-CN"/>
        </w:rPr>
        <w:fldChar w:fldCharType="end"/>
      </w:r>
    </w:p>
    <w:p w14:paraId="193E6692">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_Toc11023 </w:instrText>
      </w:r>
      <w:r>
        <w:rPr>
          <w:rFonts w:hint="eastAsia"/>
          <w:lang w:val="en-US" w:eastAsia="zh-CN"/>
        </w:rPr>
        <w:fldChar w:fldCharType="separate"/>
      </w:r>
      <w:r>
        <w:rPr>
          <w:rFonts w:hint="eastAsia"/>
          <w:lang w:val="en-US" w:eastAsia="zh-CN"/>
        </w:rPr>
        <w:t>8.1 附图</w:t>
      </w:r>
      <w:r>
        <w:tab/>
      </w:r>
      <w:r>
        <w:fldChar w:fldCharType="begin"/>
      </w:r>
      <w:r>
        <w:instrText xml:space="preserve"> PAGEREF _Toc11023 \h </w:instrText>
      </w:r>
      <w:r>
        <w:fldChar w:fldCharType="separate"/>
      </w:r>
      <w:r>
        <w:t>73</w:t>
      </w:r>
      <w:r>
        <w:fldChar w:fldCharType="end"/>
      </w:r>
      <w:r>
        <w:rPr>
          <w:rFonts w:hint="eastAsia"/>
          <w:color w:val="auto"/>
          <w:lang w:val="en-US" w:eastAsia="zh-CN"/>
        </w:rPr>
        <w:fldChar w:fldCharType="end"/>
      </w:r>
    </w:p>
    <w:p w14:paraId="362550BE">
      <w:pPr>
        <w:pStyle w:val="15"/>
        <w:keepNext w:val="0"/>
        <w:keepLines w:val="0"/>
        <w:pageBreakBefore w:val="0"/>
        <w:widowControl w:val="0"/>
        <w:tabs>
          <w:tab w:val="right" w:leader="dot" w:pos="9072"/>
        </w:tabs>
        <w:kinsoku/>
        <w:wordWrap/>
        <w:overflowPunct/>
        <w:topLinePunct w:val="0"/>
        <w:autoSpaceDE/>
        <w:autoSpaceDN/>
        <w:bidi w:val="0"/>
        <w:adjustRightInd/>
        <w:snapToGrid/>
        <w:spacing w:line="288" w:lineRule="auto"/>
        <w:textAlignment w:val="auto"/>
      </w:pPr>
      <w:r>
        <w:rPr>
          <w:rFonts w:hint="eastAsia"/>
          <w:color w:val="auto"/>
          <w:lang w:val="en-US" w:eastAsia="zh-CN"/>
        </w:rPr>
        <w:fldChar w:fldCharType="begin"/>
      </w:r>
      <w:r>
        <w:rPr>
          <w:rFonts w:hint="eastAsia"/>
          <w:lang w:val="en-US" w:eastAsia="zh-CN"/>
        </w:rPr>
        <w:instrText xml:space="preserve"> HYPERLINK \l _Toc14292 </w:instrText>
      </w:r>
      <w:r>
        <w:rPr>
          <w:rFonts w:hint="eastAsia"/>
          <w:lang w:val="en-US" w:eastAsia="zh-CN"/>
        </w:rPr>
        <w:fldChar w:fldCharType="separate"/>
      </w:r>
      <w:r>
        <w:rPr>
          <w:rFonts w:hint="eastAsia"/>
          <w:lang w:val="en-US" w:eastAsia="zh-CN"/>
        </w:rPr>
        <w:t>8.2 附件</w:t>
      </w:r>
      <w:r>
        <w:tab/>
      </w:r>
      <w:r>
        <w:fldChar w:fldCharType="begin"/>
      </w:r>
      <w:r>
        <w:instrText xml:space="preserve"> PAGEREF _Toc14292 \h </w:instrText>
      </w:r>
      <w:r>
        <w:fldChar w:fldCharType="separate"/>
      </w:r>
      <w:r>
        <w:t>73</w:t>
      </w:r>
      <w:r>
        <w:fldChar w:fldCharType="end"/>
      </w:r>
      <w:r>
        <w:rPr>
          <w:rFonts w:hint="eastAsia"/>
          <w:color w:val="auto"/>
          <w:lang w:val="en-US" w:eastAsia="zh-CN"/>
        </w:rPr>
        <w:fldChar w:fldCharType="end"/>
      </w:r>
    </w:p>
    <w:p w14:paraId="023AB532">
      <w:pPr>
        <w:bidi w:val="0"/>
        <w:rPr>
          <w:rStyle w:val="43"/>
          <w:rFonts w:hint="eastAsia"/>
          <w:b/>
          <w:color w:val="auto"/>
          <w:lang w:val="en-US" w:eastAsia="zh-CN"/>
        </w:rPr>
      </w:pPr>
      <w:r>
        <w:rPr>
          <w:rFonts w:hint="eastAsia"/>
          <w:color w:val="auto"/>
          <w:lang w:val="en-US" w:eastAsia="zh-CN"/>
        </w:rPr>
        <w:fldChar w:fldCharType="end"/>
      </w:r>
    </w:p>
    <w:p w14:paraId="647FC42F">
      <w:pPr>
        <w:keepNext w:val="0"/>
        <w:keepLines w:val="0"/>
        <w:pageBreakBefore w:val="0"/>
        <w:kinsoku/>
        <w:wordWrap/>
        <w:overflowPunct/>
        <w:topLinePunct w:val="0"/>
        <w:autoSpaceDE/>
        <w:autoSpaceDN/>
        <w:bidi w:val="0"/>
        <w:adjustRightInd/>
        <w:snapToGrid/>
        <w:spacing w:line="300" w:lineRule="auto"/>
        <w:ind w:firstLine="0" w:firstLineChars="0"/>
        <w:textAlignment w:val="auto"/>
        <w:rPr>
          <w:color w:val="auto"/>
        </w:rPr>
      </w:pPr>
      <w:r>
        <w:rPr>
          <w:color w:val="auto"/>
        </w:rPr>
        <w:br w:type="page"/>
      </w:r>
    </w:p>
    <w:p w14:paraId="5A58A2C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b/>
          <w:bCs/>
          <w:color w:val="auto"/>
          <w:sz w:val="32"/>
          <w:szCs w:val="32"/>
          <w:lang w:eastAsia="zh-CN"/>
        </w:rPr>
        <w:sectPr>
          <w:headerReference r:id="rId5" w:type="default"/>
          <w:footerReference r:id="rId6" w:type="default"/>
          <w:pgSz w:w="11906" w:h="16839"/>
          <w:pgMar w:top="1417" w:right="1417" w:bottom="1417" w:left="1417" w:header="850" w:footer="992" w:gutter="0"/>
          <w:pgNumType w:fmt="upperRoman" w:start="1"/>
          <w:cols w:space="425" w:num="1"/>
          <w:rtlGutter w:val="0"/>
          <w:docGrid w:linePitch="312" w:charSpace="0"/>
        </w:sectPr>
      </w:pPr>
    </w:p>
    <w:p w14:paraId="5BDABCB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b/>
          <w:bCs/>
          <w:color w:val="auto"/>
          <w:sz w:val="32"/>
          <w:szCs w:val="32"/>
          <w:lang w:eastAsia="zh-CN"/>
        </w:rPr>
      </w:pPr>
      <w:r>
        <w:rPr>
          <w:rFonts w:hint="eastAsia" w:ascii="宋体" w:hAnsi="宋体"/>
          <w:b/>
          <w:bCs/>
          <w:color w:val="auto"/>
          <w:sz w:val="32"/>
          <w:szCs w:val="32"/>
          <w:lang w:eastAsia="zh-CN"/>
        </w:rPr>
        <w:t>鄱阳县金义矿产有限公司</w:t>
      </w:r>
    </w:p>
    <w:p w14:paraId="5C85D01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b/>
          <w:bCs/>
          <w:color w:val="auto"/>
          <w:sz w:val="32"/>
          <w:szCs w:val="32"/>
          <w:lang w:eastAsia="zh-CN"/>
        </w:rPr>
      </w:pPr>
      <w:r>
        <w:rPr>
          <w:rFonts w:hint="eastAsia" w:ascii="宋体" w:hAnsi="宋体"/>
          <w:b/>
          <w:bCs/>
          <w:color w:val="auto"/>
          <w:sz w:val="32"/>
          <w:szCs w:val="32"/>
          <w:lang w:eastAsia="zh-CN"/>
        </w:rPr>
        <w:t>鄱阳县响水滩乡禾互山建筑用石料矿</w:t>
      </w:r>
    </w:p>
    <w:p w14:paraId="0924687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b/>
          <w:bCs/>
          <w:color w:val="auto"/>
          <w:sz w:val="32"/>
          <w:szCs w:val="32"/>
        </w:rPr>
      </w:pPr>
      <w:r>
        <w:rPr>
          <w:rFonts w:hint="eastAsia" w:ascii="宋体" w:hAnsi="宋体"/>
          <w:b/>
          <w:bCs/>
          <w:color w:val="auto"/>
          <w:sz w:val="32"/>
          <w:szCs w:val="32"/>
        </w:rPr>
        <w:t>安全现状评价报告</w:t>
      </w:r>
    </w:p>
    <w:p w14:paraId="456666A9">
      <w:pPr>
        <w:pStyle w:val="2"/>
        <w:numPr>
          <w:ilvl w:val="0"/>
          <w:numId w:val="1"/>
        </w:numPr>
        <w:bidi w:val="0"/>
        <w:ind w:left="0" w:leftChars="0" w:firstLine="0" w:firstLineChars="0"/>
        <w:rPr>
          <w:rFonts w:hint="eastAsia"/>
          <w:color w:val="auto"/>
        </w:rPr>
      </w:pPr>
      <w:bookmarkStart w:id="7" w:name="_Toc22"/>
      <w:bookmarkStart w:id="8" w:name="_Toc17873"/>
      <w:bookmarkStart w:id="9" w:name="_Toc9737"/>
      <w:bookmarkStart w:id="10" w:name="_Toc2754"/>
      <w:bookmarkStart w:id="11" w:name="_Toc23817"/>
      <w:bookmarkStart w:id="12" w:name="_Toc28683"/>
      <w:bookmarkStart w:id="13" w:name="_Toc30359"/>
      <w:bookmarkStart w:id="14" w:name="_Toc3451"/>
      <w:bookmarkStart w:id="15" w:name="_Toc18786"/>
      <w:bookmarkStart w:id="16" w:name="_Toc18615"/>
      <w:bookmarkStart w:id="17" w:name="_Toc57620327"/>
      <w:bookmarkStart w:id="18" w:name="_Toc4742"/>
      <w:r>
        <w:rPr>
          <w:rFonts w:hint="eastAsia"/>
          <w:color w:val="auto"/>
          <w:lang w:val="en-US" w:eastAsia="zh-CN"/>
        </w:rPr>
        <w:t>评价</w:t>
      </w:r>
      <w:r>
        <w:rPr>
          <w:rFonts w:hint="eastAsia"/>
          <w:color w:val="auto"/>
        </w:rPr>
        <w:t>概述</w:t>
      </w:r>
      <w:bookmarkEnd w:id="7"/>
      <w:bookmarkEnd w:id="8"/>
      <w:bookmarkEnd w:id="9"/>
      <w:bookmarkEnd w:id="10"/>
      <w:bookmarkEnd w:id="11"/>
      <w:bookmarkEnd w:id="12"/>
      <w:bookmarkEnd w:id="13"/>
      <w:bookmarkEnd w:id="14"/>
      <w:bookmarkEnd w:id="15"/>
      <w:bookmarkEnd w:id="16"/>
      <w:bookmarkEnd w:id="17"/>
      <w:bookmarkEnd w:id="18"/>
    </w:p>
    <w:p w14:paraId="2A02EB2B">
      <w:pPr>
        <w:pStyle w:val="3"/>
        <w:bidi w:val="0"/>
        <w:rPr>
          <w:rFonts w:hint="eastAsia"/>
          <w:color w:val="auto"/>
        </w:rPr>
      </w:pPr>
      <w:bookmarkStart w:id="19" w:name="_Toc23599"/>
      <w:bookmarkStart w:id="20" w:name="_Toc21198"/>
      <w:bookmarkStart w:id="21" w:name="_Toc5933"/>
      <w:bookmarkStart w:id="22" w:name="_Toc21858"/>
      <w:bookmarkStart w:id="23" w:name="_Toc23104"/>
      <w:bookmarkStart w:id="24" w:name="_Toc23352"/>
      <w:bookmarkStart w:id="25" w:name="_Toc26891"/>
      <w:bookmarkStart w:id="26" w:name="_Toc26811"/>
      <w:bookmarkStart w:id="27" w:name="_Toc27850"/>
      <w:bookmarkStart w:id="28" w:name="_Toc3803"/>
      <w:r>
        <w:rPr>
          <w:rFonts w:hint="eastAsia"/>
          <w:color w:val="auto"/>
        </w:rPr>
        <w:t>1.1</w:t>
      </w:r>
      <w:r>
        <w:rPr>
          <w:rFonts w:hint="eastAsia"/>
          <w:color w:val="auto"/>
          <w:lang w:val="en-US" w:eastAsia="zh-CN"/>
        </w:rPr>
        <w:t xml:space="preserve"> </w:t>
      </w:r>
      <w:bookmarkEnd w:id="19"/>
      <w:bookmarkEnd w:id="20"/>
      <w:bookmarkEnd w:id="21"/>
      <w:bookmarkEnd w:id="22"/>
      <w:r>
        <w:rPr>
          <w:rFonts w:hint="eastAsia"/>
          <w:color w:val="auto"/>
        </w:rPr>
        <w:t>评价对象和范围</w:t>
      </w:r>
      <w:bookmarkEnd w:id="23"/>
      <w:bookmarkEnd w:id="24"/>
      <w:bookmarkEnd w:id="25"/>
      <w:bookmarkEnd w:id="26"/>
      <w:bookmarkEnd w:id="27"/>
      <w:bookmarkEnd w:id="28"/>
    </w:p>
    <w:p w14:paraId="13CC5B72">
      <w:pPr>
        <w:pStyle w:val="4"/>
        <w:bidi w:val="0"/>
        <w:rPr>
          <w:rFonts w:hint="eastAsia"/>
          <w:color w:val="auto"/>
        </w:rPr>
      </w:pPr>
      <w:bookmarkStart w:id="29" w:name="_Toc31576"/>
      <w:bookmarkStart w:id="30" w:name="_Toc9539"/>
      <w:bookmarkStart w:id="31" w:name="_Toc3150"/>
      <w:bookmarkStart w:id="32" w:name="_Toc20054"/>
      <w:bookmarkStart w:id="33" w:name="_Toc8594"/>
      <w:bookmarkStart w:id="34" w:name="_Toc23256"/>
      <w:bookmarkStart w:id="35" w:name="_Toc20968"/>
      <w:bookmarkStart w:id="36" w:name="_Toc11469"/>
      <w:bookmarkStart w:id="37" w:name="_Toc22933"/>
      <w:bookmarkStart w:id="38" w:name="_Toc17134"/>
      <w:r>
        <w:rPr>
          <w:rFonts w:hint="eastAsia"/>
          <w:color w:val="auto"/>
        </w:rPr>
        <w:t>1.1.1</w:t>
      </w:r>
      <w:r>
        <w:rPr>
          <w:rFonts w:hint="eastAsia"/>
          <w:color w:val="auto"/>
          <w:lang w:val="en-US" w:eastAsia="zh-CN"/>
        </w:rPr>
        <w:t xml:space="preserve"> </w:t>
      </w:r>
      <w:bookmarkEnd w:id="29"/>
      <w:bookmarkEnd w:id="30"/>
      <w:bookmarkEnd w:id="31"/>
      <w:bookmarkEnd w:id="32"/>
      <w:r>
        <w:rPr>
          <w:rFonts w:hint="eastAsia"/>
          <w:color w:val="auto"/>
        </w:rPr>
        <w:t>评价对象</w:t>
      </w:r>
      <w:bookmarkEnd w:id="33"/>
      <w:bookmarkEnd w:id="34"/>
      <w:bookmarkEnd w:id="35"/>
      <w:bookmarkEnd w:id="36"/>
      <w:bookmarkEnd w:id="37"/>
      <w:bookmarkEnd w:id="38"/>
    </w:p>
    <w:p w14:paraId="3168DA61">
      <w:pPr>
        <w:bidi w:val="0"/>
        <w:rPr>
          <w:rFonts w:hint="default"/>
          <w:color w:val="auto"/>
          <w:lang w:val="en-US" w:eastAsia="zh-CN"/>
        </w:rPr>
      </w:pPr>
      <w:r>
        <w:rPr>
          <w:rFonts w:hint="eastAsia"/>
          <w:color w:val="auto"/>
          <w:lang w:val="en-US" w:eastAsia="zh-CN"/>
        </w:rPr>
        <w:t>鄱阳县金义矿产有限公司鄱阳县响水滩乡禾互山建筑用石料矿</w:t>
      </w:r>
      <w:r>
        <w:rPr>
          <w:rFonts w:hint="default"/>
          <w:color w:val="auto"/>
          <w:lang w:val="en-US" w:eastAsia="zh-CN"/>
        </w:rPr>
        <w:t>。</w:t>
      </w:r>
    </w:p>
    <w:p w14:paraId="2F39DC1A">
      <w:pPr>
        <w:pStyle w:val="4"/>
        <w:bidi w:val="0"/>
        <w:rPr>
          <w:rFonts w:hint="default"/>
          <w:color w:val="auto"/>
          <w:lang w:val="en-US" w:eastAsia="zh-CN"/>
        </w:rPr>
      </w:pPr>
      <w:bookmarkStart w:id="39" w:name="_Toc2227"/>
      <w:bookmarkStart w:id="40" w:name="_Toc29350"/>
      <w:bookmarkStart w:id="41" w:name="_Toc12047"/>
      <w:bookmarkStart w:id="42" w:name="_Toc4404"/>
      <w:bookmarkStart w:id="43" w:name="_Toc10617"/>
      <w:bookmarkStart w:id="44" w:name="_Toc22607"/>
      <w:r>
        <w:rPr>
          <w:rFonts w:hint="default"/>
          <w:color w:val="auto"/>
          <w:lang w:val="en-US" w:eastAsia="zh-CN"/>
        </w:rPr>
        <w:t>1.1.2 评价范围</w:t>
      </w:r>
      <w:bookmarkEnd w:id="39"/>
      <w:bookmarkEnd w:id="40"/>
      <w:bookmarkEnd w:id="41"/>
      <w:bookmarkEnd w:id="42"/>
      <w:bookmarkEnd w:id="43"/>
      <w:bookmarkEnd w:id="44"/>
    </w:p>
    <w:p w14:paraId="08307A9D">
      <w:pPr>
        <w:rPr>
          <w:rFonts w:hint="default"/>
          <w:color w:val="auto"/>
          <w:lang w:val="en-US" w:eastAsia="zh-CN"/>
        </w:rPr>
      </w:pPr>
      <w:r>
        <w:rPr>
          <w:rFonts w:hint="eastAsia"/>
          <w:color w:val="auto"/>
          <w:lang w:val="en-US" w:eastAsia="zh-CN"/>
        </w:rPr>
        <w:t>1. 平面范围：</w:t>
      </w:r>
      <w:r>
        <w:rPr>
          <w:rFonts w:hint="default"/>
          <w:color w:val="auto"/>
          <w:lang w:val="en-US" w:eastAsia="zh-CN"/>
        </w:rPr>
        <w:t>鄱阳县响水滩乡禾互山建筑用石料矿采矿许可证核定的矿区范围</w:t>
      </w:r>
      <w:r>
        <w:rPr>
          <w:rFonts w:hint="eastAsia"/>
          <w:color w:val="auto"/>
          <w:lang w:val="en-US" w:eastAsia="zh-CN"/>
        </w:rPr>
        <w:t>，</w:t>
      </w:r>
      <w:r>
        <w:rPr>
          <w:rFonts w:hint="default"/>
          <w:color w:val="auto"/>
          <w:lang w:val="en-US" w:eastAsia="zh-CN"/>
        </w:rPr>
        <w:t>包含</w:t>
      </w:r>
      <w:r>
        <w:rPr>
          <w:rFonts w:hint="eastAsia"/>
          <w:color w:val="auto"/>
          <w:lang w:val="en-US" w:eastAsia="zh-CN"/>
        </w:rPr>
        <w:t>：</w:t>
      </w:r>
      <w:r>
        <w:rPr>
          <w:rFonts w:hint="default"/>
          <w:color w:val="auto"/>
          <w:lang w:val="en-US" w:eastAsia="zh-CN"/>
        </w:rPr>
        <w:t>矿山开拓运输、采剥作业、爆破作业、供配电、防排水、防灭火等矿山生产、辅助系统的安全设施和矿山安全管理。</w:t>
      </w:r>
    </w:p>
    <w:p w14:paraId="15C3DE67">
      <w:pPr>
        <w:rPr>
          <w:rFonts w:hint="default"/>
          <w:color w:val="auto"/>
          <w:lang w:val="en-US" w:eastAsia="zh-CN"/>
        </w:rPr>
      </w:pPr>
      <w:r>
        <w:rPr>
          <w:rFonts w:hint="eastAsia"/>
          <w:color w:val="auto"/>
          <w:lang w:val="en-US" w:eastAsia="zh-CN"/>
        </w:rPr>
        <w:t>2. 高程范围：</w:t>
      </w:r>
      <w:r>
        <w:rPr>
          <w:rFonts w:hint="default"/>
          <w:color w:val="auto"/>
          <w:lang w:val="en-US" w:eastAsia="zh-CN"/>
        </w:rPr>
        <w:t>+</w:t>
      </w:r>
      <w:r>
        <w:rPr>
          <w:rFonts w:hint="eastAsia"/>
          <w:color w:val="auto"/>
          <w:lang w:val="en-US" w:eastAsia="zh-CN"/>
        </w:rPr>
        <w:t>230</w:t>
      </w:r>
      <w:r>
        <w:rPr>
          <w:rFonts w:hint="default"/>
          <w:color w:val="auto"/>
          <w:lang w:val="en-US" w:eastAsia="zh-CN"/>
        </w:rPr>
        <w:t>m～+1</w:t>
      </w:r>
      <w:r>
        <w:rPr>
          <w:rFonts w:hint="eastAsia"/>
          <w:color w:val="auto"/>
          <w:lang w:val="en-US" w:eastAsia="zh-CN"/>
        </w:rPr>
        <w:t>1</w:t>
      </w:r>
      <w:r>
        <w:rPr>
          <w:rFonts w:hint="default"/>
          <w:color w:val="auto"/>
          <w:lang w:val="en-US" w:eastAsia="zh-CN"/>
        </w:rPr>
        <w:t>0m标高。</w:t>
      </w:r>
    </w:p>
    <w:p w14:paraId="6C1BDF28">
      <w:pPr>
        <w:rPr>
          <w:rFonts w:hint="eastAsia"/>
          <w:color w:val="auto"/>
          <w:lang w:val="en-US" w:eastAsia="zh-CN"/>
        </w:rPr>
      </w:pPr>
      <w:r>
        <w:rPr>
          <w:rFonts w:hint="eastAsia"/>
          <w:color w:val="auto"/>
          <w:lang w:val="en-US" w:eastAsia="zh-CN"/>
        </w:rPr>
        <w:t>3. 评价范围不包括：环境影响、职业病危害、碎石加工作业、外部运输、炸药库等。</w:t>
      </w:r>
    </w:p>
    <w:p w14:paraId="444797FD">
      <w:pPr>
        <w:pStyle w:val="3"/>
        <w:bidi w:val="0"/>
        <w:rPr>
          <w:rFonts w:hint="default"/>
          <w:color w:val="auto"/>
          <w:lang w:val="en-US" w:eastAsia="zh-CN"/>
        </w:rPr>
      </w:pPr>
      <w:bookmarkStart w:id="45" w:name="_Toc9504"/>
      <w:bookmarkStart w:id="46" w:name="_Toc1810"/>
      <w:bookmarkStart w:id="47" w:name="_Toc1256"/>
      <w:bookmarkStart w:id="48" w:name="_Toc27472"/>
      <w:bookmarkStart w:id="49" w:name="_Toc14820"/>
      <w:bookmarkStart w:id="50" w:name="_Toc6893"/>
      <w:r>
        <w:rPr>
          <w:rFonts w:hint="default"/>
          <w:color w:val="auto"/>
          <w:lang w:val="en-US" w:eastAsia="zh-CN"/>
        </w:rPr>
        <w:t>1.2 评价目的和内容</w:t>
      </w:r>
      <w:bookmarkEnd w:id="45"/>
      <w:bookmarkEnd w:id="46"/>
      <w:bookmarkEnd w:id="47"/>
      <w:bookmarkEnd w:id="48"/>
      <w:bookmarkEnd w:id="49"/>
      <w:bookmarkEnd w:id="50"/>
    </w:p>
    <w:p w14:paraId="4B8B1D58">
      <w:pPr>
        <w:pStyle w:val="4"/>
        <w:bidi w:val="0"/>
        <w:rPr>
          <w:rFonts w:hint="default"/>
          <w:color w:val="auto"/>
          <w:lang w:val="en-US" w:eastAsia="zh-CN"/>
        </w:rPr>
      </w:pPr>
      <w:bookmarkStart w:id="51" w:name="_Toc3535"/>
      <w:bookmarkStart w:id="52" w:name="_Toc19607"/>
      <w:bookmarkStart w:id="53" w:name="_Toc16656"/>
      <w:bookmarkStart w:id="54" w:name="_Toc2504"/>
      <w:bookmarkStart w:id="55" w:name="_Toc29611"/>
      <w:bookmarkStart w:id="56" w:name="_Toc23068"/>
      <w:r>
        <w:rPr>
          <w:rFonts w:hint="default"/>
          <w:color w:val="auto"/>
          <w:lang w:val="en-US" w:eastAsia="zh-CN"/>
        </w:rPr>
        <w:t>1.2.1</w:t>
      </w:r>
      <w:r>
        <w:rPr>
          <w:rFonts w:hint="eastAsia"/>
          <w:color w:val="auto"/>
          <w:lang w:val="en-US" w:eastAsia="zh-CN"/>
        </w:rPr>
        <w:t xml:space="preserve"> </w:t>
      </w:r>
      <w:r>
        <w:rPr>
          <w:rFonts w:hint="default"/>
          <w:color w:val="auto"/>
          <w:lang w:val="en-US" w:eastAsia="zh-CN"/>
        </w:rPr>
        <w:t>评价目的</w:t>
      </w:r>
      <w:bookmarkEnd w:id="51"/>
      <w:bookmarkEnd w:id="52"/>
      <w:bookmarkEnd w:id="53"/>
      <w:bookmarkEnd w:id="54"/>
      <w:bookmarkEnd w:id="55"/>
      <w:bookmarkEnd w:id="56"/>
    </w:p>
    <w:p w14:paraId="5911CCDE">
      <w:pPr>
        <w:rPr>
          <w:rFonts w:hint="default"/>
          <w:color w:val="auto"/>
          <w:lang w:val="en-US" w:eastAsia="zh-CN"/>
        </w:rPr>
      </w:pPr>
      <w:r>
        <w:rPr>
          <w:rFonts w:hint="default"/>
          <w:color w:val="auto"/>
          <w:lang w:val="en-US" w:eastAsia="zh-CN"/>
        </w:rPr>
        <w:t>为了贯彻</w:t>
      </w:r>
      <w:r>
        <w:rPr>
          <w:rFonts w:hint="eastAsia"/>
          <w:color w:val="auto"/>
          <w:lang w:val="en-US" w:eastAsia="zh-CN"/>
        </w:rPr>
        <w:t>“</w:t>
      </w:r>
      <w:r>
        <w:rPr>
          <w:rFonts w:hint="default"/>
          <w:color w:val="auto"/>
          <w:lang w:val="en-US" w:eastAsia="zh-CN"/>
        </w:rPr>
        <w:t>安全第一、预防为主、综合治理</w:t>
      </w:r>
      <w:r>
        <w:rPr>
          <w:rFonts w:hint="eastAsia"/>
          <w:color w:val="auto"/>
          <w:lang w:val="en-US" w:eastAsia="zh-CN"/>
        </w:rPr>
        <w:t>”</w:t>
      </w:r>
      <w:r>
        <w:rPr>
          <w:rFonts w:hint="default"/>
          <w:color w:val="auto"/>
          <w:lang w:val="en-US" w:eastAsia="zh-CN"/>
        </w:rPr>
        <w:t>的安全生产方针，在评价项目生命周期内的生产运行期，通过对矿山的生产设备设施、安全装置实际运行状况及现场管理状况的调查、分析，运用安全系统工程的方法，进行危险、有害因素的识别及其危险度的评价，查找系统生产运行中存在的安全事故隐患并判定其危险程度，提出合理可行的安全对策措施及建议，指导危险源监控和事故预防，以达到最低事故率，最少损失和最优的安全投资效益，确保矿山在安全设施、保护装置方面符合国家的有关法律法规、规章标准及其他要求。</w:t>
      </w:r>
    </w:p>
    <w:p w14:paraId="3220BEED">
      <w:pPr>
        <w:rPr>
          <w:rFonts w:hint="default"/>
          <w:color w:val="auto"/>
          <w:lang w:val="en-US" w:eastAsia="zh-CN"/>
        </w:rPr>
      </w:pPr>
      <w:r>
        <w:rPr>
          <w:rFonts w:hint="default"/>
          <w:color w:val="auto"/>
          <w:lang w:val="en-US" w:eastAsia="zh-CN"/>
        </w:rPr>
        <w:t>本次评价是对</w:t>
      </w:r>
      <w:r>
        <w:rPr>
          <w:rFonts w:hint="eastAsia"/>
          <w:color w:val="auto"/>
          <w:lang w:val="en-US" w:eastAsia="zh-CN"/>
        </w:rPr>
        <w:t>鄱阳县响水滩乡禾互山建筑用石料矿</w:t>
      </w:r>
      <w:r>
        <w:rPr>
          <w:rFonts w:hint="default"/>
          <w:color w:val="auto"/>
          <w:lang w:val="en-US" w:eastAsia="zh-CN"/>
        </w:rPr>
        <w:t>的主要生产系统的安全设施进行危险、有害因素的识别及其危险度的评价，对矿山安全管理、安全设备设施进行符合性评价，提出合理可行的安全对策措施及建议，促进矿山本质安全化建设，也为矿山安全生产许可证延期换证提供技术依据。</w:t>
      </w:r>
    </w:p>
    <w:p w14:paraId="35484B61">
      <w:pPr>
        <w:pStyle w:val="4"/>
        <w:bidi w:val="0"/>
        <w:rPr>
          <w:rFonts w:hint="default"/>
          <w:color w:val="auto"/>
          <w:lang w:val="en-US" w:eastAsia="zh-CN"/>
        </w:rPr>
      </w:pPr>
      <w:bookmarkStart w:id="57" w:name="_Toc15096"/>
      <w:bookmarkStart w:id="58" w:name="_Toc16389"/>
      <w:bookmarkStart w:id="59" w:name="_Toc3585"/>
      <w:bookmarkStart w:id="60" w:name="_Toc32654"/>
      <w:bookmarkStart w:id="61" w:name="_Toc20430"/>
      <w:bookmarkStart w:id="62" w:name="_Toc6016"/>
      <w:r>
        <w:rPr>
          <w:rFonts w:hint="default"/>
          <w:color w:val="auto"/>
          <w:lang w:val="en-US" w:eastAsia="zh-CN"/>
        </w:rPr>
        <w:t>1.2.2</w:t>
      </w:r>
      <w:r>
        <w:rPr>
          <w:rFonts w:hint="eastAsia"/>
          <w:color w:val="auto"/>
          <w:lang w:val="en-US" w:eastAsia="zh-CN"/>
        </w:rPr>
        <w:t xml:space="preserve"> </w:t>
      </w:r>
      <w:r>
        <w:rPr>
          <w:rFonts w:hint="default"/>
          <w:color w:val="auto"/>
          <w:lang w:val="en-US" w:eastAsia="zh-CN"/>
        </w:rPr>
        <w:t>评价内容</w:t>
      </w:r>
      <w:bookmarkEnd w:id="57"/>
      <w:bookmarkEnd w:id="58"/>
      <w:bookmarkEnd w:id="59"/>
      <w:bookmarkEnd w:id="60"/>
      <w:bookmarkEnd w:id="61"/>
      <w:bookmarkEnd w:id="62"/>
      <w:bookmarkStart w:id="666" w:name="_GoBack"/>
      <w:bookmarkEnd w:id="666"/>
    </w:p>
    <w:p w14:paraId="787C5EA7">
      <w:pPr>
        <w:rPr>
          <w:rFonts w:hint="default"/>
          <w:color w:val="auto"/>
          <w:lang w:val="en-US" w:eastAsia="zh-CN"/>
        </w:rPr>
      </w:pPr>
      <w:r>
        <w:rPr>
          <w:rFonts w:hint="default"/>
          <w:color w:val="auto"/>
          <w:lang w:val="en-US" w:eastAsia="zh-CN"/>
        </w:rPr>
        <w:t>通过对</w:t>
      </w:r>
      <w:r>
        <w:rPr>
          <w:rFonts w:hint="eastAsia"/>
          <w:color w:val="auto"/>
          <w:lang w:val="en-US" w:eastAsia="zh-CN"/>
        </w:rPr>
        <w:t>鄱阳县响水滩乡禾互山建筑用石料矿</w:t>
      </w:r>
      <w:r>
        <w:rPr>
          <w:rFonts w:hint="default"/>
          <w:color w:val="auto"/>
          <w:lang w:val="en-US" w:eastAsia="zh-CN"/>
        </w:rPr>
        <w:t>安全生产方面资料收集以及现场安全状况的检查调研，对如下内容进行评价：</w:t>
      </w:r>
    </w:p>
    <w:p w14:paraId="42F14C2D">
      <w:pPr>
        <w:rPr>
          <w:rFonts w:hint="default"/>
          <w:color w:val="auto"/>
          <w:lang w:val="en-US" w:eastAsia="zh-CN"/>
        </w:rPr>
      </w:pPr>
      <w:r>
        <w:rPr>
          <w:rFonts w:hint="default"/>
          <w:color w:val="auto"/>
          <w:lang w:val="en-US" w:eastAsia="zh-CN"/>
        </w:rPr>
        <w:t>1</w:t>
      </w:r>
      <w:r>
        <w:rPr>
          <w:rFonts w:hint="eastAsia"/>
          <w:color w:val="auto"/>
          <w:lang w:val="en-US" w:eastAsia="zh-CN"/>
        </w:rPr>
        <w:t xml:space="preserve">. </w:t>
      </w:r>
      <w:r>
        <w:rPr>
          <w:rFonts w:hint="default"/>
          <w:color w:val="auto"/>
          <w:lang w:val="en-US" w:eastAsia="zh-CN"/>
        </w:rPr>
        <w:t>识别评价项目生产中的危险、有害因素，确定其危险度；</w:t>
      </w:r>
    </w:p>
    <w:p w14:paraId="2EC52761">
      <w:pPr>
        <w:rPr>
          <w:rFonts w:hint="default"/>
          <w:color w:val="auto"/>
          <w:lang w:val="en-US" w:eastAsia="zh-CN"/>
        </w:rPr>
      </w:pPr>
      <w:r>
        <w:rPr>
          <w:rFonts w:hint="default"/>
          <w:color w:val="auto"/>
          <w:lang w:val="en-US" w:eastAsia="zh-CN"/>
        </w:rPr>
        <w:t>2</w:t>
      </w:r>
      <w:r>
        <w:rPr>
          <w:rFonts w:hint="eastAsia"/>
          <w:color w:val="auto"/>
          <w:lang w:val="en-US" w:eastAsia="zh-CN"/>
        </w:rPr>
        <w:t xml:space="preserve">. </w:t>
      </w:r>
      <w:r>
        <w:rPr>
          <w:rFonts w:hint="default"/>
          <w:color w:val="auto"/>
          <w:lang w:val="en-US" w:eastAsia="zh-CN"/>
        </w:rPr>
        <w:t>评价安全管理模式对确保安全生产的适应性，评价安全生产责任制、安全管理机构及安全管理人员、安全生产制度等安全管理相关内容是否满足安全生产法律法规和技术标准的要求及其落实执行情况，说明现行企业安全管理模式是否满足安全生产的要求；</w:t>
      </w:r>
    </w:p>
    <w:p w14:paraId="0D6D0002">
      <w:pPr>
        <w:rPr>
          <w:rFonts w:hint="default"/>
          <w:color w:val="auto"/>
          <w:lang w:val="en-US" w:eastAsia="zh-CN"/>
        </w:rPr>
      </w:pPr>
      <w:r>
        <w:rPr>
          <w:rFonts w:hint="default"/>
          <w:color w:val="auto"/>
          <w:lang w:val="en-US" w:eastAsia="zh-CN"/>
        </w:rPr>
        <w:t>3</w:t>
      </w:r>
      <w:r>
        <w:rPr>
          <w:rFonts w:hint="eastAsia"/>
          <w:color w:val="auto"/>
          <w:lang w:val="en-US" w:eastAsia="zh-CN"/>
        </w:rPr>
        <w:t xml:space="preserve">. </w:t>
      </w:r>
      <w:r>
        <w:rPr>
          <w:rFonts w:hint="default"/>
          <w:color w:val="auto"/>
          <w:lang w:val="en-US" w:eastAsia="zh-CN"/>
        </w:rPr>
        <w:t>评价各生产系统和辅助系统及其生产工艺采用的设施、设备是否满足安全生产法律法规和技术标准的要求；</w:t>
      </w:r>
    </w:p>
    <w:p w14:paraId="00D317DF">
      <w:pPr>
        <w:rPr>
          <w:rFonts w:hint="default"/>
          <w:color w:val="auto"/>
          <w:lang w:val="en-US" w:eastAsia="zh-CN"/>
        </w:rPr>
      </w:pPr>
      <w:r>
        <w:rPr>
          <w:rFonts w:hint="default"/>
          <w:color w:val="auto"/>
          <w:lang w:val="en-US" w:eastAsia="zh-CN"/>
        </w:rPr>
        <w:t>4</w:t>
      </w:r>
      <w:r>
        <w:rPr>
          <w:rFonts w:hint="eastAsia"/>
          <w:color w:val="auto"/>
          <w:lang w:val="en-US" w:eastAsia="zh-CN"/>
        </w:rPr>
        <w:t xml:space="preserve">. </w:t>
      </w:r>
      <w:r>
        <w:rPr>
          <w:rFonts w:hint="default"/>
          <w:color w:val="auto"/>
          <w:lang w:val="en-US" w:eastAsia="zh-CN"/>
        </w:rPr>
        <w:t>评价矿山对可能产生的危险、有害因素，制订的安全措施的针对性、适应性、有效性；</w:t>
      </w:r>
    </w:p>
    <w:p w14:paraId="536548C9">
      <w:pPr>
        <w:rPr>
          <w:rFonts w:hint="default"/>
          <w:color w:val="auto"/>
          <w:lang w:val="en-US" w:eastAsia="zh-CN"/>
        </w:rPr>
      </w:pPr>
      <w:r>
        <w:rPr>
          <w:rFonts w:hint="default"/>
          <w:color w:val="auto"/>
          <w:lang w:val="en-US" w:eastAsia="zh-CN"/>
        </w:rPr>
        <w:t>5</w:t>
      </w:r>
      <w:r>
        <w:rPr>
          <w:rFonts w:hint="eastAsia"/>
          <w:color w:val="auto"/>
          <w:lang w:val="en-US" w:eastAsia="zh-CN"/>
        </w:rPr>
        <w:t xml:space="preserve">. </w:t>
      </w:r>
      <w:r>
        <w:rPr>
          <w:rFonts w:hint="default"/>
          <w:color w:val="auto"/>
          <w:lang w:val="en-US" w:eastAsia="zh-CN"/>
        </w:rPr>
        <w:t>评价安全生产保障体系的系统性、充分性和有效性，明确其是否满足实现安全生产的要求；</w:t>
      </w:r>
    </w:p>
    <w:p w14:paraId="7B711AC2">
      <w:pPr>
        <w:rPr>
          <w:rFonts w:hint="default"/>
          <w:color w:val="auto"/>
          <w:lang w:val="en-US" w:eastAsia="zh-CN"/>
        </w:rPr>
      </w:pPr>
      <w:r>
        <w:rPr>
          <w:rFonts w:hint="default"/>
          <w:color w:val="auto"/>
          <w:lang w:val="en-US" w:eastAsia="zh-CN"/>
        </w:rPr>
        <w:t>6</w:t>
      </w:r>
      <w:r>
        <w:rPr>
          <w:rFonts w:hint="eastAsia"/>
          <w:color w:val="auto"/>
          <w:lang w:val="en-US" w:eastAsia="zh-CN"/>
        </w:rPr>
        <w:t xml:space="preserve">. </w:t>
      </w:r>
      <w:r>
        <w:rPr>
          <w:rFonts w:hint="default"/>
          <w:color w:val="auto"/>
          <w:lang w:val="en-US" w:eastAsia="zh-CN"/>
        </w:rPr>
        <w:t>对评价项目可能产生的危险、有害因素提出合理可行的安全对策措施及建议。</w:t>
      </w:r>
    </w:p>
    <w:p w14:paraId="283EC647">
      <w:pPr>
        <w:pStyle w:val="3"/>
        <w:bidi w:val="0"/>
        <w:rPr>
          <w:rFonts w:hint="default"/>
          <w:color w:val="auto"/>
          <w:lang w:val="en-US" w:eastAsia="zh-CN"/>
        </w:rPr>
      </w:pPr>
      <w:bookmarkStart w:id="63" w:name="_Toc28392"/>
      <w:bookmarkStart w:id="64" w:name="_Toc22401"/>
      <w:bookmarkStart w:id="65" w:name="_Toc13234"/>
      <w:bookmarkStart w:id="66" w:name="_Toc9595"/>
      <w:bookmarkStart w:id="67" w:name="_Toc2233"/>
      <w:bookmarkStart w:id="68" w:name="_Toc15387"/>
      <w:r>
        <w:rPr>
          <w:rFonts w:hint="default"/>
          <w:color w:val="auto"/>
          <w:lang w:val="en-US" w:eastAsia="zh-CN"/>
        </w:rPr>
        <w:t>1.3 评价依据</w:t>
      </w:r>
      <w:bookmarkEnd w:id="63"/>
      <w:bookmarkEnd w:id="64"/>
      <w:bookmarkEnd w:id="65"/>
      <w:bookmarkEnd w:id="66"/>
      <w:bookmarkEnd w:id="67"/>
      <w:bookmarkEnd w:id="68"/>
    </w:p>
    <w:p w14:paraId="504021F3">
      <w:pPr>
        <w:pStyle w:val="4"/>
        <w:bidi w:val="0"/>
        <w:rPr>
          <w:rFonts w:hint="default"/>
          <w:color w:val="auto"/>
          <w:lang w:val="en-US" w:eastAsia="zh-CN"/>
        </w:rPr>
      </w:pPr>
      <w:bookmarkStart w:id="69" w:name="_Toc16431"/>
      <w:bookmarkStart w:id="70" w:name="_Toc23992"/>
      <w:bookmarkStart w:id="71" w:name="_Toc25667"/>
      <w:bookmarkStart w:id="72" w:name="_Toc21117"/>
      <w:bookmarkStart w:id="73" w:name="_Toc19155"/>
      <w:bookmarkStart w:id="74" w:name="_Toc20784"/>
      <w:r>
        <w:rPr>
          <w:rFonts w:hint="default"/>
          <w:color w:val="auto"/>
          <w:lang w:val="en-US" w:eastAsia="zh-CN"/>
        </w:rPr>
        <w:t>1.3.1 法律、法规</w:t>
      </w:r>
      <w:bookmarkEnd w:id="69"/>
      <w:bookmarkEnd w:id="70"/>
      <w:bookmarkEnd w:id="71"/>
      <w:bookmarkEnd w:id="72"/>
      <w:bookmarkEnd w:id="73"/>
      <w:bookmarkEnd w:id="74"/>
    </w:p>
    <w:p w14:paraId="70E73DA3">
      <w:pPr>
        <w:bidi w:val="0"/>
        <w:rPr>
          <w:rFonts w:hint="default"/>
          <w:color w:val="auto"/>
          <w:lang w:val="en-US" w:eastAsia="zh-CN"/>
        </w:rPr>
      </w:pPr>
      <w:r>
        <w:rPr>
          <w:rFonts w:hint="default"/>
          <w:color w:val="auto"/>
          <w:lang w:val="en-US" w:eastAsia="zh-CN"/>
        </w:rPr>
        <w:t>《中华人民共和国矿产资源法》（主席令〔1986〕36号发布，依次经主席令〔1996〕74号、主席令〔2009〕18号、主席令〔2024〕36号修正，自1986年10月1日起施行）</w:t>
      </w:r>
    </w:p>
    <w:p w14:paraId="0E255994">
      <w:pPr>
        <w:bidi w:val="0"/>
        <w:rPr>
          <w:rFonts w:hint="default"/>
          <w:color w:val="auto"/>
          <w:lang w:val="en-US" w:eastAsia="zh-CN"/>
        </w:rPr>
      </w:pPr>
      <w:r>
        <w:rPr>
          <w:rFonts w:hint="default"/>
          <w:color w:val="auto"/>
          <w:lang w:val="en-US" w:eastAsia="zh-CN"/>
        </w:rPr>
        <w:t>《中华人民共和国环境保护法》（主席令〔1989〕22号发布，经主席令〔2014〕9号修正，自1989年12月26日起施行）</w:t>
      </w:r>
    </w:p>
    <w:p w14:paraId="708C007E">
      <w:pPr>
        <w:rPr>
          <w:rFonts w:hint="default"/>
          <w:color w:val="auto"/>
          <w:lang w:val="en-US" w:eastAsia="zh-CN"/>
        </w:rPr>
      </w:pPr>
      <w:r>
        <w:rPr>
          <w:rFonts w:hint="default"/>
          <w:color w:val="auto"/>
          <w:lang w:val="en-US" w:eastAsia="zh-CN"/>
        </w:rPr>
        <w:t>《中华人民共和国水土保持法》（主席令〔1991〕49号发布，依次经主席令〔2009〕18号、主席令〔2010〕39号修正，自1991年6月29日起施行）</w:t>
      </w:r>
    </w:p>
    <w:p w14:paraId="6BAA863B">
      <w:pPr>
        <w:rPr>
          <w:rFonts w:hint="default"/>
          <w:color w:val="auto"/>
          <w:lang w:val="en-US" w:eastAsia="zh-CN"/>
        </w:rPr>
      </w:pPr>
      <w:r>
        <w:rPr>
          <w:rFonts w:hint="default"/>
          <w:color w:val="auto"/>
          <w:lang w:val="en-US" w:eastAsia="zh-CN"/>
        </w:rPr>
        <w:t>《中华人民共和国矿山安全法》（主席令〔1992〕65号发布，经主席令〔2009〕18号修正，自1993年5月1日起施行）</w:t>
      </w:r>
    </w:p>
    <w:p w14:paraId="08EACA4C">
      <w:pPr>
        <w:rPr>
          <w:rFonts w:hint="default"/>
          <w:color w:val="auto"/>
          <w:lang w:val="en-US" w:eastAsia="zh-CN"/>
        </w:rPr>
      </w:pPr>
      <w:r>
        <w:rPr>
          <w:rFonts w:hint="default"/>
          <w:color w:val="auto"/>
          <w:lang w:val="en-US" w:eastAsia="zh-CN"/>
        </w:rPr>
        <w:t>《中华人民共和国劳动法》（主席令〔1994〕28号发布，依次经主席令〔2009〕18号、主席令〔2018〕24号修正，自1995年1月1日起施行）</w:t>
      </w:r>
    </w:p>
    <w:p w14:paraId="77FB47D0">
      <w:pPr>
        <w:rPr>
          <w:rFonts w:hint="default"/>
          <w:color w:val="auto"/>
          <w:lang w:val="en-US" w:eastAsia="zh-CN"/>
        </w:rPr>
      </w:pPr>
      <w:r>
        <w:rPr>
          <w:rFonts w:hint="default"/>
          <w:color w:val="auto"/>
          <w:lang w:val="en-US" w:eastAsia="zh-CN"/>
        </w:rPr>
        <w:t>《中华人民共和国固体废物污染环境防治法》（主席令〔1995〕58号发布，依次经主席令〔2004〕31号、主席令〔2013〕5号、主席令〔2015〕23号、主席令〔2016〕57号、主席令〔2020〕43号修正，自1996年4月1日起施行）</w:t>
      </w:r>
    </w:p>
    <w:p w14:paraId="04602642">
      <w:pPr>
        <w:rPr>
          <w:rFonts w:hint="default"/>
          <w:color w:val="auto"/>
          <w:lang w:val="en-US" w:eastAsia="zh-CN"/>
        </w:rPr>
      </w:pPr>
      <w:r>
        <w:rPr>
          <w:rFonts w:hint="default"/>
          <w:color w:val="auto"/>
          <w:lang w:val="en-US" w:eastAsia="zh-CN"/>
        </w:rPr>
        <w:t>《中华人民共和国防洪法》（主席令〔1997〕第88号发布，依次经主席令〔2009〕第18号、主席令〔2015〕第23号、主席令〔2016〕第48号修正，自1998年1月1日起施行）</w:t>
      </w:r>
    </w:p>
    <w:p w14:paraId="3AF43C7A">
      <w:pPr>
        <w:rPr>
          <w:rFonts w:hint="default"/>
          <w:color w:val="auto"/>
          <w:lang w:val="en-US" w:eastAsia="zh-CN"/>
        </w:rPr>
      </w:pPr>
      <w:r>
        <w:rPr>
          <w:rFonts w:hint="default"/>
          <w:color w:val="auto"/>
          <w:lang w:val="en-US" w:eastAsia="zh-CN"/>
        </w:rPr>
        <w:t>《中华人民共和国防震减灾法》（主席令〔1997〕94号发布，经主席令〔2008〕7号修正，自1997年12月29日起施行）</w:t>
      </w:r>
    </w:p>
    <w:p w14:paraId="68348A06">
      <w:pPr>
        <w:rPr>
          <w:rFonts w:hint="default"/>
          <w:color w:val="auto"/>
          <w:lang w:val="en-US" w:eastAsia="zh-CN"/>
        </w:rPr>
      </w:pPr>
      <w:r>
        <w:rPr>
          <w:rFonts w:hint="default"/>
          <w:color w:val="auto"/>
          <w:lang w:val="en-US" w:eastAsia="zh-CN"/>
        </w:rPr>
        <w:t>《中华人民共和国消防法》（主席令〔1998〕4号发布，依次经主席令〔2008〕6号、主席令〔2019〕29号、主席令〔2021〕81号修正，自1998年9月1日起施行）</w:t>
      </w:r>
    </w:p>
    <w:p w14:paraId="7F747879">
      <w:pPr>
        <w:rPr>
          <w:rFonts w:hint="default"/>
          <w:color w:val="auto"/>
          <w:lang w:val="en-US" w:eastAsia="zh-CN"/>
        </w:rPr>
      </w:pPr>
      <w:r>
        <w:rPr>
          <w:rFonts w:hint="default"/>
          <w:color w:val="auto"/>
          <w:lang w:val="en-US" w:eastAsia="zh-CN"/>
        </w:rPr>
        <w:t>《中华人民共和国气象法》（主席令〔1999〕23号发布，依次经主席令〔2009〕18号、主席令〔2014〕14号、主席令〔2016〕57号修正，自2000年1月1日起实施）</w:t>
      </w:r>
    </w:p>
    <w:p w14:paraId="0D908B68">
      <w:pPr>
        <w:rPr>
          <w:rFonts w:hint="default"/>
          <w:color w:val="auto"/>
          <w:lang w:val="en-US" w:eastAsia="zh-CN"/>
        </w:rPr>
      </w:pPr>
      <w:r>
        <w:rPr>
          <w:rFonts w:hint="default"/>
          <w:color w:val="auto"/>
          <w:lang w:val="en-US" w:eastAsia="zh-CN"/>
        </w:rPr>
        <w:t>《中华人民共和国职业病防治法》（主席令〔2001〕60号发布，依次经主席令〔2011〕52号、主席令〔2016〕48号、主席令〔2017〕81号、主席令〔2018〕24号修正，自2002年5月1日起施行）</w:t>
      </w:r>
    </w:p>
    <w:p w14:paraId="71105959">
      <w:pPr>
        <w:rPr>
          <w:rFonts w:hint="default"/>
          <w:color w:val="auto"/>
          <w:lang w:val="en-US" w:eastAsia="zh-CN"/>
        </w:rPr>
      </w:pPr>
      <w:r>
        <w:rPr>
          <w:rFonts w:hint="default"/>
          <w:color w:val="auto"/>
          <w:lang w:val="en-US" w:eastAsia="zh-CN"/>
        </w:rPr>
        <w:t>《中华人民共和国安全生产法》（主席令〔2002〕70号发布，依次经主席令〔2009〕18号、主席令〔2014〕13号、主席令〔2021〕88号修正，自2002年11月1日起施行）</w:t>
      </w:r>
    </w:p>
    <w:p w14:paraId="496348E8">
      <w:pPr>
        <w:rPr>
          <w:rFonts w:hint="default"/>
          <w:color w:val="auto"/>
          <w:lang w:val="en-US" w:eastAsia="zh-CN"/>
        </w:rPr>
      </w:pPr>
      <w:r>
        <w:rPr>
          <w:rFonts w:hint="default"/>
          <w:color w:val="auto"/>
          <w:lang w:val="en-US" w:eastAsia="zh-CN"/>
        </w:rPr>
        <w:t>《中华人民共和国突发事件应对法》（主席令〔2007〕69号发布，经主席令〔2024〕25号修正，自2007年11月1日起施行）</w:t>
      </w:r>
    </w:p>
    <w:p w14:paraId="194E20E2">
      <w:pPr>
        <w:rPr>
          <w:rFonts w:hint="default"/>
          <w:color w:val="auto"/>
          <w:lang w:val="en-US" w:eastAsia="zh-CN"/>
        </w:rPr>
      </w:pPr>
      <w:r>
        <w:rPr>
          <w:rFonts w:hint="default"/>
          <w:color w:val="auto"/>
          <w:lang w:val="en-US" w:eastAsia="zh-CN"/>
        </w:rPr>
        <w:t>《中华人民共和国特种设备安全法》（主席令〔2013〕4号发布，自2014年1月1日起实施）</w:t>
      </w:r>
    </w:p>
    <w:p w14:paraId="0461FF7D">
      <w:pPr>
        <w:rPr>
          <w:rFonts w:hint="default"/>
          <w:color w:val="auto"/>
          <w:lang w:val="en-US" w:eastAsia="zh-CN"/>
        </w:rPr>
      </w:pPr>
      <w:r>
        <w:rPr>
          <w:rFonts w:hint="default"/>
          <w:color w:val="auto"/>
          <w:lang w:val="en-US" w:eastAsia="zh-CN"/>
        </w:rPr>
        <w:t>《中华人民共和国尘肺病防治条例》（国发〔1987〕105号发布，自1987年12月3日起实施）</w:t>
      </w:r>
    </w:p>
    <w:p w14:paraId="2FF3B695">
      <w:pPr>
        <w:rPr>
          <w:rFonts w:hint="default"/>
          <w:color w:val="auto"/>
          <w:lang w:val="en-US" w:eastAsia="zh-CN"/>
        </w:rPr>
      </w:pPr>
      <w:r>
        <w:rPr>
          <w:rFonts w:hint="default"/>
          <w:color w:val="auto"/>
          <w:lang w:val="en-US" w:eastAsia="zh-CN"/>
        </w:rPr>
        <w:t>《建设工程质量管理条例》（国务院令〔2000〕279号发布，依次经国务院令〔2017〕687号、国务院令〔2019〕714号修正，自2000年1月30日起施行）</w:t>
      </w:r>
    </w:p>
    <w:p w14:paraId="4F82FFF8">
      <w:pPr>
        <w:rPr>
          <w:rFonts w:hint="default"/>
          <w:color w:val="auto"/>
          <w:lang w:val="en-US" w:eastAsia="zh-CN"/>
        </w:rPr>
      </w:pPr>
      <w:r>
        <w:rPr>
          <w:rFonts w:hint="default"/>
          <w:color w:val="auto"/>
          <w:lang w:val="en-US" w:eastAsia="zh-CN"/>
        </w:rPr>
        <w:t>《建设工程勘察设计管理条例》（国务院令〔2000〕293号发布，依次经国务院令〔2015〕662号、国务院令〔2017〕687号修正，自2000年9月25日起施行）</w:t>
      </w:r>
    </w:p>
    <w:p w14:paraId="36410008">
      <w:pPr>
        <w:rPr>
          <w:rFonts w:hint="default"/>
          <w:color w:val="auto"/>
          <w:lang w:val="en-US" w:eastAsia="zh-CN"/>
        </w:rPr>
      </w:pPr>
      <w:r>
        <w:rPr>
          <w:rFonts w:hint="default"/>
          <w:color w:val="auto"/>
          <w:lang w:val="en-US" w:eastAsia="zh-CN"/>
        </w:rPr>
        <w:t>《特种设备</w:t>
      </w:r>
      <w:r>
        <w:rPr>
          <w:rFonts w:hint="eastAsia"/>
          <w:color w:val="auto"/>
          <w:lang w:val="en-US" w:eastAsia="zh-CN"/>
        </w:rPr>
        <w:t>安全</w:t>
      </w:r>
      <w:r>
        <w:rPr>
          <w:rFonts w:hint="default"/>
          <w:color w:val="auto"/>
          <w:lang w:val="en-US" w:eastAsia="zh-CN"/>
        </w:rPr>
        <w:t>监察条例》（国务院令〔2003〕373号发布，经国务院令〔2009〕549号修正，自2003年6月1日起施行）</w:t>
      </w:r>
    </w:p>
    <w:p w14:paraId="22FEBE6C">
      <w:pPr>
        <w:rPr>
          <w:rFonts w:hint="default"/>
          <w:color w:val="auto"/>
          <w:lang w:val="en-US" w:eastAsia="zh-CN"/>
        </w:rPr>
      </w:pPr>
      <w:r>
        <w:rPr>
          <w:rFonts w:hint="default"/>
          <w:color w:val="auto"/>
          <w:lang w:val="en-US" w:eastAsia="zh-CN"/>
        </w:rPr>
        <w:t>《工伤保险条例》（国务院令〔2003〕375号发布，经国务院令〔2010〕586号修正，自2004年1月1日起施行）</w:t>
      </w:r>
    </w:p>
    <w:p w14:paraId="3556DE4B">
      <w:pPr>
        <w:rPr>
          <w:rFonts w:hint="default"/>
          <w:color w:val="auto"/>
          <w:lang w:val="en-US" w:eastAsia="zh-CN"/>
        </w:rPr>
      </w:pPr>
      <w:r>
        <w:rPr>
          <w:rFonts w:hint="default"/>
          <w:color w:val="auto"/>
          <w:lang w:val="en-US" w:eastAsia="zh-CN"/>
        </w:rPr>
        <w:t>《建设工程安全生产管理条例》（国务院令〔2003〕393号发布，自2004年2月1日起施行）</w:t>
      </w:r>
    </w:p>
    <w:p w14:paraId="75B24184">
      <w:pPr>
        <w:rPr>
          <w:rFonts w:hint="default"/>
          <w:color w:val="auto"/>
          <w:lang w:val="en-US" w:eastAsia="zh-CN"/>
        </w:rPr>
      </w:pPr>
      <w:r>
        <w:rPr>
          <w:rFonts w:hint="default"/>
          <w:color w:val="auto"/>
          <w:lang w:val="en-US" w:eastAsia="zh-CN"/>
        </w:rPr>
        <w:t>《地质灾害防治条例》（国务院令〔2003〕394号发布，自2004年3月1日起施行）</w:t>
      </w:r>
    </w:p>
    <w:p w14:paraId="78473E17">
      <w:pPr>
        <w:rPr>
          <w:rFonts w:hint="default"/>
          <w:color w:val="auto"/>
          <w:lang w:val="en-US" w:eastAsia="zh-CN"/>
        </w:rPr>
      </w:pPr>
      <w:r>
        <w:rPr>
          <w:rFonts w:hint="default"/>
          <w:color w:val="auto"/>
          <w:lang w:val="en-US" w:eastAsia="zh-CN"/>
        </w:rPr>
        <w:t>《安全生产许可证条例》（国务院令〔2004〕397号发布，依次经国务院令〔2013〕638号、国务院令〔2014〕653号修正，自2004年1月13日起施行）</w:t>
      </w:r>
    </w:p>
    <w:p w14:paraId="387C412B">
      <w:pPr>
        <w:rPr>
          <w:rFonts w:hint="default"/>
          <w:color w:val="auto"/>
          <w:lang w:val="en-US" w:eastAsia="zh-CN"/>
        </w:rPr>
      </w:pPr>
      <w:r>
        <w:rPr>
          <w:rFonts w:hint="default"/>
          <w:color w:val="auto"/>
          <w:lang w:val="en-US" w:eastAsia="zh-CN"/>
        </w:rPr>
        <w:t>《劳动保障监察条例》（国务院令〔2004〕423号发布，自2004年12月1日起施行）</w:t>
      </w:r>
    </w:p>
    <w:p w14:paraId="4BC24A40">
      <w:pPr>
        <w:rPr>
          <w:rFonts w:hint="default"/>
          <w:color w:val="auto"/>
          <w:lang w:val="en-US" w:eastAsia="zh-CN"/>
        </w:rPr>
      </w:pPr>
      <w:r>
        <w:rPr>
          <w:rFonts w:hint="default"/>
          <w:color w:val="auto"/>
          <w:lang w:val="en-US" w:eastAsia="zh-CN"/>
        </w:rPr>
        <w:t>《民用爆炸物品安全管理条例》（国务院令〔2006〕466号发布，经国务院令〔2014〕653号修正，自2006年9月1日起施行）</w:t>
      </w:r>
    </w:p>
    <w:p w14:paraId="4077BA12">
      <w:pPr>
        <w:rPr>
          <w:rFonts w:hint="default"/>
          <w:color w:val="auto"/>
          <w:lang w:val="en-US" w:eastAsia="zh-CN"/>
        </w:rPr>
      </w:pPr>
      <w:r>
        <w:rPr>
          <w:rFonts w:hint="default"/>
          <w:color w:val="auto"/>
          <w:lang w:val="en-US" w:eastAsia="zh-CN"/>
        </w:rPr>
        <w:t>《生产安全事故报告和调查处理条例》（国务院令〔2007〕493号发布，自2007年6月1日起施行）</w:t>
      </w:r>
    </w:p>
    <w:p w14:paraId="06FA3843">
      <w:pPr>
        <w:rPr>
          <w:rFonts w:hint="default"/>
          <w:color w:val="auto"/>
          <w:lang w:val="en-US" w:eastAsia="zh-CN"/>
        </w:rPr>
      </w:pPr>
      <w:r>
        <w:rPr>
          <w:rFonts w:hint="default"/>
          <w:color w:val="auto"/>
          <w:lang w:val="en-US" w:eastAsia="zh-CN"/>
        </w:rPr>
        <w:t>《气象灾害防御条例》（国务院令〔2010〕570号发布，经国务院令〔2017〕687号修正，自2010年4月1日起施行）</w:t>
      </w:r>
    </w:p>
    <w:p w14:paraId="4067B140">
      <w:pPr>
        <w:rPr>
          <w:rFonts w:hint="default"/>
          <w:color w:val="auto"/>
          <w:lang w:val="en-US" w:eastAsia="zh-CN"/>
        </w:rPr>
      </w:pPr>
      <w:r>
        <w:rPr>
          <w:rFonts w:hint="default"/>
          <w:color w:val="auto"/>
          <w:lang w:val="en-US" w:eastAsia="zh-CN"/>
        </w:rPr>
        <w:t>《特种作业人员安全技术培训考核管理规定》（国家安监总局令〔2010〕第30号发布，经国家安监总局令〔2013〕第63号、〔2015〕第80号修正</w:t>
      </w:r>
      <w:r>
        <w:rPr>
          <w:rFonts w:hint="eastAsia"/>
          <w:color w:val="auto"/>
          <w:lang w:val="en-US" w:eastAsia="zh-CN"/>
        </w:rPr>
        <w:t>，应急管理部令第</w:t>
      </w:r>
      <w:r>
        <w:rPr>
          <w:rFonts w:hint="default"/>
          <w:color w:val="auto"/>
          <w:lang w:val="en-US" w:eastAsia="zh-CN"/>
        </w:rPr>
        <w:t>〔20</w:t>
      </w:r>
      <w:r>
        <w:rPr>
          <w:rFonts w:hint="eastAsia"/>
          <w:color w:val="auto"/>
          <w:lang w:val="en-US" w:eastAsia="zh-CN"/>
        </w:rPr>
        <w:t>25</w:t>
      </w:r>
      <w:r>
        <w:rPr>
          <w:rFonts w:hint="default"/>
          <w:color w:val="auto"/>
          <w:lang w:val="en-US" w:eastAsia="zh-CN"/>
        </w:rPr>
        <w:t>〕</w:t>
      </w:r>
      <w:r>
        <w:rPr>
          <w:rFonts w:hint="eastAsia"/>
          <w:color w:val="auto"/>
          <w:lang w:val="en-US" w:eastAsia="zh-CN"/>
        </w:rPr>
        <w:t>19号修订</w:t>
      </w:r>
      <w:r>
        <w:rPr>
          <w:rFonts w:hint="default"/>
          <w:color w:val="auto"/>
          <w:lang w:val="en-US" w:eastAsia="zh-CN"/>
        </w:rPr>
        <w:t>，自20</w:t>
      </w:r>
      <w:r>
        <w:rPr>
          <w:rFonts w:hint="eastAsia"/>
          <w:color w:val="auto"/>
          <w:lang w:val="en-US" w:eastAsia="zh-CN"/>
        </w:rPr>
        <w:t>26</w:t>
      </w:r>
      <w:r>
        <w:rPr>
          <w:rFonts w:hint="default"/>
          <w:color w:val="auto"/>
          <w:lang w:val="en-US" w:eastAsia="zh-CN"/>
        </w:rPr>
        <w:t>年</w:t>
      </w:r>
      <w:r>
        <w:rPr>
          <w:rFonts w:hint="eastAsia"/>
          <w:color w:val="auto"/>
          <w:lang w:val="en-US" w:eastAsia="zh-CN"/>
        </w:rPr>
        <w:t>6</w:t>
      </w:r>
      <w:r>
        <w:rPr>
          <w:rFonts w:hint="default"/>
          <w:color w:val="auto"/>
          <w:lang w:val="en-US" w:eastAsia="zh-CN"/>
        </w:rPr>
        <w:t>月1日起施行）</w:t>
      </w:r>
    </w:p>
    <w:p w14:paraId="18CC4CA3">
      <w:pPr>
        <w:rPr>
          <w:rFonts w:hint="default"/>
          <w:color w:val="auto"/>
          <w:lang w:val="en-US" w:eastAsia="zh-CN"/>
        </w:rPr>
      </w:pPr>
      <w:r>
        <w:rPr>
          <w:rFonts w:hint="default"/>
          <w:color w:val="auto"/>
          <w:lang w:val="en-US" w:eastAsia="zh-CN"/>
        </w:rPr>
        <w:t>《女职工劳动保护特别规定》（国务院令〔2012〕619号发布，自2012年4月28日起施行）</w:t>
      </w:r>
    </w:p>
    <w:p w14:paraId="4958FE3A">
      <w:pPr>
        <w:rPr>
          <w:rFonts w:hint="default"/>
          <w:color w:val="auto"/>
          <w:lang w:val="en-US" w:eastAsia="zh-CN"/>
        </w:rPr>
      </w:pPr>
      <w:r>
        <w:rPr>
          <w:rFonts w:hint="default"/>
          <w:color w:val="auto"/>
          <w:lang w:val="en-US" w:eastAsia="zh-CN"/>
        </w:rPr>
        <w:t>《生产安全事故应急条例》（国务院令〔2019〕708号发布，自2019年4月1日起施行）</w:t>
      </w:r>
    </w:p>
    <w:p w14:paraId="12C97A05">
      <w:pPr>
        <w:rPr>
          <w:rFonts w:hint="default"/>
          <w:color w:val="auto"/>
          <w:lang w:val="en-US" w:eastAsia="zh-CN"/>
        </w:rPr>
      </w:pPr>
      <w:r>
        <w:rPr>
          <w:rFonts w:hint="default"/>
          <w:color w:val="auto"/>
          <w:lang w:val="en-US" w:eastAsia="zh-CN"/>
        </w:rPr>
        <w:t>《矿山救援规程》（应急管理部令</w:t>
      </w:r>
      <w:r>
        <w:rPr>
          <w:rFonts w:hint="eastAsia" w:ascii="Times New Roman" w:eastAsia="宋体"/>
          <w:color w:val="auto"/>
          <w:lang w:val="en-US" w:eastAsia="zh-CN"/>
        </w:rPr>
        <w:t>〔</w:t>
      </w:r>
      <w:r>
        <w:rPr>
          <w:rFonts w:hint="default"/>
          <w:color w:val="auto"/>
          <w:lang w:val="en-US" w:eastAsia="zh-CN"/>
        </w:rPr>
        <w:t>2024</w:t>
      </w:r>
      <w:r>
        <w:rPr>
          <w:rFonts w:hint="eastAsia" w:ascii="Times New Roman" w:eastAsia="宋体"/>
          <w:color w:val="auto"/>
          <w:lang w:val="en-US" w:eastAsia="zh-CN"/>
        </w:rPr>
        <w:t>〕</w:t>
      </w:r>
      <w:r>
        <w:rPr>
          <w:rFonts w:hint="default"/>
          <w:color w:val="auto"/>
          <w:lang w:val="en-US" w:eastAsia="zh-CN"/>
        </w:rPr>
        <w:t>第16号，2024年4月28日）</w:t>
      </w:r>
    </w:p>
    <w:p w14:paraId="681348BB">
      <w:pPr>
        <w:rPr>
          <w:rFonts w:hint="default"/>
          <w:color w:val="auto"/>
          <w:lang w:val="en-US" w:eastAsia="zh-CN"/>
        </w:rPr>
      </w:pPr>
      <w:r>
        <w:rPr>
          <w:rFonts w:hint="default"/>
          <w:color w:val="auto"/>
          <w:lang w:val="en-US" w:eastAsia="zh-CN"/>
        </w:rPr>
        <w:t>《江西省消防条例》（赣人常〔1995〕19次发布，依次经赣人常〔1997〕27次、赣人常〔1999〕27号、赣人常〔2001〕75号、赣人常〔2010〕57号、赣人常〔2011〕89号、赣人常〔2018〕15号、赣人常〔2020〕81号修正，自1996年1月1日起施行）</w:t>
      </w:r>
    </w:p>
    <w:p w14:paraId="3A68A7EE">
      <w:pPr>
        <w:rPr>
          <w:rFonts w:hint="default"/>
          <w:color w:val="auto"/>
          <w:lang w:val="en-US" w:eastAsia="zh-CN"/>
        </w:rPr>
      </w:pPr>
      <w:r>
        <w:rPr>
          <w:rFonts w:hint="default"/>
          <w:color w:val="auto"/>
          <w:lang w:val="en-US" w:eastAsia="zh-CN"/>
        </w:rPr>
        <w:t>《江西省矿产资源开采管理条例》（1999年10月23日江西省第九届人民代表大会常务委员会第十二次会议通过，2011年12月1日江西省第十一届人民代表大会常务委员会第二十八次会议修正，2014年5月29日江西省第十二届人民代表大会常务委员会第十一次会议修正，自2000年1月1日起施行）</w:t>
      </w:r>
    </w:p>
    <w:p w14:paraId="2DBE3051">
      <w:pPr>
        <w:rPr>
          <w:rFonts w:hint="default"/>
          <w:color w:val="auto"/>
          <w:lang w:val="en-US" w:eastAsia="zh-CN"/>
        </w:rPr>
      </w:pPr>
      <w:r>
        <w:rPr>
          <w:rFonts w:hint="default"/>
          <w:color w:val="auto"/>
          <w:lang w:val="en-US" w:eastAsia="zh-CN"/>
        </w:rPr>
        <w:t>《江西省安全生产条例》（赣人常〔2007〕95号发布，经赣人常〔2017〕137号、赣人常〔2019〕44号、赣人常〔2023〕10号修正，自2007年5月1日起施行）</w:t>
      </w:r>
    </w:p>
    <w:p w14:paraId="607737C8">
      <w:pPr>
        <w:pStyle w:val="4"/>
        <w:bidi w:val="0"/>
        <w:rPr>
          <w:rFonts w:hint="default"/>
          <w:color w:val="auto"/>
          <w:lang w:val="en-US" w:eastAsia="zh-CN"/>
        </w:rPr>
      </w:pPr>
      <w:bookmarkStart w:id="75" w:name="_Toc13280"/>
      <w:bookmarkStart w:id="76" w:name="_Toc4519"/>
      <w:bookmarkStart w:id="77" w:name="_Toc30861"/>
      <w:bookmarkStart w:id="78" w:name="_Toc22098"/>
      <w:bookmarkStart w:id="79" w:name="_Toc6468"/>
      <w:bookmarkStart w:id="80" w:name="_Toc24335"/>
      <w:r>
        <w:rPr>
          <w:rFonts w:hint="default"/>
          <w:color w:val="auto"/>
          <w:lang w:val="en-US" w:eastAsia="zh-CN"/>
        </w:rPr>
        <w:t>1.3.2 规章、规范性文件</w:t>
      </w:r>
      <w:bookmarkEnd w:id="75"/>
      <w:bookmarkEnd w:id="76"/>
      <w:bookmarkEnd w:id="77"/>
      <w:bookmarkEnd w:id="78"/>
      <w:bookmarkEnd w:id="79"/>
      <w:bookmarkEnd w:id="80"/>
    </w:p>
    <w:p w14:paraId="6B2C90D3">
      <w:pPr>
        <w:rPr>
          <w:rFonts w:hint="default"/>
          <w:color w:val="auto"/>
          <w:lang w:val="en-US" w:eastAsia="zh-CN"/>
        </w:rPr>
      </w:pPr>
      <w:r>
        <w:rPr>
          <w:rFonts w:hint="default"/>
          <w:color w:val="auto"/>
          <w:lang w:val="en-US" w:eastAsia="zh-CN"/>
        </w:rPr>
        <w:t>《安全生产事故隐患排查治理暂行规定》（国家安监总局令〔2007〕第16号，自2008年2月1日起施行）</w:t>
      </w:r>
    </w:p>
    <w:p w14:paraId="2EB70B98">
      <w:pPr>
        <w:rPr>
          <w:rFonts w:hint="default"/>
          <w:color w:val="auto"/>
          <w:lang w:val="en-US" w:eastAsia="zh-CN"/>
        </w:rPr>
      </w:pPr>
      <w:r>
        <w:rPr>
          <w:rFonts w:hint="default"/>
          <w:color w:val="auto"/>
          <w:lang w:val="en-US" w:eastAsia="zh-CN"/>
        </w:rPr>
        <w:t>《生产安全事故信息报告和处置办法》（国家安监总局令〔2009〕第21号，自2009年7月1日起施行）</w:t>
      </w:r>
    </w:p>
    <w:p w14:paraId="0B5ED9D6">
      <w:pPr>
        <w:rPr>
          <w:rFonts w:hint="default"/>
          <w:color w:val="auto"/>
          <w:lang w:val="en-US" w:eastAsia="zh-CN"/>
        </w:rPr>
      </w:pPr>
      <w:r>
        <w:rPr>
          <w:rFonts w:hint="default"/>
          <w:color w:val="auto"/>
          <w:lang w:val="en-US" w:eastAsia="zh-CN"/>
        </w:rPr>
        <w:t>《国务院关于进一步加强企业安全生产工作的通知》（国发〔2010〕23号，2010年7月19日）</w:t>
      </w:r>
    </w:p>
    <w:p w14:paraId="484CED26">
      <w:pPr>
        <w:rPr>
          <w:rFonts w:hint="default"/>
          <w:color w:val="auto"/>
          <w:lang w:val="en-US" w:eastAsia="zh-CN"/>
        </w:rPr>
      </w:pPr>
      <w:r>
        <w:rPr>
          <w:rFonts w:hint="default"/>
          <w:color w:val="auto"/>
          <w:lang w:val="en-US" w:eastAsia="zh-CN"/>
        </w:rPr>
        <w:t>《国务院关于坚持科学发展安全发展促进安全生产形势持续稳定好转的意见》（国发〔2011〕40号</w:t>
      </w:r>
      <w:r>
        <w:rPr>
          <w:rFonts w:hint="eastAsia"/>
          <w:color w:val="auto"/>
          <w:lang w:val="en-US" w:eastAsia="zh-CN"/>
        </w:rPr>
        <w:t>，2011年11月26日</w:t>
      </w:r>
      <w:r>
        <w:rPr>
          <w:rFonts w:hint="default"/>
          <w:color w:val="auto"/>
          <w:lang w:val="en-US" w:eastAsia="zh-CN"/>
        </w:rPr>
        <w:t>）</w:t>
      </w:r>
    </w:p>
    <w:p w14:paraId="64D7801D">
      <w:pPr>
        <w:rPr>
          <w:rFonts w:hint="default"/>
          <w:color w:val="auto"/>
          <w:lang w:val="en-US" w:eastAsia="zh-CN"/>
        </w:rPr>
      </w:pPr>
      <w:r>
        <w:rPr>
          <w:rFonts w:hint="default"/>
          <w:color w:val="auto"/>
          <w:lang w:val="en-US" w:eastAsia="zh-CN"/>
        </w:rPr>
        <w:t>《国务院关于加强地质灾害防治工作的决定》（国发〔2011〕20号，2011年6月13日）</w:t>
      </w:r>
    </w:p>
    <w:p w14:paraId="7B3BF697">
      <w:pPr>
        <w:rPr>
          <w:rFonts w:hint="default"/>
          <w:color w:val="auto"/>
          <w:lang w:val="en-US" w:eastAsia="zh-CN"/>
        </w:rPr>
      </w:pPr>
      <w:r>
        <w:rPr>
          <w:rFonts w:hint="default"/>
          <w:color w:val="auto"/>
          <w:lang w:val="en-US" w:eastAsia="zh-CN"/>
        </w:rPr>
        <w:t>《国务院关于坚持科学发展安全发展促进安全生产形势持续稳定好转的意见》（国发〔2011〕40号，2011年11月26日）</w:t>
      </w:r>
    </w:p>
    <w:p w14:paraId="2AFD8B0E">
      <w:pPr>
        <w:rPr>
          <w:rFonts w:hint="default"/>
          <w:color w:val="auto"/>
          <w:lang w:val="en-US" w:eastAsia="zh-CN"/>
        </w:rPr>
      </w:pPr>
      <w:r>
        <w:rPr>
          <w:rFonts w:hint="default"/>
          <w:color w:val="auto"/>
          <w:lang w:val="en-US" w:eastAsia="zh-CN"/>
        </w:rPr>
        <w:t>《关于认真学习贯彻〈国务院关于坚持科学发展安全发展促进安全生产形势持续稳定好转的意见〉的通知》（安委办〔2011〕48号，2011年12月6日）</w:t>
      </w:r>
    </w:p>
    <w:p w14:paraId="1D13BD06">
      <w:pPr>
        <w:rPr>
          <w:rFonts w:hint="default"/>
          <w:color w:val="auto"/>
          <w:lang w:val="en-US" w:eastAsia="zh-CN"/>
        </w:rPr>
      </w:pPr>
      <w:r>
        <w:rPr>
          <w:rFonts w:hint="eastAsia"/>
          <w:color w:val="auto"/>
          <w:lang w:val="en-US" w:eastAsia="zh-CN"/>
        </w:rPr>
        <w:t>《小型露天采石场安全管理与监督检查规定》（</w:t>
      </w:r>
      <w:r>
        <w:rPr>
          <w:rFonts w:hint="default"/>
          <w:color w:val="auto"/>
          <w:lang w:val="en-US" w:eastAsia="zh-CN"/>
        </w:rPr>
        <w:t>国家安监总局令</w:t>
      </w:r>
      <w:r>
        <w:rPr>
          <w:rFonts w:hint="eastAsia" w:ascii="Times New Roman" w:eastAsia="宋体"/>
          <w:color w:val="auto"/>
          <w:lang w:val="en-US" w:eastAsia="zh-CN"/>
        </w:rPr>
        <w:t>〔</w:t>
      </w:r>
      <w:r>
        <w:rPr>
          <w:rFonts w:hint="default"/>
          <w:color w:val="auto"/>
          <w:lang w:val="en-US" w:eastAsia="zh-CN"/>
        </w:rPr>
        <w:t>201</w:t>
      </w:r>
      <w:r>
        <w:rPr>
          <w:rFonts w:hint="eastAsia"/>
          <w:color w:val="auto"/>
          <w:lang w:val="en-US" w:eastAsia="zh-CN"/>
        </w:rPr>
        <w:t>1</w:t>
      </w:r>
      <w:r>
        <w:rPr>
          <w:rFonts w:hint="eastAsia" w:ascii="Times New Roman" w:eastAsia="宋体"/>
          <w:color w:val="auto"/>
          <w:lang w:val="en-US" w:eastAsia="zh-CN"/>
        </w:rPr>
        <w:t>〕</w:t>
      </w:r>
      <w:r>
        <w:rPr>
          <w:rFonts w:hint="default"/>
          <w:color w:val="auto"/>
          <w:lang w:val="en-US" w:eastAsia="zh-CN"/>
        </w:rPr>
        <w:t>第</w:t>
      </w:r>
      <w:r>
        <w:rPr>
          <w:rFonts w:hint="eastAsia"/>
          <w:color w:val="auto"/>
          <w:lang w:val="en-US" w:eastAsia="zh-CN"/>
        </w:rPr>
        <w:t>39</w:t>
      </w:r>
      <w:r>
        <w:rPr>
          <w:rFonts w:hint="default"/>
          <w:color w:val="auto"/>
          <w:lang w:val="en-US" w:eastAsia="zh-CN"/>
        </w:rPr>
        <w:t>号发布，经国家安监总局令</w:t>
      </w:r>
      <w:r>
        <w:rPr>
          <w:rFonts w:hint="eastAsia" w:ascii="Times New Roman" w:eastAsia="宋体"/>
          <w:color w:val="auto"/>
          <w:lang w:val="en-US" w:eastAsia="zh-CN"/>
        </w:rPr>
        <w:t>〔</w:t>
      </w:r>
      <w:r>
        <w:rPr>
          <w:rFonts w:hint="default"/>
          <w:color w:val="auto"/>
          <w:lang w:val="en-US" w:eastAsia="zh-CN"/>
        </w:rPr>
        <w:t>2015</w:t>
      </w:r>
      <w:r>
        <w:rPr>
          <w:rFonts w:hint="eastAsia" w:ascii="Times New Roman" w:eastAsia="宋体"/>
          <w:color w:val="auto"/>
          <w:lang w:val="en-US" w:eastAsia="zh-CN"/>
        </w:rPr>
        <w:t>〕</w:t>
      </w:r>
      <w:r>
        <w:rPr>
          <w:rFonts w:hint="default"/>
          <w:color w:val="auto"/>
          <w:lang w:val="en-US" w:eastAsia="zh-CN"/>
        </w:rPr>
        <w:t>第78号修正，自201</w:t>
      </w:r>
      <w:r>
        <w:rPr>
          <w:rFonts w:hint="eastAsia"/>
          <w:color w:val="auto"/>
          <w:lang w:val="en-US" w:eastAsia="zh-CN"/>
        </w:rPr>
        <w:t>1</w:t>
      </w:r>
      <w:r>
        <w:rPr>
          <w:rFonts w:hint="default"/>
          <w:color w:val="auto"/>
          <w:lang w:val="en-US" w:eastAsia="zh-CN"/>
        </w:rPr>
        <w:t>年</w:t>
      </w:r>
      <w:r>
        <w:rPr>
          <w:rFonts w:hint="eastAsia"/>
          <w:color w:val="auto"/>
          <w:lang w:val="en-US" w:eastAsia="zh-CN"/>
        </w:rPr>
        <w:t>7</w:t>
      </w:r>
      <w:r>
        <w:rPr>
          <w:rFonts w:hint="default"/>
          <w:color w:val="auto"/>
          <w:lang w:val="en-US" w:eastAsia="zh-CN"/>
        </w:rPr>
        <w:t>月1日起施行</w:t>
      </w:r>
      <w:r>
        <w:rPr>
          <w:rFonts w:hint="eastAsia"/>
          <w:color w:val="auto"/>
          <w:lang w:val="en-US" w:eastAsia="zh-CN"/>
        </w:rPr>
        <w:t>）</w:t>
      </w:r>
    </w:p>
    <w:p w14:paraId="76265494">
      <w:pPr>
        <w:rPr>
          <w:rFonts w:hint="default"/>
          <w:color w:val="auto"/>
          <w:lang w:val="en-US" w:eastAsia="zh-CN"/>
        </w:rPr>
      </w:pPr>
      <w:r>
        <w:rPr>
          <w:rFonts w:hint="default"/>
          <w:color w:val="auto"/>
          <w:lang w:val="en-US" w:eastAsia="zh-CN"/>
        </w:rPr>
        <w:t>《非煤矿山外包工程安全管理暂行办法》（国家安监总局令</w:t>
      </w:r>
      <w:r>
        <w:rPr>
          <w:rFonts w:hint="eastAsia" w:ascii="Times New Roman" w:eastAsia="宋体"/>
          <w:color w:val="auto"/>
          <w:lang w:val="en-US" w:eastAsia="zh-CN"/>
        </w:rPr>
        <w:t>〔</w:t>
      </w:r>
      <w:r>
        <w:rPr>
          <w:rFonts w:hint="default"/>
          <w:color w:val="auto"/>
          <w:lang w:val="en-US" w:eastAsia="zh-CN"/>
        </w:rPr>
        <w:t>2013</w:t>
      </w:r>
      <w:r>
        <w:rPr>
          <w:rFonts w:hint="eastAsia" w:ascii="Times New Roman" w:eastAsia="宋体"/>
          <w:color w:val="auto"/>
          <w:lang w:val="en-US" w:eastAsia="zh-CN"/>
        </w:rPr>
        <w:t>〕</w:t>
      </w:r>
      <w:r>
        <w:rPr>
          <w:rFonts w:hint="default"/>
          <w:color w:val="auto"/>
          <w:lang w:val="en-US" w:eastAsia="zh-CN"/>
        </w:rPr>
        <w:t>第62号发布，经国家安监总局令</w:t>
      </w:r>
      <w:r>
        <w:rPr>
          <w:rFonts w:hint="eastAsia" w:ascii="Times New Roman" w:eastAsia="宋体"/>
          <w:color w:val="auto"/>
          <w:lang w:val="en-US" w:eastAsia="zh-CN"/>
        </w:rPr>
        <w:t>〔</w:t>
      </w:r>
      <w:r>
        <w:rPr>
          <w:rFonts w:hint="default"/>
          <w:color w:val="auto"/>
          <w:lang w:val="en-US" w:eastAsia="zh-CN"/>
        </w:rPr>
        <w:t>2015</w:t>
      </w:r>
      <w:r>
        <w:rPr>
          <w:rFonts w:hint="eastAsia" w:ascii="Times New Roman" w:eastAsia="宋体"/>
          <w:color w:val="auto"/>
          <w:lang w:val="en-US" w:eastAsia="zh-CN"/>
        </w:rPr>
        <w:t>〕</w:t>
      </w:r>
      <w:r>
        <w:rPr>
          <w:rFonts w:hint="default"/>
          <w:color w:val="auto"/>
          <w:lang w:val="en-US" w:eastAsia="zh-CN"/>
        </w:rPr>
        <w:t>第78号修正，自2013年10月1日起施行）</w:t>
      </w:r>
    </w:p>
    <w:p w14:paraId="2AA9CED8">
      <w:pPr>
        <w:rPr>
          <w:rFonts w:hint="default"/>
          <w:color w:val="auto"/>
          <w:lang w:val="en-US" w:eastAsia="zh-CN"/>
        </w:rPr>
      </w:pPr>
      <w:r>
        <w:rPr>
          <w:rFonts w:hint="default"/>
          <w:color w:val="auto"/>
          <w:lang w:val="en-US" w:eastAsia="zh-CN"/>
        </w:rPr>
        <w:t>《国家安全监管总局关于发布金属非金属矿山禁止使用的设备及工艺目录（第一批）的通知》（安监总管一〔2013〕101号，2013年9月6日）</w:t>
      </w:r>
    </w:p>
    <w:p w14:paraId="66DAD3EF">
      <w:pPr>
        <w:rPr>
          <w:rFonts w:hint="default"/>
          <w:color w:val="auto"/>
          <w:lang w:val="en-US" w:eastAsia="zh-CN"/>
        </w:rPr>
      </w:pPr>
      <w:r>
        <w:rPr>
          <w:rFonts w:hint="default"/>
          <w:color w:val="auto"/>
          <w:lang w:val="en-US" w:eastAsia="zh-CN"/>
        </w:rPr>
        <w:t>《国家安全监管总局关于发布金属非金属矿山禁止使用的设备及工艺目录（第二批）的通知》（安监总管一〔2015〕13号，2015年2月13日）</w:t>
      </w:r>
    </w:p>
    <w:p w14:paraId="60B822B8">
      <w:pPr>
        <w:rPr>
          <w:rFonts w:hint="default"/>
          <w:color w:val="auto"/>
          <w:lang w:val="en-US" w:eastAsia="zh-CN"/>
        </w:rPr>
      </w:pPr>
      <w:r>
        <w:rPr>
          <w:rFonts w:hint="default"/>
          <w:color w:val="auto"/>
          <w:lang w:val="en-US" w:eastAsia="zh-CN"/>
        </w:rPr>
        <w:t>《金属非金属矿山建设项目安全设施目录（试行）》（国家安监总局令〔2015〕第75号，2015年7月1日）</w:t>
      </w:r>
    </w:p>
    <w:p w14:paraId="0528081E">
      <w:pPr>
        <w:rPr>
          <w:rFonts w:hint="default"/>
          <w:color w:val="auto"/>
          <w:lang w:val="en-US" w:eastAsia="zh-CN"/>
        </w:rPr>
      </w:pPr>
      <w:r>
        <w:rPr>
          <w:rFonts w:hint="default"/>
          <w:color w:val="auto"/>
          <w:lang w:val="en-US" w:eastAsia="zh-CN"/>
        </w:rPr>
        <w:t>《非煤矿矿山企业安全生产许可证实施办法》（国家安监总局令〔2004〕9号发布，经安监总局令〔2009〕20号、安监总局令〔2015〕78号修正，自2004年5月17日起施行）</w:t>
      </w:r>
    </w:p>
    <w:p w14:paraId="5B8304E9">
      <w:pPr>
        <w:rPr>
          <w:rFonts w:hint="default"/>
          <w:color w:val="auto"/>
          <w:lang w:val="en-US" w:eastAsia="zh-CN"/>
        </w:rPr>
      </w:pPr>
      <w:r>
        <w:rPr>
          <w:rFonts w:hint="default"/>
          <w:color w:val="auto"/>
          <w:lang w:val="en-US" w:eastAsia="zh-CN"/>
        </w:rPr>
        <w:t>《安全生产培训管理办法》（国家安监总局令〔2004〕第20号发布，经国家安监总局令〔2012〕第44号、〔2013〕63号、〔2015〕第80号修正，自2005年2月1日起施行）</w:t>
      </w:r>
    </w:p>
    <w:p w14:paraId="377C0F6B">
      <w:pPr>
        <w:rPr>
          <w:rFonts w:hint="default"/>
          <w:color w:val="auto"/>
          <w:lang w:val="en-US" w:eastAsia="zh-CN"/>
        </w:rPr>
      </w:pPr>
      <w:r>
        <w:rPr>
          <w:rFonts w:hint="default"/>
          <w:color w:val="auto"/>
          <w:lang w:val="en-US" w:eastAsia="zh-CN"/>
        </w:rPr>
        <w:t>《生产经营单位安全培训规定》（国家安监总局令</w:t>
      </w:r>
      <w:r>
        <w:rPr>
          <w:rFonts w:hint="eastAsia"/>
          <w:color w:val="auto"/>
          <w:lang w:val="en-US" w:eastAsia="zh-CN"/>
        </w:rPr>
        <w:t>〔</w:t>
      </w:r>
      <w:r>
        <w:rPr>
          <w:rFonts w:hint="default"/>
          <w:color w:val="auto"/>
          <w:lang w:val="en-US" w:eastAsia="zh-CN"/>
        </w:rPr>
        <w:t>2006</w:t>
      </w:r>
      <w:r>
        <w:rPr>
          <w:rFonts w:hint="eastAsia"/>
          <w:color w:val="auto"/>
          <w:lang w:val="en-US" w:eastAsia="zh-CN"/>
        </w:rPr>
        <w:t>〕</w:t>
      </w:r>
      <w:r>
        <w:rPr>
          <w:rFonts w:hint="default"/>
          <w:color w:val="auto"/>
          <w:lang w:val="en-US" w:eastAsia="zh-CN"/>
        </w:rPr>
        <w:t>第3号公布，经国家安监总局令</w:t>
      </w:r>
      <w:r>
        <w:rPr>
          <w:rFonts w:hint="eastAsia"/>
          <w:color w:val="auto"/>
          <w:lang w:val="en-US" w:eastAsia="zh-CN"/>
        </w:rPr>
        <w:t>〔</w:t>
      </w:r>
      <w:r>
        <w:rPr>
          <w:rFonts w:hint="default"/>
          <w:color w:val="auto"/>
          <w:lang w:val="en-US" w:eastAsia="zh-CN"/>
        </w:rPr>
        <w:t>2013</w:t>
      </w:r>
      <w:r>
        <w:rPr>
          <w:rFonts w:hint="eastAsia"/>
          <w:color w:val="auto"/>
          <w:lang w:val="en-US" w:eastAsia="zh-CN"/>
        </w:rPr>
        <w:t>〕</w:t>
      </w:r>
      <w:r>
        <w:rPr>
          <w:rFonts w:hint="default"/>
          <w:color w:val="auto"/>
          <w:lang w:val="en-US" w:eastAsia="zh-CN"/>
        </w:rPr>
        <w:t>63号、</w:t>
      </w:r>
      <w:r>
        <w:rPr>
          <w:rFonts w:hint="eastAsia"/>
          <w:color w:val="auto"/>
          <w:lang w:val="en-US" w:eastAsia="zh-CN"/>
        </w:rPr>
        <w:t>〔</w:t>
      </w:r>
      <w:r>
        <w:rPr>
          <w:rFonts w:hint="default"/>
          <w:color w:val="auto"/>
          <w:lang w:val="en-US" w:eastAsia="zh-CN"/>
        </w:rPr>
        <w:t>2015</w:t>
      </w:r>
      <w:r>
        <w:rPr>
          <w:rFonts w:hint="eastAsia"/>
          <w:color w:val="auto"/>
          <w:lang w:val="en-US" w:eastAsia="zh-CN"/>
        </w:rPr>
        <w:t>〕</w:t>
      </w:r>
      <w:r>
        <w:rPr>
          <w:rFonts w:hint="default"/>
          <w:color w:val="auto"/>
          <w:lang w:val="en-US" w:eastAsia="zh-CN"/>
        </w:rPr>
        <w:t>80号修正，自2006年3月1日起施行）</w:t>
      </w:r>
    </w:p>
    <w:p w14:paraId="6EF11C24">
      <w:pPr>
        <w:rPr>
          <w:rFonts w:hint="default"/>
          <w:color w:val="auto"/>
          <w:lang w:val="en-US" w:eastAsia="zh-CN"/>
        </w:rPr>
      </w:pPr>
      <w:r>
        <w:rPr>
          <w:rFonts w:hint="default"/>
          <w:color w:val="auto"/>
          <w:lang w:val="en-US" w:eastAsia="zh-CN"/>
        </w:rPr>
        <w:t>《国务院安委会办公室关于实施遏制重特大事故工作指南构建双重预防机制的意见》（安委办〔2016〕11号，2016年10月9日）</w:t>
      </w:r>
    </w:p>
    <w:p w14:paraId="3CFDE04D">
      <w:pPr>
        <w:rPr>
          <w:rFonts w:hint="default"/>
          <w:color w:val="auto"/>
          <w:lang w:val="en-US" w:eastAsia="zh-CN"/>
        </w:rPr>
      </w:pPr>
      <w:r>
        <w:rPr>
          <w:rFonts w:hint="default"/>
          <w:color w:val="auto"/>
          <w:lang w:val="en-US" w:eastAsia="zh-CN"/>
        </w:rPr>
        <w:t>《国家安全监管总局办公厅关于修改用人单位劳动防护用品管理规范的通知》（安监总厅安健〔2018〕3号，2018年1月15日）</w:t>
      </w:r>
    </w:p>
    <w:p w14:paraId="1F9DEF0F">
      <w:pPr>
        <w:rPr>
          <w:rFonts w:hint="default"/>
          <w:color w:val="auto"/>
          <w:lang w:val="en-US" w:eastAsia="zh-CN"/>
        </w:rPr>
      </w:pPr>
      <w:r>
        <w:rPr>
          <w:rFonts w:hint="default"/>
          <w:color w:val="auto"/>
          <w:lang w:val="en-US" w:eastAsia="zh-CN"/>
        </w:rPr>
        <w:t>《生产安全事故应急预案管理办法》（国家安监总局令〔2009〕第17号发布，经国家安监总局令〔2016〕第88号、应急管理部令〔2019〕第2号修正，自2009年5月1日起施行）</w:t>
      </w:r>
    </w:p>
    <w:p w14:paraId="399FFF80">
      <w:pPr>
        <w:rPr>
          <w:rFonts w:hint="default"/>
          <w:color w:val="auto"/>
          <w:lang w:val="en-US" w:eastAsia="zh-CN"/>
        </w:rPr>
      </w:pPr>
      <w:r>
        <w:rPr>
          <w:rFonts w:hint="default"/>
          <w:color w:val="auto"/>
          <w:lang w:val="en-US" w:eastAsia="zh-CN"/>
        </w:rPr>
        <w:t>《工作场所职业卫生管理规定》（国家卫健委令</w:t>
      </w:r>
      <w:r>
        <w:rPr>
          <w:rFonts w:hint="eastAsia" w:ascii="Times New Roman" w:eastAsia="宋体"/>
          <w:color w:val="auto"/>
          <w:lang w:val="en-US" w:eastAsia="zh-CN"/>
        </w:rPr>
        <w:t>〔</w:t>
      </w:r>
      <w:r>
        <w:rPr>
          <w:rFonts w:hint="default"/>
          <w:color w:val="auto"/>
          <w:lang w:val="en-US" w:eastAsia="zh-CN"/>
        </w:rPr>
        <w:t>2020</w:t>
      </w:r>
      <w:r>
        <w:rPr>
          <w:rFonts w:hint="eastAsia" w:ascii="Times New Roman" w:eastAsia="宋体"/>
          <w:color w:val="auto"/>
          <w:lang w:val="en-US" w:eastAsia="zh-CN"/>
        </w:rPr>
        <w:t>〕</w:t>
      </w:r>
      <w:r>
        <w:rPr>
          <w:rFonts w:hint="default"/>
          <w:color w:val="auto"/>
          <w:lang w:val="en-US" w:eastAsia="zh-CN"/>
        </w:rPr>
        <w:t>第5号，自2021年2月1日起施行）</w:t>
      </w:r>
    </w:p>
    <w:p w14:paraId="1FA186BE">
      <w:pPr>
        <w:rPr>
          <w:rFonts w:hint="default"/>
          <w:color w:val="auto"/>
          <w:lang w:val="en-US" w:eastAsia="zh-CN"/>
        </w:rPr>
      </w:pPr>
      <w:r>
        <w:rPr>
          <w:rFonts w:hint="default"/>
          <w:color w:val="auto"/>
          <w:lang w:val="en-US" w:eastAsia="zh-CN"/>
        </w:rPr>
        <w:t>《国务院安委会办公室关于加强矿山安全生产工作的紧急通知》（安委办〔2021〕3号，2021年2月24日）</w:t>
      </w:r>
    </w:p>
    <w:p w14:paraId="7F4F51E8">
      <w:pPr>
        <w:rPr>
          <w:rFonts w:hint="default"/>
          <w:color w:val="auto"/>
          <w:lang w:val="en-US" w:eastAsia="zh-CN"/>
        </w:rPr>
      </w:pPr>
      <w:r>
        <w:rPr>
          <w:rFonts w:hint="default"/>
          <w:color w:val="auto"/>
          <w:lang w:val="en-US" w:eastAsia="zh-CN"/>
        </w:rPr>
        <w:t>《国家矿山安全监察局关于印发〈关于加强非煤矿山安全生产工作的指导意见〉的通知》（矿安〔2022〕4号，2022年2月8日）</w:t>
      </w:r>
    </w:p>
    <w:p w14:paraId="722BF4D9">
      <w:pPr>
        <w:rPr>
          <w:rFonts w:hint="default"/>
          <w:color w:val="auto"/>
          <w:lang w:val="en-US" w:eastAsia="zh-CN"/>
        </w:rPr>
      </w:pPr>
      <w:r>
        <w:rPr>
          <w:rFonts w:hint="default"/>
          <w:color w:val="auto"/>
          <w:lang w:val="en-US" w:eastAsia="zh-CN"/>
        </w:rPr>
        <w:t>《国家矿山安全监察局关于印发〈金属非金属矿山重大事故隐患判定标准〉的通知》（矿安〔2022〕88号，2022年7月8日）</w:t>
      </w:r>
    </w:p>
    <w:p w14:paraId="4F13BC11">
      <w:pPr>
        <w:rPr>
          <w:rFonts w:hint="default"/>
          <w:color w:val="auto"/>
          <w:lang w:val="en-US" w:eastAsia="zh-CN"/>
        </w:rPr>
      </w:pPr>
      <w:r>
        <w:rPr>
          <w:rFonts w:hint="default"/>
          <w:color w:val="auto"/>
          <w:lang w:val="en-US" w:eastAsia="zh-CN"/>
        </w:rPr>
        <w:t>《财政部 应急部关于印发〈企业安全生产费用提取和使用管理办法〉的通知》（财资〔2022〕136号，2022年11月21日）</w:t>
      </w:r>
    </w:p>
    <w:p w14:paraId="740EAE49">
      <w:pPr>
        <w:rPr>
          <w:rFonts w:hint="default"/>
          <w:color w:val="auto"/>
          <w:lang w:val="en-US" w:eastAsia="zh-CN"/>
        </w:rPr>
      </w:pPr>
      <w:r>
        <w:rPr>
          <w:rFonts w:hint="default"/>
          <w:color w:val="auto"/>
          <w:lang w:val="en-US" w:eastAsia="zh-CN"/>
        </w:rPr>
        <w:t>《国家矿山安全监察局关于印发〈矿山生产安全事故报告和调查处理办法〉的通知》（矿安〔2023〕7号，2023年1月17日）</w:t>
      </w:r>
    </w:p>
    <w:p w14:paraId="38FD0D43">
      <w:pPr>
        <w:rPr>
          <w:rFonts w:hint="default"/>
          <w:color w:val="auto"/>
          <w:lang w:val="en-US" w:eastAsia="zh-CN"/>
        </w:rPr>
      </w:pPr>
      <w:r>
        <w:rPr>
          <w:rFonts w:hint="eastAsia"/>
          <w:color w:val="auto"/>
          <w:lang w:val="en-US" w:eastAsia="zh-CN"/>
        </w:rPr>
        <w:t>《国家矿山安全监察局关于做好非煤矿山灾害情况发生重大变化及时报告和出现事故征兆等紧急情况及时撤人工作的通知》（</w:t>
      </w:r>
      <w:r>
        <w:rPr>
          <w:rFonts w:hint="default"/>
          <w:color w:val="auto"/>
          <w:lang w:val="en-US" w:eastAsia="zh-CN"/>
        </w:rPr>
        <w:t>矿安〔2023〕</w:t>
      </w:r>
      <w:r>
        <w:rPr>
          <w:rFonts w:hint="eastAsia"/>
          <w:color w:val="auto"/>
          <w:lang w:val="en-US" w:eastAsia="zh-CN"/>
        </w:rPr>
        <w:t>60</w:t>
      </w:r>
      <w:r>
        <w:rPr>
          <w:rFonts w:hint="default"/>
          <w:color w:val="auto"/>
          <w:lang w:val="en-US" w:eastAsia="zh-CN"/>
        </w:rPr>
        <w:t>号，2023年</w:t>
      </w:r>
      <w:r>
        <w:rPr>
          <w:rFonts w:hint="eastAsia"/>
          <w:color w:val="auto"/>
          <w:lang w:val="en-US" w:eastAsia="zh-CN"/>
        </w:rPr>
        <w:t>6</w:t>
      </w:r>
      <w:r>
        <w:rPr>
          <w:rFonts w:hint="default"/>
          <w:color w:val="auto"/>
          <w:lang w:val="en-US" w:eastAsia="zh-CN"/>
        </w:rPr>
        <w:t>月</w:t>
      </w:r>
      <w:r>
        <w:rPr>
          <w:rFonts w:hint="eastAsia"/>
          <w:color w:val="auto"/>
          <w:lang w:val="en-US" w:eastAsia="zh-CN"/>
        </w:rPr>
        <w:t>21</w:t>
      </w:r>
      <w:r>
        <w:rPr>
          <w:rFonts w:hint="default"/>
          <w:color w:val="auto"/>
          <w:lang w:val="en-US" w:eastAsia="zh-CN"/>
        </w:rPr>
        <w:t>日</w:t>
      </w:r>
      <w:r>
        <w:rPr>
          <w:rFonts w:hint="eastAsia"/>
          <w:color w:val="auto"/>
          <w:lang w:val="en-US" w:eastAsia="zh-CN"/>
        </w:rPr>
        <w:t>）</w:t>
      </w:r>
    </w:p>
    <w:p w14:paraId="06746873">
      <w:pPr>
        <w:rPr>
          <w:rFonts w:hint="default"/>
          <w:color w:val="auto"/>
          <w:lang w:val="en-US" w:eastAsia="zh-CN"/>
        </w:rPr>
      </w:pPr>
      <w:r>
        <w:rPr>
          <w:rFonts w:hint="default"/>
          <w:color w:val="auto"/>
          <w:lang w:val="en-US" w:eastAsia="zh-CN"/>
        </w:rPr>
        <w:t>《中共中央办公厅</w:t>
      </w:r>
      <w:r>
        <w:rPr>
          <w:rFonts w:hint="eastAsia"/>
          <w:color w:val="auto"/>
          <w:lang w:val="en-US" w:eastAsia="zh-CN"/>
        </w:rPr>
        <w:t xml:space="preserve"> </w:t>
      </w:r>
      <w:r>
        <w:rPr>
          <w:rFonts w:hint="default"/>
          <w:color w:val="auto"/>
          <w:lang w:val="en-US" w:eastAsia="zh-CN"/>
        </w:rPr>
        <w:t>国务院办公厅关于进一步加强矿山安全生产工作的意见》（厅字〔2023〕21号，2023年</w:t>
      </w:r>
      <w:r>
        <w:rPr>
          <w:rFonts w:hint="eastAsia"/>
          <w:color w:val="auto"/>
          <w:lang w:val="en-US" w:eastAsia="zh-CN"/>
        </w:rPr>
        <w:t>9</w:t>
      </w:r>
      <w:r>
        <w:rPr>
          <w:rFonts w:hint="default"/>
          <w:color w:val="auto"/>
          <w:lang w:val="en-US" w:eastAsia="zh-CN"/>
        </w:rPr>
        <w:t>月</w:t>
      </w:r>
      <w:r>
        <w:rPr>
          <w:rFonts w:hint="eastAsia"/>
          <w:color w:val="auto"/>
          <w:lang w:val="en-US" w:eastAsia="zh-CN"/>
        </w:rPr>
        <w:t>6</w:t>
      </w:r>
      <w:r>
        <w:rPr>
          <w:rFonts w:hint="default"/>
          <w:color w:val="auto"/>
          <w:lang w:val="en-US" w:eastAsia="zh-CN"/>
        </w:rPr>
        <w:t>日）</w:t>
      </w:r>
    </w:p>
    <w:p w14:paraId="52FE3881">
      <w:pPr>
        <w:rPr>
          <w:rFonts w:hint="default"/>
          <w:color w:val="auto"/>
          <w:lang w:val="en-US" w:eastAsia="zh-CN"/>
        </w:rPr>
      </w:pPr>
      <w:r>
        <w:rPr>
          <w:rFonts w:hint="default"/>
          <w:color w:val="auto"/>
          <w:lang w:val="en-US" w:eastAsia="zh-CN"/>
        </w:rPr>
        <w:t>《国家矿山安全监察局关于印发〈矿山建设项目安全设施重大变更范围〉的通知》（矿安〔2023〕147号，2023年11月14日）</w:t>
      </w:r>
    </w:p>
    <w:p w14:paraId="6768D8E3">
      <w:pPr>
        <w:rPr>
          <w:rFonts w:hint="default"/>
          <w:color w:val="auto"/>
          <w:lang w:val="en-US" w:eastAsia="zh-CN"/>
        </w:rPr>
      </w:pPr>
      <w:r>
        <w:rPr>
          <w:rFonts w:hint="default"/>
          <w:color w:val="auto"/>
          <w:lang w:val="en-US" w:eastAsia="zh-CN"/>
        </w:rPr>
        <w:t>《国务院安全生产委员会印发〈关于防范遏制矿山领域重特大生产安全事故的硬措施〉的通知》（安委〔2024〕1号，2024年1月19日）</w:t>
      </w:r>
    </w:p>
    <w:p w14:paraId="7B2226A4">
      <w:pPr>
        <w:rPr>
          <w:rFonts w:hint="default"/>
          <w:color w:val="auto"/>
          <w:lang w:val="en-US" w:eastAsia="zh-CN"/>
        </w:rPr>
      </w:pPr>
      <w:r>
        <w:rPr>
          <w:rFonts w:hint="default"/>
          <w:color w:val="auto"/>
          <w:lang w:val="en-US" w:eastAsia="zh-CN"/>
        </w:rPr>
        <w:t>《矿山安全生产治本攻坚三年行动方案（2024-2026年）》（国家矿山安全监察局，2024年2月4日）</w:t>
      </w:r>
    </w:p>
    <w:p w14:paraId="1E450FF1">
      <w:pPr>
        <w:rPr>
          <w:rFonts w:hint="default"/>
          <w:color w:val="auto"/>
          <w:lang w:val="en-US" w:eastAsia="zh-CN"/>
        </w:rPr>
      </w:pPr>
      <w:r>
        <w:rPr>
          <w:rFonts w:hint="default"/>
          <w:color w:val="auto"/>
          <w:lang w:val="en-US" w:eastAsia="zh-CN"/>
        </w:rPr>
        <w:t>《国家矿山安全监察局关于印发〈金属非金属矿山重大事故隐患判定标准补充情形〉的通知》（矿安〔2024〕41号，2024年4月23日）</w:t>
      </w:r>
    </w:p>
    <w:p w14:paraId="70B7E5B9">
      <w:pPr>
        <w:rPr>
          <w:rFonts w:hint="default"/>
          <w:color w:val="auto"/>
          <w:lang w:val="en-US" w:eastAsia="zh-CN"/>
        </w:rPr>
      </w:pPr>
      <w:r>
        <w:rPr>
          <w:rFonts w:hint="default"/>
          <w:color w:val="auto"/>
          <w:lang w:val="en-US" w:eastAsia="zh-CN"/>
        </w:rPr>
        <w:t>《国家矿山安全监察局关于进一步加强非煤矿山安全生产行政许可工作的通知》（矿安〔2024〕70号，2024年6月28日）</w:t>
      </w:r>
    </w:p>
    <w:p w14:paraId="18F00ABF">
      <w:pPr>
        <w:rPr>
          <w:rFonts w:hint="eastAsia"/>
          <w:color w:val="auto"/>
          <w:lang w:val="en-US" w:eastAsia="zh-CN"/>
        </w:rPr>
      </w:pPr>
      <w:r>
        <w:rPr>
          <w:rFonts w:hint="eastAsia"/>
          <w:color w:val="auto"/>
          <w:lang w:val="en-US" w:eastAsia="zh-CN"/>
        </w:rPr>
        <w:t>《</w:t>
      </w:r>
      <w:r>
        <w:rPr>
          <w:rFonts w:hint="default"/>
          <w:color w:val="auto"/>
          <w:lang w:val="en-US" w:eastAsia="zh-CN"/>
        </w:rPr>
        <w:t>关于印发</w:t>
      </w:r>
      <w:r>
        <w:rPr>
          <w:rFonts w:hint="eastAsia" w:ascii="宋体" w:hAnsi="宋体" w:eastAsia="宋体" w:cs="宋体"/>
          <w:color w:val="auto"/>
          <w:lang w:val="en-US" w:eastAsia="zh-CN"/>
        </w:rPr>
        <w:t>&lt;</w:t>
      </w:r>
      <w:r>
        <w:rPr>
          <w:rFonts w:hint="default"/>
          <w:color w:val="auto"/>
          <w:lang w:val="en-US" w:eastAsia="zh-CN"/>
        </w:rPr>
        <w:t>安全生产责任保险实施办法</w:t>
      </w:r>
      <w:r>
        <w:rPr>
          <w:rFonts w:hint="eastAsia" w:ascii="宋体" w:hAnsi="宋体" w:eastAsia="宋体" w:cs="宋体"/>
          <w:color w:val="auto"/>
          <w:lang w:val="en-US" w:eastAsia="zh-CN"/>
        </w:rPr>
        <w:t>&gt;</w:t>
      </w:r>
      <w:r>
        <w:rPr>
          <w:rFonts w:hint="default"/>
          <w:color w:val="auto"/>
          <w:lang w:val="en-US" w:eastAsia="zh-CN"/>
        </w:rPr>
        <w:t>的通知》</w:t>
      </w:r>
      <w:r>
        <w:rPr>
          <w:rFonts w:hint="eastAsia"/>
          <w:color w:val="auto"/>
          <w:lang w:val="en-US" w:eastAsia="zh-CN"/>
        </w:rPr>
        <w:t>（</w:t>
      </w:r>
      <w:r>
        <w:rPr>
          <w:rFonts w:hint="default"/>
          <w:color w:val="auto"/>
          <w:lang w:val="en-US" w:eastAsia="zh-CN"/>
        </w:rPr>
        <w:t>应急〔2025〕27号</w:t>
      </w:r>
      <w:r>
        <w:rPr>
          <w:rFonts w:hint="eastAsia"/>
          <w:color w:val="auto"/>
          <w:lang w:val="en-US" w:eastAsia="zh-CN"/>
        </w:rPr>
        <w:t>，2025年3月29日）</w:t>
      </w:r>
    </w:p>
    <w:p w14:paraId="5444F970">
      <w:pPr>
        <w:rPr>
          <w:rFonts w:hint="eastAsia"/>
          <w:color w:val="auto"/>
          <w:lang w:val="en-US" w:eastAsia="zh-CN"/>
        </w:rPr>
      </w:pPr>
      <w:r>
        <w:rPr>
          <w:rFonts w:hint="eastAsia"/>
          <w:color w:val="auto"/>
          <w:lang w:val="en-US" w:eastAsia="zh-CN"/>
        </w:rPr>
        <w:t>《国家矿山安全监察局综合司关于明确矿山“五职”矿长和“五科”相关人员范围及相关要求的通知》（矿安综</w:t>
      </w:r>
      <w:r>
        <w:rPr>
          <w:rFonts w:hint="default"/>
          <w:color w:val="auto"/>
          <w:lang w:val="en-US" w:eastAsia="zh-CN"/>
        </w:rPr>
        <w:t>〔2025〕</w:t>
      </w:r>
      <w:r>
        <w:rPr>
          <w:rFonts w:hint="eastAsia"/>
          <w:color w:val="auto"/>
          <w:lang w:val="en-US" w:eastAsia="zh-CN"/>
        </w:rPr>
        <w:t>12号，2025年7月1日）</w:t>
      </w:r>
    </w:p>
    <w:p w14:paraId="46B9A553">
      <w:pPr>
        <w:rPr>
          <w:rFonts w:hint="default"/>
          <w:color w:val="auto"/>
          <w:lang w:val="en-US" w:eastAsia="zh-CN"/>
        </w:rPr>
      </w:pPr>
      <w:r>
        <w:rPr>
          <w:rFonts w:hint="default"/>
          <w:color w:val="auto"/>
          <w:lang w:val="en-US" w:eastAsia="zh-CN"/>
        </w:rPr>
        <w:t>《国家矿山安全监察局关于做好2026年度矿山防汛安全工作的通知》（矿安〔202</w:t>
      </w:r>
      <w:r>
        <w:rPr>
          <w:rFonts w:hint="eastAsia"/>
          <w:color w:val="auto"/>
          <w:lang w:val="en-US" w:eastAsia="zh-CN"/>
        </w:rPr>
        <w:t>6</w:t>
      </w:r>
      <w:r>
        <w:rPr>
          <w:rFonts w:hint="default"/>
          <w:color w:val="auto"/>
          <w:lang w:val="en-US" w:eastAsia="zh-CN"/>
        </w:rPr>
        <w:t>〕</w:t>
      </w:r>
      <w:r>
        <w:rPr>
          <w:rFonts w:hint="eastAsia"/>
          <w:color w:val="auto"/>
          <w:lang w:val="en-US" w:eastAsia="zh-CN"/>
        </w:rPr>
        <w:t>67</w:t>
      </w:r>
      <w:r>
        <w:rPr>
          <w:rFonts w:hint="default"/>
          <w:color w:val="auto"/>
          <w:lang w:val="en-US" w:eastAsia="zh-CN"/>
        </w:rPr>
        <w:t>号，202</w:t>
      </w:r>
      <w:r>
        <w:rPr>
          <w:rFonts w:hint="eastAsia"/>
          <w:color w:val="auto"/>
          <w:lang w:val="en-US" w:eastAsia="zh-CN"/>
        </w:rPr>
        <w:t>6</w:t>
      </w:r>
      <w:r>
        <w:rPr>
          <w:rFonts w:hint="default"/>
          <w:color w:val="auto"/>
          <w:lang w:val="en-US" w:eastAsia="zh-CN"/>
        </w:rPr>
        <w:t>年</w:t>
      </w:r>
      <w:r>
        <w:rPr>
          <w:rFonts w:hint="eastAsia"/>
          <w:color w:val="auto"/>
          <w:lang w:val="en-US" w:eastAsia="zh-CN"/>
        </w:rPr>
        <w:t>5</w:t>
      </w:r>
      <w:r>
        <w:rPr>
          <w:rFonts w:hint="default"/>
          <w:color w:val="auto"/>
          <w:lang w:val="en-US" w:eastAsia="zh-CN"/>
        </w:rPr>
        <w:t>月1</w:t>
      </w:r>
      <w:r>
        <w:rPr>
          <w:rFonts w:hint="eastAsia"/>
          <w:color w:val="auto"/>
          <w:lang w:val="en-US" w:eastAsia="zh-CN"/>
        </w:rPr>
        <w:t>1</w:t>
      </w:r>
      <w:r>
        <w:rPr>
          <w:rFonts w:hint="default"/>
          <w:color w:val="auto"/>
          <w:lang w:val="en-US" w:eastAsia="zh-CN"/>
        </w:rPr>
        <w:t>日）</w:t>
      </w:r>
    </w:p>
    <w:p w14:paraId="74EA6885">
      <w:pPr>
        <w:rPr>
          <w:rFonts w:hint="default"/>
          <w:color w:val="auto"/>
          <w:lang w:val="en-US" w:eastAsia="zh-CN"/>
        </w:rPr>
      </w:pPr>
      <w:r>
        <w:rPr>
          <w:rFonts w:hint="default"/>
          <w:color w:val="auto"/>
          <w:lang w:val="en-US" w:eastAsia="zh-CN"/>
        </w:rPr>
        <w:t>《特种作业人员安全技术培训考核管理规定》（</w:t>
      </w:r>
      <w:r>
        <w:rPr>
          <w:rFonts w:hint="eastAsia"/>
          <w:color w:val="auto"/>
          <w:lang w:val="en-US" w:eastAsia="zh-CN"/>
        </w:rPr>
        <w:t>应急部令</w:t>
      </w:r>
      <w:r>
        <w:rPr>
          <w:rFonts w:hint="default"/>
          <w:color w:val="auto"/>
          <w:lang w:val="en-US" w:eastAsia="zh-CN"/>
        </w:rPr>
        <w:t>〔20</w:t>
      </w:r>
      <w:r>
        <w:rPr>
          <w:rFonts w:hint="eastAsia"/>
          <w:color w:val="auto"/>
          <w:lang w:val="en-US" w:eastAsia="zh-CN"/>
        </w:rPr>
        <w:t>25</w:t>
      </w:r>
      <w:r>
        <w:rPr>
          <w:rFonts w:hint="default"/>
          <w:color w:val="auto"/>
          <w:lang w:val="en-US" w:eastAsia="zh-CN"/>
        </w:rPr>
        <w:t>〕第</w:t>
      </w:r>
      <w:r>
        <w:rPr>
          <w:rFonts w:hint="eastAsia"/>
          <w:color w:val="auto"/>
          <w:lang w:val="en-US" w:eastAsia="zh-CN"/>
        </w:rPr>
        <w:t>19</w:t>
      </w:r>
      <w:r>
        <w:rPr>
          <w:rFonts w:hint="default"/>
          <w:color w:val="auto"/>
          <w:lang w:val="en-US" w:eastAsia="zh-CN"/>
        </w:rPr>
        <w:t>号，自2026年6月1日起施行）</w:t>
      </w:r>
    </w:p>
    <w:p w14:paraId="41A31A03">
      <w:pPr>
        <w:rPr>
          <w:rFonts w:hint="eastAsia" w:eastAsia="宋体"/>
          <w:color w:val="auto"/>
          <w:lang w:val="en-US" w:eastAsia="zh-CN"/>
        </w:rPr>
      </w:pPr>
      <w:r>
        <w:rPr>
          <w:rFonts w:hint="default"/>
          <w:color w:val="auto"/>
          <w:lang w:val="en-US" w:eastAsia="zh-CN"/>
        </w:rPr>
        <w:t>《江西省人民政府关于进一步加强企业安全生产工作的实施意见》（赣府发〔2010〕32号）</w:t>
      </w:r>
    </w:p>
    <w:p w14:paraId="36C4DB02">
      <w:pPr>
        <w:rPr>
          <w:rFonts w:hint="default" w:ascii="Times New Roman" w:hAnsi="Times New Roman" w:eastAsia="宋体"/>
          <w:color w:val="auto"/>
          <w:lang w:val="en-US" w:eastAsia="zh-CN"/>
        </w:rPr>
      </w:pPr>
      <w:r>
        <w:rPr>
          <w:rFonts w:hint="default" w:ascii="Times New Roman" w:hAnsi="Times New Roman" w:eastAsia="宋体"/>
          <w:color w:val="auto"/>
          <w:lang w:val="en-US" w:eastAsia="zh-CN"/>
        </w:rPr>
        <w:t>《江西省非煤矿矿山企业安全生产许可证实施办法》（赣政令〔2011〕189号发布，经赣政令〔2019〕241号</w:t>
      </w:r>
      <w:r>
        <w:rPr>
          <w:rFonts w:hint="eastAsia"/>
          <w:color w:val="auto"/>
          <w:lang w:val="en-US" w:eastAsia="zh-CN"/>
        </w:rPr>
        <w:t>、</w:t>
      </w:r>
      <w:r>
        <w:rPr>
          <w:rFonts w:hint="default" w:ascii="Times New Roman" w:hAnsi="Times New Roman" w:eastAsia="宋体"/>
          <w:color w:val="auto"/>
          <w:lang w:val="en-US" w:eastAsia="zh-CN"/>
        </w:rPr>
        <w:t>〔20</w:t>
      </w:r>
      <w:r>
        <w:rPr>
          <w:rFonts w:hint="eastAsia"/>
          <w:color w:val="auto"/>
          <w:lang w:val="en-US" w:eastAsia="zh-CN"/>
        </w:rPr>
        <w:t>25</w:t>
      </w:r>
      <w:r>
        <w:rPr>
          <w:rFonts w:hint="default" w:ascii="Times New Roman" w:hAnsi="Times New Roman" w:eastAsia="宋体"/>
          <w:color w:val="auto"/>
          <w:lang w:val="en-US" w:eastAsia="zh-CN"/>
        </w:rPr>
        <w:t>〕2</w:t>
      </w:r>
      <w:r>
        <w:rPr>
          <w:rFonts w:hint="eastAsia"/>
          <w:color w:val="auto"/>
          <w:lang w:val="en-US" w:eastAsia="zh-CN"/>
        </w:rPr>
        <w:t>73</w:t>
      </w:r>
      <w:r>
        <w:rPr>
          <w:rFonts w:hint="default" w:ascii="Times New Roman" w:hAnsi="Times New Roman" w:eastAsia="宋体"/>
          <w:color w:val="auto"/>
          <w:lang w:val="en-US" w:eastAsia="zh-CN"/>
        </w:rPr>
        <w:t>号修正，自2011年3月1日起施行）</w:t>
      </w:r>
    </w:p>
    <w:p w14:paraId="0B7E7E62">
      <w:pPr>
        <w:rPr>
          <w:rFonts w:hint="default"/>
          <w:color w:val="auto"/>
          <w:lang w:val="en-US" w:eastAsia="zh-CN"/>
        </w:rPr>
      </w:pPr>
      <w:r>
        <w:rPr>
          <w:rFonts w:hint="default"/>
          <w:color w:val="auto"/>
          <w:lang w:val="en-US" w:eastAsia="zh-CN"/>
        </w:rPr>
        <w:t>《江西省雷电灾害防御办法》（赣政令〔2012〕197号发布，依次经赣政令〔2015〕219号、赣政令〔2017〕227号、赣政令〔2019〕241号、赣政令〔2023〕261号修正，自2012年3月1日起施行）</w:t>
      </w:r>
    </w:p>
    <w:p w14:paraId="622EB8EC">
      <w:pPr>
        <w:rPr>
          <w:rFonts w:hint="default"/>
          <w:color w:val="auto"/>
          <w:lang w:val="en-US" w:eastAsia="zh-CN"/>
        </w:rPr>
      </w:pPr>
      <w:r>
        <w:rPr>
          <w:rFonts w:hint="default"/>
          <w:color w:val="auto"/>
          <w:lang w:val="en-US" w:eastAsia="zh-CN"/>
        </w:rPr>
        <w:t>《江西省安委会关于加强生产经营单位事故隐患排查治理工作的指导意见》（赣安〔2014〕32号，2014年12月18日）</w:t>
      </w:r>
    </w:p>
    <w:p w14:paraId="1CEAFD5D">
      <w:pPr>
        <w:ind w:firstLine="8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《江西省安监局关于印发江西省非煤矿山领域防范遏制重特大事故工作方案的通知》（赣安监管一字〔2016〕70号，2016年7月7日）</w:t>
      </w:r>
    </w:p>
    <w:p w14:paraId="741DC5A8">
      <w:pPr>
        <w:ind w:firstLine="8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《江西省安全生产委员会关于在全省高危行业领域实施安全生产责任保险制度的指导意见》（赣安〔2017〕22号，2017年10月26日）</w:t>
      </w:r>
    </w:p>
    <w:p w14:paraId="2B8B04E7">
      <w:pPr>
        <w:rPr>
          <w:rFonts w:hint="default"/>
          <w:color w:val="auto"/>
          <w:lang w:val="en-US" w:eastAsia="zh-CN"/>
        </w:rPr>
      </w:pPr>
      <w:r>
        <w:rPr>
          <w:rFonts w:hint="default"/>
          <w:color w:val="auto"/>
          <w:lang w:val="en-US" w:eastAsia="zh-CN"/>
        </w:rPr>
        <w:t>《江西省生产安全事故隐患排查治理办法》（赣政令〔2018〕238号发布，经赣政令〔2021〕250号修正，自2018年12月1日起施行）</w:t>
      </w:r>
    </w:p>
    <w:p w14:paraId="3E86EFB5">
      <w:pPr>
        <w:rPr>
          <w:rFonts w:hint="default"/>
          <w:color w:val="auto"/>
          <w:lang w:val="en-US" w:eastAsia="zh-CN"/>
        </w:rPr>
      </w:pPr>
      <w:r>
        <w:rPr>
          <w:rFonts w:hint="default"/>
          <w:color w:val="auto"/>
          <w:lang w:val="en-US" w:eastAsia="zh-CN"/>
        </w:rPr>
        <w:t>《江西省安全生产培训考核实施细则（暂行）》（赣应急字〔2021〕108号，2021年7月1日）</w:t>
      </w:r>
    </w:p>
    <w:p w14:paraId="112B1072">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《江西省应急管理厅关于做好〈中共中央办公厅 国务院办公厅关于进步加强矿山安全生产工作的意见〉学习宣传贯彻工作的通知》（赣应急字〔2023〕16号，2023年11月17日）</w:t>
      </w:r>
    </w:p>
    <w:p w14:paraId="00F08A0E">
      <w:pPr>
        <w:pStyle w:val="4"/>
        <w:bidi w:val="0"/>
        <w:rPr>
          <w:rFonts w:hint="default"/>
          <w:color w:val="auto"/>
          <w:lang w:val="en-US" w:eastAsia="zh-CN"/>
        </w:rPr>
      </w:pPr>
      <w:bookmarkStart w:id="81" w:name="_Toc21706"/>
      <w:bookmarkStart w:id="82" w:name="_Toc12401"/>
      <w:bookmarkStart w:id="83" w:name="_Toc16037"/>
      <w:bookmarkStart w:id="84" w:name="_Toc3129"/>
      <w:bookmarkStart w:id="85" w:name="_Toc18855"/>
      <w:bookmarkStart w:id="86" w:name="_Toc24696"/>
      <w:r>
        <w:rPr>
          <w:rFonts w:hint="default"/>
          <w:color w:val="auto"/>
          <w:lang w:val="en-US" w:eastAsia="zh-CN"/>
        </w:rPr>
        <w:t>1.3.3 标准、规范</w:t>
      </w:r>
      <w:bookmarkEnd w:id="81"/>
      <w:bookmarkEnd w:id="82"/>
      <w:bookmarkEnd w:id="83"/>
      <w:bookmarkEnd w:id="84"/>
      <w:bookmarkEnd w:id="85"/>
      <w:bookmarkEnd w:id="86"/>
    </w:p>
    <w:p w14:paraId="1487118E">
      <w:pPr>
        <w:rPr>
          <w:rFonts w:hint="default"/>
          <w:color w:val="auto"/>
          <w:lang w:val="en-US" w:eastAsia="zh-CN"/>
        </w:rPr>
      </w:pPr>
      <w:r>
        <w:rPr>
          <w:rFonts w:hint="default"/>
          <w:color w:val="auto"/>
          <w:lang w:val="en-US" w:eastAsia="zh-CN"/>
        </w:rPr>
        <w:t>《建筑灭火器配置设计规范》</w:t>
      </w:r>
      <w:r>
        <w:rPr>
          <w:rFonts w:hint="eastAsia"/>
          <w:color w:val="auto"/>
          <w:lang w:val="en-US" w:eastAsia="zh-CN"/>
        </w:rPr>
        <w:t xml:space="preserve">                       </w:t>
      </w:r>
      <w:r>
        <w:rPr>
          <w:rFonts w:hint="default"/>
          <w:color w:val="auto"/>
          <w:lang w:val="en-US" w:eastAsia="zh-CN"/>
        </w:rPr>
        <w:t>GB50140-2005</w:t>
      </w:r>
    </w:p>
    <w:p w14:paraId="6392B357">
      <w:pPr>
        <w:rPr>
          <w:rFonts w:hint="default"/>
          <w:color w:val="auto"/>
          <w:lang w:val="en-US" w:eastAsia="zh-CN"/>
        </w:rPr>
      </w:pPr>
      <w:r>
        <w:rPr>
          <w:rFonts w:hint="default"/>
          <w:color w:val="auto"/>
          <w:lang w:val="en-US" w:eastAsia="zh-CN"/>
        </w:rPr>
        <w:t>《供配电系统设计规范》</w:t>
      </w:r>
      <w:r>
        <w:rPr>
          <w:rFonts w:hint="eastAsia"/>
          <w:color w:val="auto"/>
          <w:lang w:val="en-US" w:eastAsia="zh-CN"/>
        </w:rPr>
        <w:t xml:space="preserve">                           </w:t>
      </w:r>
      <w:r>
        <w:rPr>
          <w:rFonts w:hint="default"/>
          <w:color w:val="auto"/>
          <w:lang w:val="en-US" w:eastAsia="zh-CN"/>
        </w:rPr>
        <w:t>GB50052-2009</w:t>
      </w:r>
    </w:p>
    <w:p w14:paraId="11E91C59">
      <w:pPr>
        <w:bidi w:val="0"/>
        <w:rPr>
          <w:rFonts w:hint="default"/>
          <w:color w:val="auto"/>
          <w:lang w:val="en-US" w:eastAsia="zh-CN"/>
        </w:rPr>
      </w:pPr>
      <w:r>
        <w:rPr>
          <w:rFonts w:hint="eastAsia"/>
          <w:color w:val="auto"/>
          <w:lang w:val="en-US" w:eastAsia="zh-CN"/>
        </w:rPr>
        <w:t>《建筑物防雷设计规范》                           GB50057-2010</w:t>
      </w:r>
    </w:p>
    <w:p w14:paraId="76E97C21">
      <w:pPr>
        <w:rPr>
          <w:rFonts w:hint="default"/>
          <w:color w:val="auto"/>
          <w:lang w:val="en-US" w:eastAsia="zh-CN"/>
        </w:rPr>
      </w:pPr>
      <w:r>
        <w:rPr>
          <w:rFonts w:hint="default"/>
          <w:color w:val="auto"/>
          <w:lang w:val="en-US" w:eastAsia="zh-CN"/>
        </w:rPr>
        <w:t>《低压配电设计规范》</w:t>
      </w:r>
      <w:r>
        <w:rPr>
          <w:rFonts w:hint="eastAsia"/>
          <w:color w:val="auto"/>
          <w:lang w:val="en-US" w:eastAsia="zh-CN"/>
        </w:rPr>
        <w:t xml:space="preserve">                             </w:t>
      </w:r>
      <w:r>
        <w:rPr>
          <w:rFonts w:hint="default"/>
          <w:color w:val="auto"/>
          <w:lang w:val="en-US" w:eastAsia="zh-CN"/>
        </w:rPr>
        <w:t>GB50054-2011</w:t>
      </w:r>
    </w:p>
    <w:p w14:paraId="6A7F76A5">
      <w:pPr>
        <w:bidi w:val="0"/>
        <w:rPr>
          <w:rFonts w:hint="eastAsia"/>
          <w:color w:val="auto"/>
          <w:lang w:val="en-US" w:eastAsia="zh-CN"/>
        </w:rPr>
      </w:pPr>
      <w:r>
        <w:rPr>
          <w:rFonts w:hint="eastAsia"/>
          <w:color w:val="auto"/>
          <w:lang w:val="en-US" w:eastAsia="zh-CN"/>
        </w:rPr>
        <w:t>《工业企业总平面设计规范》                       GB50187-2012</w:t>
      </w:r>
    </w:p>
    <w:p w14:paraId="5FE605E1">
      <w:pPr>
        <w:bidi w:val="0"/>
        <w:rPr>
          <w:rFonts w:hint="eastAsia"/>
          <w:color w:val="auto"/>
          <w:lang w:val="en-US" w:eastAsia="zh-CN"/>
        </w:rPr>
      </w:pPr>
      <w:r>
        <w:rPr>
          <w:rFonts w:hint="eastAsia"/>
          <w:color w:val="auto"/>
          <w:lang w:val="en-US" w:eastAsia="zh-CN"/>
        </w:rPr>
        <w:t>《建筑设计防火规范（2018年版）》                 GB50016-2014</w:t>
      </w:r>
    </w:p>
    <w:p w14:paraId="18126928">
      <w:pPr>
        <w:rPr>
          <w:rFonts w:hint="default"/>
          <w:color w:val="auto"/>
          <w:lang w:val="en-US" w:eastAsia="zh-CN"/>
        </w:rPr>
      </w:pPr>
      <w:r>
        <w:rPr>
          <w:rFonts w:hint="default"/>
          <w:color w:val="auto"/>
          <w:lang w:val="en-US" w:eastAsia="zh-CN"/>
        </w:rPr>
        <w:t>《中国地震动参数区划图》</w:t>
      </w:r>
      <w:r>
        <w:rPr>
          <w:rFonts w:hint="eastAsia"/>
          <w:color w:val="auto"/>
          <w:lang w:val="en-US" w:eastAsia="zh-CN"/>
        </w:rPr>
        <w:t xml:space="preserve">                         </w:t>
      </w:r>
      <w:r>
        <w:rPr>
          <w:rFonts w:hint="default"/>
          <w:color w:val="auto"/>
          <w:lang w:val="en-US" w:eastAsia="zh-CN"/>
        </w:rPr>
        <w:t>GB18306-2015</w:t>
      </w:r>
    </w:p>
    <w:p w14:paraId="2C9928A0">
      <w:pPr>
        <w:rPr>
          <w:rFonts w:hint="default"/>
          <w:color w:val="auto"/>
          <w:lang w:val="en-US" w:eastAsia="zh-CN"/>
        </w:rPr>
      </w:pPr>
      <w:r>
        <w:rPr>
          <w:rFonts w:hint="default"/>
          <w:color w:val="auto"/>
          <w:lang w:val="en-US" w:eastAsia="zh-CN"/>
        </w:rPr>
        <w:t>《爆破安全规程》</w:t>
      </w:r>
      <w:r>
        <w:rPr>
          <w:rFonts w:hint="eastAsia"/>
          <w:color w:val="auto"/>
          <w:lang w:val="en-US" w:eastAsia="zh-CN"/>
        </w:rPr>
        <w:t xml:space="preserve">                        </w:t>
      </w:r>
      <w:r>
        <w:rPr>
          <w:rFonts w:hint="default"/>
          <w:color w:val="auto"/>
          <w:lang w:val="en-US" w:eastAsia="zh-CN"/>
        </w:rPr>
        <w:t>GB6722-2014/XG1-2016</w:t>
      </w:r>
    </w:p>
    <w:p w14:paraId="0F45196F">
      <w:pPr>
        <w:rPr>
          <w:rFonts w:hint="default"/>
          <w:color w:val="auto"/>
          <w:lang w:val="en-US" w:eastAsia="zh-CN"/>
        </w:rPr>
      </w:pPr>
      <w:r>
        <w:rPr>
          <w:rFonts w:hint="default"/>
          <w:color w:val="auto"/>
          <w:lang w:val="en-US" w:eastAsia="zh-CN"/>
        </w:rPr>
        <w:t>《危险化学品重大危险源辨识》</w:t>
      </w:r>
      <w:r>
        <w:rPr>
          <w:rFonts w:hint="eastAsia"/>
          <w:color w:val="auto"/>
          <w:lang w:val="en-US" w:eastAsia="zh-CN"/>
        </w:rPr>
        <w:t xml:space="preserve">                     </w:t>
      </w:r>
      <w:r>
        <w:rPr>
          <w:rFonts w:hint="default"/>
          <w:color w:val="auto"/>
          <w:lang w:val="en-US" w:eastAsia="zh-CN"/>
        </w:rPr>
        <w:t>GB18218-2018</w:t>
      </w:r>
    </w:p>
    <w:p w14:paraId="7C70C24D">
      <w:pPr>
        <w:rPr>
          <w:rFonts w:hint="default"/>
          <w:color w:val="auto"/>
          <w:lang w:val="en-US" w:eastAsia="zh-CN"/>
        </w:rPr>
      </w:pPr>
      <w:r>
        <w:rPr>
          <w:rFonts w:hint="default"/>
          <w:color w:val="auto"/>
          <w:lang w:val="en-US" w:eastAsia="zh-CN"/>
        </w:rPr>
        <w:t>《金属非金属矿山安全规程》</w:t>
      </w:r>
      <w:r>
        <w:rPr>
          <w:rFonts w:hint="eastAsia"/>
          <w:color w:val="auto"/>
          <w:lang w:val="en-US" w:eastAsia="zh-CN"/>
        </w:rPr>
        <w:t xml:space="preserve">                       </w:t>
      </w:r>
      <w:r>
        <w:rPr>
          <w:rFonts w:hint="default"/>
          <w:color w:val="auto"/>
          <w:lang w:val="en-US" w:eastAsia="zh-CN"/>
        </w:rPr>
        <w:t>GB16423-2020</w:t>
      </w:r>
    </w:p>
    <w:p w14:paraId="31CF0ADC">
      <w:pPr>
        <w:rPr>
          <w:rFonts w:hint="default"/>
          <w:color w:val="auto"/>
          <w:lang w:val="en-US" w:eastAsia="zh-CN"/>
        </w:rPr>
      </w:pPr>
      <w:r>
        <w:rPr>
          <w:rFonts w:hint="default"/>
          <w:color w:val="auto"/>
          <w:lang w:val="en-US" w:eastAsia="zh-CN"/>
        </w:rPr>
        <w:t>《矿山电力设计标准》</w:t>
      </w:r>
      <w:r>
        <w:rPr>
          <w:rFonts w:hint="eastAsia"/>
          <w:color w:val="auto"/>
          <w:lang w:val="en-US" w:eastAsia="zh-CN"/>
        </w:rPr>
        <w:t xml:space="preserve">                             </w:t>
      </w:r>
      <w:r>
        <w:rPr>
          <w:rFonts w:hint="default"/>
          <w:color w:val="auto"/>
          <w:lang w:val="en-US" w:eastAsia="zh-CN"/>
        </w:rPr>
        <w:t>GB50070-2020</w:t>
      </w:r>
    </w:p>
    <w:p w14:paraId="52F5161E">
      <w:pPr>
        <w:rPr>
          <w:rFonts w:hint="default"/>
          <w:color w:val="auto"/>
          <w:lang w:val="en-US" w:eastAsia="zh-CN"/>
        </w:rPr>
      </w:pPr>
      <w:r>
        <w:rPr>
          <w:rFonts w:hint="default"/>
          <w:color w:val="auto"/>
          <w:lang w:val="en-US" w:eastAsia="zh-CN"/>
        </w:rPr>
        <w:t>《个体防护装备配备规范 第1部分：总则》</w:t>
      </w:r>
      <w:r>
        <w:rPr>
          <w:rFonts w:hint="eastAsia"/>
          <w:color w:val="auto"/>
          <w:lang w:val="en-US" w:eastAsia="zh-CN"/>
        </w:rPr>
        <w:t xml:space="preserve">          </w:t>
      </w:r>
      <w:r>
        <w:rPr>
          <w:rFonts w:hint="default"/>
          <w:color w:val="auto"/>
          <w:lang w:val="en-US" w:eastAsia="zh-CN"/>
        </w:rPr>
        <w:t>GB39800.1-2020</w:t>
      </w:r>
    </w:p>
    <w:p w14:paraId="70180C14">
      <w:pPr>
        <w:rPr>
          <w:rFonts w:hint="default"/>
          <w:color w:val="auto"/>
          <w:lang w:val="en-US" w:eastAsia="zh-CN"/>
        </w:rPr>
      </w:pPr>
      <w:r>
        <w:rPr>
          <w:rFonts w:hint="default"/>
          <w:color w:val="auto"/>
          <w:lang w:val="en-US" w:eastAsia="zh-CN"/>
        </w:rPr>
        <w:t>《个体防护装备配备规范 第4部分：非煤矿山》</w:t>
      </w:r>
      <w:r>
        <w:rPr>
          <w:rFonts w:hint="eastAsia"/>
          <w:color w:val="auto"/>
          <w:lang w:val="en-US" w:eastAsia="zh-CN"/>
        </w:rPr>
        <w:t xml:space="preserve">      </w:t>
      </w:r>
      <w:r>
        <w:rPr>
          <w:rFonts w:hint="default"/>
          <w:color w:val="auto"/>
          <w:lang w:val="en-US" w:eastAsia="zh-CN"/>
        </w:rPr>
        <w:t>GB39800.4-2020</w:t>
      </w:r>
    </w:p>
    <w:p w14:paraId="3AD177A9">
      <w:pPr>
        <w:rPr>
          <w:rFonts w:hint="default"/>
          <w:color w:val="auto"/>
          <w:lang w:val="en-US" w:eastAsia="zh-CN"/>
        </w:rPr>
      </w:pPr>
      <w:r>
        <w:rPr>
          <w:rFonts w:hint="default"/>
          <w:color w:val="auto"/>
          <w:lang w:val="en-US" w:eastAsia="zh-CN"/>
        </w:rPr>
        <w:t>《机械安全 防止上下肢触及危险区的安全距离》</w:t>
      </w:r>
      <w:r>
        <w:rPr>
          <w:rFonts w:hint="eastAsia"/>
          <w:color w:val="auto"/>
          <w:lang w:val="en-US" w:eastAsia="zh-CN"/>
        </w:rPr>
        <w:t xml:space="preserve">      </w:t>
      </w:r>
      <w:r>
        <w:rPr>
          <w:rFonts w:hint="default"/>
          <w:color w:val="auto"/>
          <w:lang w:val="en-US" w:eastAsia="zh-CN"/>
        </w:rPr>
        <w:t>GB23821-2022</w:t>
      </w:r>
    </w:p>
    <w:p w14:paraId="6584081D">
      <w:pPr>
        <w:ind w:left="280" w:leftChars="100" w:firstLine="280" w:firstLineChars="100"/>
        <w:rPr>
          <w:rFonts w:hint="default"/>
          <w:color w:val="auto"/>
          <w:lang w:val="en-US" w:eastAsia="zh-CN"/>
        </w:rPr>
      </w:pPr>
      <w:r>
        <w:rPr>
          <w:rFonts w:hint="default"/>
          <w:color w:val="auto"/>
          <w:lang w:val="en-US" w:eastAsia="zh-CN"/>
        </w:rPr>
        <w:t>《生产设备安全卫生设计总则》</w:t>
      </w:r>
      <w:r>
        <w:rPr>
          <w:rFonts w:hint="eastAsia"/>
          <w:color w:val="auto"/>
          <w:lang w:val="en-US" w:eastAsia="zh-CN"/>
        </w:rPr>
        <w:t xml:space="preserve">                      </w:t>
      </w:r>
      <w:r>
        <w:rPr>
          <w:rFonts w:hint="default"/>
          <w:color w:val="auto"/>
          <w:lang w:val="en-US" w:eastAsia="zh-CN"/>
        </w:rPr>
        <w:t>GB5083-2023</w:t>
      </w:r>
    </w:p>
    <w:p w14:paraId="5F756E87">
      <w:pPr>
        <w:rPr>
          <w:rFonts w:hint="default"/>
          <w:color w:val="auto"/>
          <w:lang w:val="en-US" w:eastAsia="zh-CN"/>
        </w:rPr>
      </w:pPr>
      <w:r>
        <w:rPr>
          <w:rFonts w:hint="default"/>
          <w:color w:val="auto"/>
          <w:lang w:val="en-US" w:eastAsia="zh-CN"/>
        </w:rPr>
        <w:t>《国家电气设备安全技术规范》</w:t>
      </w:r>
      <w:r>
        <w:rPr>
          <w:rFonts w:hint="eastAsia"/>
          <w:color w:val="auto"/>
          <w:lang w:val="en-US" w:eastAsia="zh-CN"/>
        </w:rPr>
        <w:t xml:space="preserve">                     </w:t>
      </w:r>
      <w:r>
        <w:rPr>
          <w:rFonts w:hint="default"/>
          <w:color w:val="auto"/>
          <w:lang w:val="en-US" w:eastAsia="zh-CN"/>
        </w:rPr>
        <w:t>GB19517-</w:t>
      </w:r>
      <w:r>
        <w:rPr>
          <w:rFonts w:hint="eastAsia"/>
          <w:color w:val="auto"/>
          <w:lang w:val="en-US" w:eastAsia="zh-CN"/>
        </w:rPr>
        <w:t>2023</w:t>
      </w:r>
    </w:p>
    <w:p w14:paraId="05694E66">
      <w:pPr>
        <w:pStyle w:val="9"/>
        <w:rPr>
          <w:rFonts w:hint="eastAsia" w:cs="Times New Roman"/>
          <w:color w:val="auto"/>
          <w:sz w:val="28"/>
          <w:szCs w:val="28"/>
          <w:lang w:eastAsia="zh-CN"/>
        </w:rPr>
      </w:pPr>
      <w:r>
        <w:rPr>
          <w:rFonts w:hint="eastAsia" w:ascii="Times New Roman" w:hAnsi="Times New Roman" w:eastAsia="宋体" w:cs="Times New Roman"/>
          <w:color w:val="auto"/>
          <w:sz w:val="28"/>
          <w:szCs w:val="28"/>
          <w:lang w:eastAsia="zh-CN"/>
        </w:rPr>
        <w:t>《</w:t>
      </w:r>
      <w:r>
        <w:rPr>
          <w:rFonts w:hint="eastAsia" w:ascii="Times New Roman" w:hAnsi="Times New Roman" w:eastAsia="宋体" w:cs="Times New Roman"/>
          <w:color w:val="auto"/>
          <w:sz w:val="28"/>
          <w:szCs w:val="28"/>
        </w:rPr>
        <w:t>安全色</w:t>
      </w:r>
      <w:r>
        <w:rPr>
          <w:rFonts w:hint="eastAsia" w:cs="Times New Roman"/>
          <w:color w:val="auto"/>
          <w:sz w:val="28"/>
          <w:szCs w:val="28"/>
          <w:lang w:val="en-US" w:eastAsia="zh-CN"/>
        </w:rPr>
        <w:t>和</w:t>
      </w:r>
      <w:r>
        <w:rPr>
          <w:rFonts w:hint="eastAsia" w:ascii="Times New Roman" w:hAnsi="Times New Roman" w:eastAsia="宋体" w:cs="Times New Roman"/>
          <w:color w:val="auto"/>
          <w:sz w:val="28"/>
          <w:szCs w:val="28"/>
        </w:rPr>
        <w:t>安全标志</w:t>
      </w:r>
      <w:r>
        <w:rPr>
          <w:rFonts w:hint="eastAsia" w:ascii="Times New Roman" w:hAnsi="Times New Roman" w:eastAsia="宋体" w:cs="Times New Roman"/>
          <w:color w:val="auto"/>
          <w:sz w:val="28"/>
          <w:szCs w:val="28"/>
          <w:lang w:val="en-US" w:eastAsia="zh-CN"/>
        </w:rPr>
        <w:t xml:space="preserve">》                              </w:t>
      </w:r>
      <w:r>
        <w:rPr>
          <w:rFonts w:hint="eastAsia" w:cs="Times New Roman"/>
          <w:color w:val="auto"/>
          <w:sz w:val="28"/>
          <w:szCs w:val="28"/>
          <w:lang w:eastAsia="zh-CN"/>
        </w:rPr>
        <w:t>GB2894-2025</w:t>
      </w:r>
    </w:p>
    <w:p w14:paraId="07ED42E3">
      <w:pPr>
        <w:bidi w:val="0"/>
        <w:rPr>
          <w:rFonts w:hint="default"/>
          <w:color w:val="auto"/>
          <w:lang w:val="en-US" w:eastAsia="zh-CN"/>
        </w:rPr>
      </w:pPr>
      <w:r>
        <w:rPr>
          <w:rFonts w:hint="eastAsia"/>
          <w:color w:val="auto"/>
          <w:lang w:val="en-US" w:eastAsia="zh-CN"/>
        </w:rPr>
        <w:t>《生产过程安全基本要求》                         GB12801-2025</w:t>
      </w:r>
    </w:p>
    <w:p w14:paraId="3B358010">
      <w:pPr>
        <w:bidi w:val="0"/>
        <w:rPr>
          <w:rFonts w:hint="eastAsia"/>
          <w:color w:val="auto"/>
          <w:lang w:val="en-US" w:eastAsia="zh-CN"/>
        </w:rPr>
      </w:pPr>
      <w:r>
        <w:rPr>
          <w:rFonts w:hint="eastAsia"/>
          <w:color w:val="auto"/>
          <w:lang w:val="en-US" w:eastAsia="zh-CN"/>
        </w:rPr>
        <w:t>《生产安全事故分类与编码》                        GB6441-2025</w:t>
      </w:r>
    </w:p>
    <w:p w14:paraId="6ED04447">
      <w:pPr>
        <w:bidi w:val="0"/>
        <w:rPr>
          <w:rFonts w:hint="eastAsia" w:cs="Times New Roman"/>
          <w:color w:val="auto"/>
          <w:sz w:val="28"/>
          <w:szCs w:val="28"/>
          <w:lang w:val="en-US" w:eastAsia="zh-CN"/>
        </w:rPr>
      </w:pPr>
      <w:r>
        <w:rPr>
          <w:rFonts w:hint="eastAsia"/>
          <w:color w:val="auto"/>
          <w:lang w:val="en-US" w:eastAsia="zh-CN"/>
        </w:rPr>
        <w:t>《高处作业分级》                                  GB3608-2025</w:t>
      </w:r>
    </w:p>
    <w:p w14:paraId="536A2EBF">
      <w:pPr>
        <w:bidi w:val="0"/>
        <w:rPr>
          <w:rFonts w:hint="default"/>
          <w:color w:val="auto"/>
          <w:lang w:val="en-US" w:eastAsia="zh-CN"/>
        </w:rPr>
      </w:pPr>
      <w:r>
        <w:rPr>
          <w:rFonts w:hint="default"/>
          <w:color w:val="auto"/>
          <w:lang w:val="en-US" w:eastAsia="zh-CN"/>
        </w:rPr>
        <w:t>《机械设备防护罩安全要求》                      GB/T8196-2003</w:t>
      </w:r>
    </w:p>
    <w:p w14:paraId="41478599">
      <w:pPr>
        <w:rPr>
          <w:rFonts w:hint="default"/>
          <w:color w:val="auto"/>
          <w:lang w:val="en-US" w:eastAsia="zh-CN"/>
        </w:rPr>
      </w:pPr>
      <w:r>
        <w:rPr>
          <w:rFonts w:hint="default"/>
          <w:color w:val="auto"/>
          <w:lang w:val="en-US" w:eastAsia="zh-CN"/>
        </w:rPr>
        <w:t>《矿山安全术语》</w:t>
      </w:r>
      <w:r>
        <w:rPr>
          <w:rFonts w:hint="eastAsia"/>
          <w:color w:val="auto"/>
          <w:lang w:val="en-US" w:eastAsia="zh-CN"/>
        </w:rPr>
        <w:t xml:space="preserve">                               </w:t>
      </w:r>
      <w:r>
        <w:rPr>
          <w:rFonts w:hint="default"/>
          <w:color w:val="auto"/>
          <w:lang w:val="en-US" w:eastAsia="zh-CN"/>
        </w:rPr>
        <w:t>GB/T15259-2008</w:t>
      </w:r>
    </w:p>
    <w:p w14:paraId="7B0CEBDF">
      <w:pPr>
        <w:rPr>
          <w:rFonts w:hint="default"/>
          <w:color w:val="auto"/>
          <w:lang w:val="en-US" w:eastAsia="zh-CN"/>
        </w:rPr>
      </w:pPr>
      <w:r>
        <w:rPr>
          <w:rFonts w:hint="default"/>
          <w:color w:val="auto"/>
          <w:lang w:val="en-US" w:eastAsia="zh-CN"/>
        </w:rPr>
        <w:t>《矿山安全标志》</w:t>
      </w:r>
      <w:r>
        <w:rPr>
          <w:rFonts w:hint="eastAsia"/>
          <w:color w:val="auto"/>
          <w:lang w:val="en-US" w:eastAsia="zh-CN"/>
        </w:rPr>
        <w:t xml:space="preserve">                               </w:t>
      </w:r>
      <w:r>
        <w:rPr>
          <w:rFonts w:hint="default"/>
          <w:color w:val="auto"/>
          <w:lang w:val="en-US" w:eastAsia="zh-CN"/>
        </w:rPr>
        <w:t>GB/T14161-2008</w:t>
      </w:r>
    </w:p>
    <w:p w14:paraId="7BE0D89A">
      <w:pPr>
        <w:rPr>
          <w:rFonts w:hint="default"/>
          <w:color w:val="auto"/>
          <w:lang w:val="en-US" w:eastAsia="zh-CN"/>
        </w:rPr>
      </w:pPr>
      <w:r>
        <w:rPr>
          <w:rFonts w:hint="default"/>
          <w:color w:val="auto"/>
          <w:lang w:val="en-US" w:eastAsia="zh-CN"/>
        </w:rPr>
        <w:t>《用电安全导则》</w:t>
      </w:r>
      <w:r>
        <w:rPr>
          <w:rFonts w:hint="eastAsia"/>
          <w:color w:val="auto"/>
          <w:lang w:val="en-US" w:eastAsia="zh-CN"/>
        </w:rPr>
        <w:t xml:space="preserve">                               </w:t>
      </w:r>
      <w:r>
        <w:rPr>
          <w:rFonts w:hint="default"/>
          <w:color w:val="auto"/>
          <w:lang w:val="en-US" w:eastAsia="zh-CN"/>
        </w:rPr>
        <w:t>GB/T13869-20</w:t>
      </w:r>
      <w:r>
        <w:rPr>
          <w:rFonts w:hint="eastAsia"/>
          <w:color w:val="auto"/>
          <w:lang w:val="en-US" w:eastAsia="zh-CN"/>
        </w:rPr>
        <w:t>17</w:t>
      </w:r>
    </w:p>
    <w:p w14:paraId="231F8B59">
      <w:pPr>
        <w:rPr>
          <w:rFonts w:hint="default"/>
          <w:color w:val="auto"/>
          <w:lang w:val="en-US" w:eastAsia="zh-CN"/>
        </w:rPr>
      </w:pPr>
      <w:r>
        <w:rPr>
          <w:rFonts w:hint="default"/>
          <w:color w:val="auto"/>
          <w:lang w:val="en-US" w:eastAsia="zh-CN"/>
        </w:rPr>
        <w:t>《生产经营单位生产安全事故应急预案编制导则》</w:t>
      </w:r>
      <w:r>
        <w:rPr>
          <w:rFonts w:hint="eastAsia"/>
          <w:color w:val="auto"/>
          <w:lang w:val="en-US" w:eastAsia="zh-CN"/>
        </w:rPr>
        <w:t xml:space="preserve">   </w:t>
      </w:r>
      <w:r>
        <w:rPr>
          <w:rFonts w:hint="default"/>
          <w:color w:val="auto"/>
          <w:lang w:val="en-US" w:eastAsia="zh-CN"/>
        </w:rPr>
        <w:t>GB/T29639-2020</w:t>
      </w:r>
    </w:p>
    <w:p w14:paraId="2ACA8ACA">
      <w:pPr>
        <w:rPr>
          <w:rFonts w:hint="default"/>
          <w:color w:val="auto"/>
          <w:lang w:val="en-US" w:eastAsia="zh-CN"/>
        </w:rPr>
      </w:pPr>
      <w:r>
        <w:rPr>
          <w:rFonts w:hint="default"/>
          <w:color w:val="auto"/>
          <w:lang w:val="en-US" w:eastAsia="zh-CN"/>
        </w:rPr>
        <w:t>《生产过程危险和有害因素分类与代码》</w:t>
      </w:r>
      <w:r>
        <w:rPr>
          <w:rFonts w:hint="eastAsia"/>
          <w:color w:val="auto"/>
          <w:lang w:val="en-US" w:eastAsia="zh-CN"/>
        </w:rPr>
        <w:t xml:space="preserve">           </w:t>
      </w:r>
      <w:r>
        <w:rPr>
          <w:rFonts w:hint="default"/>
          <w:color w:val="auto"/>
          <w:lang w:val="en-US" w:eastAsia="zh-CN"/>
        </w:rPr>
        <w:t>GB/T 13861-2022</w:t>
      </w:r>
    </w:p>
    <w:p w14:paraId="520C0132">
      <w:pPr>
        <w:rPr>
          <w:rFonts w:hint="default"/>
          <w:color w:val="auto"/>
          <w:lang w:val="en-US" w:eastAsia="zh-CN"/>
        </w:rPr>
      </w:pPr>
      <w:r>
        <w:rPr>
          <w:rFonts w:hint="default"/>
          <w:color w:val="auto"/>
          <w:lang w:val="en-US" w:eastAsia="zh-CN"/>
        </w:rPr>
        <w:t>《建筑照明设计标准》</w:t>
      </w:r>
      <w:r>
        <w:rPr>
          <w:rFonts w:hint="eastAsia"/>
          <w:color w:val="auto"/>
          <w:lang w:val="en-US" w:eastAsia="zh-CN"/>
        </w:rPr>
        <w:t xml:space="preserve">                           </w:t>
      </w:r>
      <w:r>
        <w:rPr>
          <w:rFonts w:hint="default"/>
          <w:color w:val="auto"/>
          <w:lang w:val="en-US" w:eastAsia="zh-CN"/>
        </w:rPr>
        <w:t>GB/T 50034-2024</w:t>
      </w:r>
    </w:p>
    <w:p w14:paraId="39EA006A">
      <w:pPr>
        <w:rPr>
          <w:rFonts w:hint="default"/>
          <w:color w:val="auto"/>
          <w:lang w:val="en-US" w:eastAsia="zh-CN"/>
        </w:rPr>
      </w:pPr>
      <w:r>
        <w:rPr>
          <w:rFonts w:hint="default"/>
          <w:color w:val="auto"/>
          <w:lang w:val="en-US" w:eastAsia="zh-CN"/>
        </w:rPr>
        <w:t>《厂矿道路设计规范》</w:t>
      </w:r>
      <w:r>
        <w:rPr>
          <w:rFonts w:hint="eastAsia"/>
          <w:color w:val="auto"/>
          <w:lang w:val="en-US" w:eastAsia="zh-CN"/>
        </w:rPr>
        <w:t xml:space="preserve">                               </w:t>
      </w:r>
      <w:r>
        <w:rPr>
          <w:rFonts w:hint="default"/>
          <w:color w:val="auto"/>
          <w:lang w:val="en-US" w:eastAsia="zh-CN"/>
        </w:rPr>
        <w:t>GBJ22-1987</w:t>
      </w:r>
    </w:p>
    <w:p w14:paraId="5A4DDF20">
      <w:pPr>
        <w:rPr>
          <w:rFonts w:hint="default"/>
          <w:color w:val="auto"/>
          <w:lang w:val="en-US" w:eastAsia="zh-CN"/>
        </w:rPr>
      </w:pPr>
      <w:r>
        <w:rPr>
          <w:rFonts w:hint="default"/>
          <w:color w:val="auto"/>
          <w:lang w:val="en-US" w:eastAsia="zh-CN"/>
        </w:rPr>
        <w:t>《</w:t>
      </w:r>
      <w:r>
        <w:rPr>
          <w:rFonts w:hint="eastAsia"/>
          <w:color w:val="auto"/>
          <w:lang w:val="en-US" w:eastAsia="zh-CN"/>
        </w:rPr>
        <w:t>工作</w:t>
      </w:r>
      <w:r>
        <w:rPr>
          <w:rFonts w:hint="default"/>
          <w:color w:val="auto"/>
          <w:lang w:val="en-US" w:eastAsia="zh-CN"/>
        </w:rPr>
        <w:t>场所职业病危害警示标识》</w:t>
      </w:r>
      <w:r>
        <w:rPr>
          <w:rFonts w:hint="eastAsia"/>
          <w:color w:val="auto"/>
          <w:lang w:val="en-US" w:eastAsia="zh-CN"/>
        </w:rPr>
        <w:t xml:space="preserve">                    </w:t>
      </w:r>
      <w:r>
        <w:rPr>
          <w:rFonts w:hint="default"/>
          <w:color w:val="auto"/>
          <w:lang w:val="en-US" w:eastAsia="zh-CN"/>
        </w:rPr>
        <w:t>GBZ158-2003</w:t>
      </w:r>
    </w:p>
    <w:p w14:paraId="14F17407">
      <w:pPr>
        <w:rPr>
          <w:rFonts w:hint="default"/>
          <w:color w:val="auto"/>
          <w:lang w:val="en-US" w:eastAsia="zh-CN"/>
        </w:rPr>
      </w:pPr>
      <w:r>
        <w:rPr>
          <w:rFonts w:hint="default"/>
          <w:color w:val="auto"/>
          <w:lang w:val="en-US" w:eastAsia="zh-CN"/>
        </w:rPr>
        <w:t>《工业企业设计卫生标准》</w:t>
      </w:r>
      <w:r>
        <w:rPr>
          <w:rFonts w:hint="eastAsia"/>
          <w:color w:val="auto"/>
          <w:lang w:val="en-US" w:eastAsia="zh-CN"/>
        </w:rPr>
        <w:t xml:space="preserve">                            </w:t>
      </w:r>
      <w:r>
        <w:rPr>
          <w:rFonts w:hint="default"/>
          <w:color w:val="auto"/>
          <w:lang w:val="en-US" w:eastAsia="zh-CN"/>
        </w:rPr>
        <w:t>GBZ1-2010</w:t>
      </w:r>
    </w:p>
    <w:p w14:paraId="45279995">
      <w:pPr>
        <w:rPr>
          <w:rFonts w:hint="default"/>
          <w:color w:val="auto"/>
          <w:lang w:val="en-US" w:eastAsia="zh-CN"/>
        </w:rPr>
      </w:pPr>
      <w:r>
        <w:rPr>
          <w:rFonts w:hint="default"/>
          <w:color w:val="auto"/>
          <w:lang w:val="en-US" w:eastAsia="zh-CN"/>
        </w:rPr>
        <w:t>《工作场所有害因素职业接触限值 第2部分：物理因素》GBZ 2.2-2007</w:t>
      </w:r>
    </w:p>
    <w:p w14:paraId="0838E3C7">
      <w:pPr>
        <w:rPr>
          <w:rFonts w:hint="default"/>
          <w:color w:val="auto"/>
          <w:lang w:val="en-US" w:eastAsia="zh-CN"/>
        </w:rPr>
      </w:pPr>
      <w:r>
        <w:rPr>
          <w:rFonts w:hint="default"/>
          <w:color w:val="auto"/>
          <w:lang w:val="en-US" w:eastAsia="zh-CN"/>
        </w:rPr>
        <w:t>《工作场所空气中粉尘测定 第1部分：总粉尘浓度》GBZ/T 192.1-2007</w:t>
      </w:r>
    </w:p>
    <w:p w14:paraId="028E6E79">
      <w:pPr>
        <w:rPr>
          <w:rFonts w:hint="default"/>
          <w:color w:val="auto"/>
          <w:lang w:val="en-US" w:eastAsia="zh-CN"/>
        </w:rPr>
      </w:pPr>
      <w:r>
        <w:rPr>
          <w:rFonts w:hint="default"/>
          <w:color w:val="auto"/>
          <w:lang w:val="en-US" w:eastAsia="zh-CN"/>
        </w:rPr>
        <w:t>《工作场所有害因素职业接触限值 第1部分：化学有害因素》</w:t>
      </w:r>
    </w:p>
    <w:p w14:paraId="1E85B5FC">
      <w:pPr>
        <w:jc w:val="right"/>
        <w:rPr>
          <w:rFonts w:hint="default"/>
          <w:color w:val="auto"/>
          <w:lang w:val="en-US" w:eastAsia="zh-CN"/>
        </w:rPr>
      </w:pPr>
      <w:r>
        <w:rPr>
          <w:rFonts w:hint="default"/>
          <w:color w:val="auto"/>
          <w:lang w:val="en-US" w:eastAsia="zh-CN"/>
        </w:rPr>
        <w:t>GBZ 2.1-2019/XG2-2024</w:t>
      </w:r>
    </w:p>
    <w:p w14:paraId="5E536497">
      <w:pPr>
        <w:rPr>
          <w:rFonts w:hint="default"/>
          <w:color w:val="auto"/>
          <w:lang w:val="en-US" w:eastAsia="zh-CN"/>
        </w:rPr>
      </w:pPr>
      <w:r>
        <w:rPr>
          <w:rFonts w:hint="default"/>
          <w:color w:val="auto"/>
          <w:lang w:val="en-US" w:eastAsia="zh-CN"/>
        </w:rPr>
        <w:t>《矿用产品安全标志》</w:t>
      </w:r>
      <w:r>
        <w:rPr>
          <w:rFonts w:hint="eastAsia"/>
          <w:color w:val="auto"/>
          <w:lang w:val="en-US" w:eastAsia="zh-CN"/>
        </w:rPr>
        <w:t xml:space="preserve">                              </w:t>
      </w:r>
      <w:r>
        <w:rPr>
          <w:rFonts w:hint="default"/>
          <w:color w:val="auto"/>
          <w:lang w:val="en-US" w:eastAsia="zh-CN"/>
        </w:rPr>
        <w:t>AQ1043-2007</w:t>
      </w:r>
    </w:p>
    <w:p w14:paraId="4C83104F">
      <w:pPr>
        <w:rPr>
          <w:rFonts w:hint="default"/>
          <w:color w:val="auto"/>
          <w:lang w:val="en-US" w:eastAsia="zh-CN"/>
        </w:rPr>
      </w:pPr>
      <w:r>
        <w:rPr>
          <w:rFonts w:hint="default"/>
          <w:color w:val="auto"/>
          <w:lang w:val="en-US" w:eastAsia="zh-CN"/>
        </w:rPr>
        <w:t>《安全评价通则》</w:t>
      </w:r>
      <w:r>
        <w:rPr>
          <w:rFonts w:hint="eastAsia"/>
          <w:color w:val="auto"/>
          <w:lang w:val="en-US" w:eastAsia="zh-CN"/>
        </w:rPr>
        <w:t xml:space="preserve">                                  </w:t>
      </w:r>
      <w:r>
        <w:rPr>
          <w:rFonts w:hint="default"/>
          <w:color w:val="auto"/>
          <w:lang w:val="en-US" w:eastAsia="zh-CN"/>
        </w:rPr>
        <w:t>AQ8001-2007</w:t>
      </w:r>
    </w:p>
    <w:p w14:paraId="40E5846F">
      <w:pPr>
        <w:rPr>
          <w:rFonts w:hint="default"/>
          <w:color w:val="auto"/>
          <w:lang w:val="en-US" w:eastAsia="zh-CN"/>
        </w:rPr>
      </w:pPr>
      <w:r>
        <w:rPr>
          <w:rFonts w:hint="default"/>
          <w:color w:val="auto"/>
          <w:lang w:val="en-US" w:eastAsia="zh-CN"/>
        </w:rPr>
        <w:t>《企业安全文化建设导则》</w:t>
      </w:r>
      <w:r>
        <w:rPr>
          <w:rFonts w:hint="eastAsia"/>
          <w:color w:val="auto"/>
          <w:lang w:val="en-US" w:eastAsia="zh-CN"/>
        </w:rPr>
        <w:t xml:space="preserve">                        </w:t>
      </w:r>
      <w:r>
        <w:rPr>
          <w:rFonts w:hint="default"/>
          <w:color w:val="auto"/>
          <w:lang w:val="en-US" w:eastAsia="zh-CN"/>
        </w:rPr>
        <w:t>AQ/T9004-2008</w:t>
      </w:r>
    </w:p>
    <w:p w14:paraId="73FAE842">
      <w:pPr>
        <w:rPr>
          <w:rFonts w:hint="default"/>
          <w:color w:val="auto"/>
          <w:lang w:val="en-US" w:eastAsia="zh-CN"/>
        </w:rPr>
      </w:pPr>
      <w:r>
        <w:rPr>
          <w:rFonts w:hint="eastAsia"/>
          <w:color w:val="auto"/>
          <w:lang w:val="en-US" w:eastAsia="zh-CN"/>
        </w:rPr>
        <w:t>《</w:t>
      </w:r>
      <w:r>
        <w:rPr>
          <w:rFonts w:hint="eastAsia" w:ascii="宋体" w:hAnsi="宋体" w:eastAsia="宋体" w:cs="宋体"/>
          <w:bCs/>
          <w:snapToGrid/>
          <w:color w:val="auto"/>
          <w:kern w:val="2"/>
          <w:sz w:val="28"/>
          <w:szCs w:val="28"/>
          <w:lang w:val="en-US" w:eastAsia="zh-CN" w:bidi="ar-SA"/>
        </w:rPr>
        <w:t>金属非金属露天矿山在用矿用自卸汽车安全检验规范</w:t>
      </w:r>
      <w:r>
        <w:rPr>
          <w:rFonts w:hint="eastAsia"/>
          <w:color w:val="auto"/>
          <w:lang w:val="en-US" w:eastAsia="zh-CN"/>
        </w:rPr>
        <w:t>》</w:t>
      </w:r>
      <w:r>
        <w:rPr>
          <w:rFonts w:hint="default"/>
          <w:color w:val="auto"/>
          <w:lang w:val="en-US" w:eastAsia="zh-CN"/>
        </w:rPr>
        <w:t>AQ</w:t>
      </w:r>
      <w:r>
        <w:rPr>
          <w:rFonts w:hint="eastAsia"/>
          <w:color w:val="auto"/>
          <w:lang w:val="en-US" w:eastAsia="zh-CN"/>
        </w:rPr>
        <w:t>2070</w:t>
      </w:r>
      <w:r>
        <w:rPr>
          <w:rFonts w:hint="default"/>
          <w:color w:val="auto"/>
          <w:lang w:val="en-US" w:eastAsia="zh-CN"/>
        </w:rPr>
        <w:t>-20</w:t>
      </w:r>
      <w:r>
        <w:rPr>
          <w:rFonts w:hint="eastAsia"/>
          <w:color w:val="auto"/>
          <w:lang w:val="en-US" w:eastAsia="zh-CN"/>
        </w:rPr>
        <w:t>10</w:t>
      </w:r>
    </w:p>
    <w:p w14:paraId="3FF3C462">
      <w:pPr>
        <w:rPr>
          <w:rFonts w:hint="default"/>
          <w:color w:val="auto"/>
          <w:lang w:val="en-US" w:eastAsia="zh-CN"/>
        </w:rPr>
      </w:pPr>
      <w:r>
        <w:rPr>
          <w:rFonts w:hint="eastAsia"/>
          <w:color w:val="auto"/>
          <w:lang w:val="en-US" w:eastAsia="zh-CN"/>
        </w:rPr>
        <w:t xml:space="preserve">《金属非金属矿山在用设备设施安全检测检验目录》  </w:t>
      </w:r>
      <w:r>
        <w:rPr>
          <w:rFonts w:hint="default"/>
          <w:color w:val="auto"/>
          <w:lang w:val="en-US" w:eastAsia="zh-CN"/>
        </w:rPr>
        <w:t>AQ/T</w:t>
      </w:r>
      <w:r>
        <w:rPr>
          <w:rFonts w:hint="eastAsia"/>
          <w:color w:val="auto"/>
          <w:lang w:val="en-US" w:eastAsia="zh-CN"/>
        </w:rPr>
        <w:t>2075</w:t>
      </w:r>
      <w:r>
        <w:rPr>
          <w:rFonts w:hint="default"/>
          <w:color w:val="auto"/>
          <w:lang w:val="en-US" w:eastAsia="zh-CN"/>
        </w:rPr>
        <w:t>-20</w:t>
      </w:r>
      <w:r>
        <w:rPr>
          <w:rFonts w:hint="eastAsia"/>
          <w:color w:val="auto"/>
          <w:lang w:val="en-US" w:eastAsia="zh-CN"/>
        </w:rPr>
        <w:t>19</w:t>
      </w:r>
    </w:p>
    <w:p w14:paraId="01A0652E">
      <w:pPr>
        <w:rPr>
          <w:rFonts w:hint="eastAsia"/>
          <w:color w:val="auto"/>
          <w:lang w:val="en-US" w:eastAsia="zh-CN"/>
        </w:rPr>
      </w:pPr>
      <w:r>
        <w:rPr>
          <w:rFonts w:hint="default"/>
          <w:color w:val="auto"/>
          <w:lang w:val="en-US" w:eastAsia="zh-CN"/>
        </w:rPr>
        <w:t>《生产安全事故应急演练基本规范》</w:t>
      </w:r>
      <w:r>
        <w:rPr>
          <w:rFonts w:hint="eastAsia"/>
          <w:color w:val="auto"/>
          <w:lang w:val="en-US" w:eastAsia="zh-CN"/>
        </w:rPr>
        <w:t xml:space="preserve">                </w:t>
      </w:r>
      <w:r>
        <w:rPr>
          <w:rFonts w:hint="default"/>
          <w:color w:val="auto"/>
          <w:lang w:val="en-US" w:eastAsia="zh-CN"/>
        </w:rPr>
        <w:t>AQ/T9007-20</w:t>
      </w:r>
      <w:r>
        <w:rPr>
          <w:rFonts w:hint="eastAsia"/>
          <w:color w:val="auto"/>
          <w:lang w:val="en-US" w:eastAsia="zh-CN"/>
        </w:rPr>
        <w:t>19</w:t>
      </w:r>
    </w:p>
    <w:p w14:paraId="42F980C6">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《金属非金属矿山安全标准化规范 导则》</w:t>
      </w:r>
      <w:r>
        <w:rPr>
          <w:rFonts w:hint="eastAsia" w:ascii="Times New Roman" w:hAnsi="Times New Roman" w:eastAsia="宋体" w:cs="Times New Roman"/>
          <w:color w:val="auto"/>
          <w:lang w:val="en-US" w:eastAsia="zh-CN"/>
        </w:rPr>
        <w:t xml:space="preserve">         KA</w:t>
      </w:r>
      <w:r>
        <w:rPr>
          <w:rFonts w:hint="default" w:ascii="Times New Roman" w:hAnsi="Times New Roman" w:eastAsia="宋体" w:cs="Times New Roman"/>
          <w:color w:val="auto"/>
          <w:lang w:val="en-US" w:eastAsia="zh-CN"/>
        </w:rPr>
        <w:t>/T2050.1-2016</w:t>
      </w:r>
    </w:p>
    <w:p w14:paraId="7A04CD46">
      <w:pPr>
        <w:pStyle w:val="4"/>
        <w:bidi w:val="0"/>
        <w:rPr>
          <w:rFonts w:hint="default"/>
          <w:color w:val="auto"/>
          <w:lang w:val="en-US" w:eastAsia="zh-CN"/>
        </w:rPr>
      </w:pPr>
      <w:bookmarkStart w:id="87" w:name="_Toc24985"/>
      <w:bookmarkStart w:id="88" w:name="_Toc13951"/>
      <w:bookmarkStart w:id="89" w:name="_Toc29610"/>
      <w:bookmarkStart w:id="90" w:name="_Toc24444"/>
      <w:bookmarkStart w:id="91" w:name="_Toc29255"/>
      <w:bookmarkStart w:id="92" w:name="_Toc730"/>
      <w:r>
        <w:rPr>
          <w:rFonts w:hint="default"/>
          <w:color w:val="auto"/>
          <w:lang w:val="en-US" w:eastAsia="zh-CN"/>
        </w:rPr>
        <w:t>1.3.</w:t>
      </w:r>
      <w:r>
        <w:rPr>
          <w:rFonts w:hint="eastAsia"/>
          <w:color w:val="auto"/>
          <w:lang w:val="en-US" w:eastAsia="zh-CN"/>
        </w:rPr>
        <w:t>4</w:t>
      </w:r>
      <w:r>
        <w:rPr>
          <w:rFonts w:hint="default"/>
          <w:color w:val="auto"/>
          <w:lang w:val="en-US" w:eastAsia="zh-CN"/>
        </w:rPr>
        <w:t xml:space="preserve"> 建设项目技术资料</w:t>
      </w:r>
      <w:bookmarkEnd w:id="87"/>
      <w:bookmarkEnd w:id="88"/>
      <w:bookmarkEnd w:id="89"/>
      <w:bookmarkEnd w:id="90"/>
      <w:bookmarkEnd w:id="91"/>
      <w:bookmarkEnd w:id="92"/>
    </w:p>
    <w:p w14:paraId="0CA57D7F">
      <w:pPr>
        <w:rPr>
          <w:rFonts w:hint="eastAsia"/>
          <w:color w:val="auto"/>
          <w:lang w:val="en-US" w:eastAsia="zh-CN"/>
        </w:rPr>
      </w:pPr>
      <w:r>
        <w:rPr>
          <w:rFonts w:hint="default"/>
          <w:color w:val="auto"/>
          <w:lang w:val="en-US" w:eastAsia="zh-CN"/>
        </w:rPr>
        <w:t>《</w:t>
      </w:r>
      <w:r>
        <w:rPr>
          <w:rFonts w:hint="eastAsia"/>
          <w:color w:val="auto"/>
          <w:lang w:val="en-US" w:eastAsia="zh-CN"/>
        </w:rPr>
        <w:t>江西省鄱阳县响水滩乡禾互山矿区建筑用石料矿储量地质报告</w:t>
      </w:r>
      <w:r>
        <w:rPr>
          <w:rFonts w:hint="default"/>
          <w:color w:val="auto"/>
          <w:lang w:val="en-US" w:eastAsia="zh-CN"/>
        </w:rPr>
        <w:t>》</w:t>
      </w:r>
      <w:r>
        <w:rPr>
          <w:rFonts w:hint="eastAsia"/>
          <w:color w:val="auto"/>
          <w:lang w:val="en-US" w:eastAsia="zh-CN"/>
        </w:rPr>
        <w:t>（江西省地质矿产勘查开发局九一二大队，2018年6月）</w:t>
      </w:r>
    </w:p>
    <w:p w14:paraId="4E657374">
      <w:pPr>
        <w:rPr>
          <w:rFonts w:hint="eastAsia"/>
          <w:color w:val="auto"/>
          <w:lang w:val="en-US" w:eastAsia="zh-CN"/>
        </w:rPr>
      </w:pPr>
      <w:r>
        <w:rPr>
          <w:rFonts w:hint="eastAsia"/>
          <w:color w:val="auto"/>
          <w:lang w:val="en-US" w:eastAsia="zh-CN"/>
        </w:rPr>
        <w:t>《江西省鄱阳县响水滩乡禾互山矿区建筑用石料矿矿产资源开发利用、地质环境恢复治理与土地复垦方案》（江西省天久地矿建设工程院，2018年7月）</w:t>
      </w:r>
    </w:p>
    <w:p w14:paraId="6686B487">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《鄱阳县金义矿产有限公司鄱阳县响水滩乡禾互山建筑用石料矿露天开采</w:t>
      </w:r>
      <w:r>
        <w:rPr>
          <w:rFonts w:hint="eastAsia" w:cs="Times New Roman"/>
          <w:color w:val="auto"/>
          <w:lang w:val="en-US" w:eastAsia="zh-CN"/>
        </w:rPr>
        <w:t>初步设计</w:t>
      </w:r>
      <w:r>
        <w:rPr>
          <w:rFonts w:hint="eastAsia" w:ascii="Times New Roman" w:hAnsi="Times New Roman" w:eastAsia="宋体" w:cs="Times New Roman"/>
          <w:color w:val="auto"/>
          <w:lang w:val="en-US" w:eastAsia="zh-CN"/>
        </w:rPr>
        <w:t>》（海湾工程有限公司</w:t>
      </w:r>
      <w:r>
        <w:rPr>
          <w:rFonts w:hint="eastAsia" w:cs="Times New Roman"/>
          <w:color w:val="auto"/>
          <w:lang w:val="en-US" w:eastAsia="zh-CN"/>
        </w:rPr>
        <w:t>，</w:t>
      </w:r>
      <w:r>
        <w:rPr>
          <w:rFonts w:hint="eastAsia" w:ascii="Times New Roman" w:hAnsi="Times New Roman" w:eastAsia="宋体" w:cs="Times New Roman"/>
          <w:color w:val="auto"/>
          <w:lang w:val="en-US" w:eastAsia="zh-CN"/>
        </w:rPr>
        <w:t>2019年3月）</w:t>
      </w:r>
    </w:p>
    <w:p w14:paraId="4B387804">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《鄱阳县金义矿产有限公司鄱阳县响水滩乡禾互山建筑用石料矿露天开采安全设施设计》（海湾工程有限公司</w:t>
      </w:r>
      <w:r>
        <w:rPr>
          <w:rFonts w:hint="eastAsia" w:cs="Times New Roman"/>
          <w:color w:val="auto"/>
          <w:lang w:val="en-US" w:eastAsia="zh-CN"/>
        </w:rPr>
        <w:t>，</w:t>
      </w:r>
      <w:r>
        <w:rPr>
          <w:rFonts w:hint="eastAsia" w:ascii="Times New Roman" w:hAnsi="Times New Roman" w:eastAsia="宋体" w:cs="Times New Roman"/>
          <w:color w:val="auto"/>
          <w:lang w:val="en-US" w:eastAsia="zh-CN"/>
        </w:rPr>
        <w:t>2019年3月）</w:t>
      </w:r>
    </w:p>
    <w:p w14:paraId="2184B977">
      <w:pPr>
        <w:rPr>
          <w:rFonts w:hint="eastAsia" w:ascii="Times New Roman" w:hAnsi="Times New Roman" w:eastAsia="宋体" w:cs="Times New Roman"/>
          <w:color w:val="auto"/>
          <w:lang w:val="en-US" w:eastAsia="zh-CN"/>
        </w:rPr>
      </w:pPr>
      <w:r>
        <w:rPr>
          <w:rFonts w:hint="eastAsia" w:cs="Times New Roman"/>
          <w:color w:val="auto"/>
          <w:lang w:val="en-US" w:eastAsia="zh-CN"/>
        </w:rPr>
        <w:t>《鄱阳县金义矿产有限公司鄱阳县响水滩乡禾互山建筑用石料矿安全现状评价报告》</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江西赣安安全生产科学技术咨询服务中心，20</w:t>
      </w:r>
      <w:r>
        <w:rPr>
          <w:rFonts w:hint="eastAsia" w:ascii="Times New Roman" w:hAnsi="Times New Roman" w:eastAsia="宋体" w:cs="Times New Roman"/>
          <w:color w:val="auto"/>
          <w:lang w:val="en-US" w:eastAsia="zh-CN"/>
        </w:rPr>
        <w:t>20</w:t>
      </w:r>
      <w:r>
        <w:rPr>
          <w:rFonts w:hint="default" w:ascii="Times New Roman" w:hAnsi="Times New Roman" w:eastAsia="宋体" w:cs="Times New Roman"/>
          <w:color w:val="auto"/>
          <w:lang w:val="en-US" w:eastAsia="zh-CN"/>
        </w:rPr>
        <w:t>年</w:t>
      </w:r>
      <w:r>
        <w:rPr>
          <w:rFonts w:hint="eastAsia" w:ascii="Times New Roman" w:hAnsi="Times New Roman" w:eastAsia="宋体" w:cs="Times New Roman"/>
          <w:color w:val="auto"/>
          <w:lang w:val="en-US" w:eastAsia="zh-CN"/>
        </w:rPr>
        <w:t>3</w:t>
      </w:r>
      <w:r>
        <w:rPr>
          <w:rFonts w:hint="default" w:ascii="Times New Roman" w:hAnsi="Times New Roman" w:eastAsia="宋体" w:cs="Times New Roman"/>
          <w:color w:val="auto"/>
          <w:lang w:val="en-US" w:eastAsia="zh-CN"/>
        </w:rPr>
        <w:t>月</w:t>
      </w:r>
      <w:r>
        <w:rPr>
          <w:rFonts w:hint="eastAsia" w:ascii="Times New Roman" w:hAnsi="Times New Roman" w:eastAsia="宋体" w:cs="Times New Roman"/>
          <w:color w:val="auto"/>
          <w:lang w:val="en-US" w:eastAsia="zh-CN"/>
        </w:rPr>
        <w:t>）</w:t>
      </w:r>
    </w:p>
    <w:p w14:paraId="38EB8D96">
      <w:pPr>
        <w:rPr>
          <w:rFonts w:hint="default" w:ascii="Times New Roman" w:hAnsi="Times New Roman" w:eastAsia="宋体" w:cs="Times New Roman"/>
          <w:color w:val="auto"/>
          <w:lang w:val="en-US" w:eastAsia="zh-CN"/>
        </w:rPr>
      </w:pPr>
      <w:r>
        <w:rPr>
          <w:rFonts w:hint="eastAsia" w:cs="Times New Roman"/>
          <w:color w:val="auto"/>
          <w:lang w:val="en-US" w:eastAsia="zh-CN"/>
        </w:rPr>
        <w:t>《</w:t>
      </w:r>
      <w:r>
        <w:rPr>
          <w:rFonts w:hint="eastAsia" w:ascii="Times New Roman" w:hAnsi="Times New Roman" w:eastAsia="宋体" w:cs="Times New Roman"/>
          <w:color w:val="auto"/>
          <w:lang w:val="en-US" w:eastAsia="zh-CN"/>
        </w:rPr>
        <w:t>鄱阳县金义矿产有限公司鄱阳县响水滩乡禾互山建筑用石料矿安全现状评价</w:t>
      </w:r>
      <w:r>
        <w:rPr>
          <w:rFonts w:hint="eastAsia" w:cs="Times New Roman"/>
          <w:color w:val="auto"/>
          <w:lang w:val="en-US" w:eastAsia="zh-CN"/>
        </w:rPr>
        <w:t>合同》</w:t>
      </w:r>
    </w:p>
    <w:p w14:paraId="6007A43F">
      <w:pPr>
        <w:rPr>
          <w:rFonts w:hint="default"/>
          <w:color w:val="auto"/>
          <w:lang w:val="en-US" w:eastAsia="zh-CN"/>
        </w:rPr>
      </w:pPr>
      <w:r>
        <w:rPr>
          <w:rFonts w:hint="eastAsia"/>
          <w:color w:val="auto"/>
          <w:lang w:val="en-US" w:eastAsia="zh-CN"/>
        </w:rPr>
        <w:t>鄱阳县金义矿产有限公司</w:t>
      </w:r>
      <w:r>
        <w:rPr>
          <w:rFonts w:hint="default"/>
          <w:color w:val="auto"/>
          <w:lang w:val="en-US" w:eastAsia="zh-CN"/>
        </w:rPr>
        <w:t>提供的营业执照、采矿许可证、安全生产许可证、资格证书（主要负责人、安全生产管理人员）、应急预案备案表、救援协议等附件以及矿区地质地形图、现状平面图</w:t>
      </w:r>
      <w:r>
        <w:rPr>
          <w:rFonts w:hint="eastAsia"/>
          <w:color w:val="auto"/>
          <w:lang w:val="en-US" w:eastAsia="zh-CN"/>
        </w:rPr>
        <w:t>、</w:t>
      </w:r>
      <w:r>
        <w:rPr>
          <w:rFonts w:hint="default"/>
          <w:color w:val="auto"/>
          <w:lang w:val="en-US" w:eastAsia="zh-CN"/>
        </w:rPr>
        <w:t>剖面图、供配电系统图、最终境界图等</w:t>
      </w:r>
      <w:r>
        <w:rPr>
          <w:rFonts w:hint="eastAsia"/>
          <w:color w:val="auto"/>
          <w:lang w:val="en-US" w:eastAsia="zh-CN"/>
        </w:rPr>
        <w:t>。</w:t>
      </w:r>
    </w:p>
    <w:p w14:paraId="77846A71">
      <w:pPr>
        <w:pStyle w:val="3"/>
        <w:bidi w:val="0"/>
        <w:rPr>
          <w:rFonts w:hint="default"/>
          <w:color w:val="auto"/>
          <w:lang w:val="en-US" w:eastAsia="zh-CN"/>
        </w:rPr>
      </w:pPr>
      <w:bookmarkStart w:id="93" w:name="_Toc8017"/>
      <w:bookmarkStart w:id="94" w:name="_Toc26901"/>
      <w:bookmarkStart w:id="95" w:name="_Toc24835"/>
      <w:bookmarkStart w:id="96" w:name="_Toc24026"/>
      <w:bookmarkStart w:id="97" w:name="_Toc26452"/>
      <w:bookmarkStart w:id="98" w:name="_Toc6276"/>
      <w:r>
        <w:rPr>
          <w:rFonts w:hint="default"/>
          <w:color w:val="auto"/>
          <w:lang w:val="en-US" w:eastAsia="zh-CN"/>
        </w:rPr>
        <w:t>1.4</w:t>
      </w:r>
      <w:r>
        <w:rPr>
          <w:rFonts w:hint="eastAsia"/>
          <w:color w:val="auto"/>
          <w:lang w:val="en-US" w:eastAsia="zh-CN"/>
        </w:rPr>
        <w:t xml:space="preserve"> </w:t>
      </w:r>
      <w:r>
        <w:rPr>
          <w:rFonts w:hint="default"/>
          <w:color w:val="auto"/>
          <w:lang w:val="en-US" w:eastAsia="zh-CN"/>
        </w:rPr>
        <w:t>评价程序</w:t>
      </w:r>
      <w:bookmarkEnd w:id="93"/>
      <w:bookmarkEnd w:id="94"/>
      <w:bookmarkEnd w:id="95"/>
      <w:bookmarkEnd w:id="96"/>
      <w:bookmarkEnd w:id="97"/>
      <w:bookmarkEnd w:id="98"/>
    </w:p>
    <w:p w14:paraId="75EC1B77">
      <w:pPr>
        <w:bidi w:val="0"/>
        <w:rPr>
          <w:rFonts w:hint="default"/>
          <w:color w:val="auto"/>
          <w:lang w:val="en-US" w:eastAsia="zh-CN"/>
        </w:rPr>
      </w:pPr>
      <w:r>
        <w:rPr>
          <w:rFonts w:hint="default"/>
          <w:color w:val="auto"/>
          <w:lang w:val="en-US" w:eastAsia="zh-CN"/>
        </w:rPr>
        <w:t>安全现状评价程序框图1.4-1。</w:t>
      </w:r>
    </w:p>
    <w:p w14:paraId="5D321A5F">
      <w:pPr>
        <w:bidi w:val="0"/>
        <w:ind w:left="0" w:leftChars="0" w:firstLine="0" w:firstLineChars="0"/>
        <w:jc w:val="center"/>
        <w:rPr>
          <w:rFonts w:hint="default"/>
          <w:color w:val="auto"/>
          <w:lang w:val="en-US" w:eastAsia="zh-CN"/>
        </w:rPr>
      </w:pPr>
      <w:r>
        <w:rPr>
          <w:rFonts w:ascii="Times New Roman" w:hAnsi="Times New Roman" w:eastAsia="宋体" w:cs="Times New Roman"/>
          <w:b/>
          <w:bCs/>
          <w:color w:val="auto"/>
          <w:sz w:val="28"/>
          <w:szCs w:val="28"/>
        </w:rPr>
        <mc:AlternateContent>
          <mc:Choice Requires="wpg">
            <w:drawing>
              <wp:inline distT="0" distB="0" distL="114300" distR="114300">
                <wp:extent cx="2253615" cy="4997450"/>
                <wp:effectExtent l="4445" t="5080" r="8890" b="7620"/>
                <wp:docPr id="33" name="组合 33"/>
                <wp:cNvGraphicFramePr/>
                <a:graphic xmlns:a="http://schemas.openxmlformats.org/drawingml/2006/main">
                  <a:graphicData uri="http://schemas.microsoft.com/office/word/2010/wordprocessingGroup">
                    <wpg:wgp>
                      <wpg:cNvGrpSpPr/>
                      <wpg:grpSpPr>
                        <a:xfrm>
                          <a:off x="0" y="0"/>
                          <a:ext cx="2253615" cy="4997450"/>
                          <a:chOff x="4566" y="6790"/>
                          <a:chExt cx="3030" cy="8424"/>
                        </a:xfrm>
                      </wpg:grpSpPr>
                      <wps:wsp>
                        <wps:cNvPr id="18" name="文本框 18"/>
                        <wps:cNvSpPr txBox="1"/>
                        <wps:spPr>
                          <a:xfrm>
                            <a:off x="4566" y="6790"/>
                            <a:ext cx="3030" cy="40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78E28FF">
                              <w:pPr>
                                <w:spacing w:line="240" w:lineRule="auto"/>
                                <w:ind w:firstLine="0" w:firstLineChars="0"/>
                                <w:jc w:val="center"/>
                                <w:rPr>
                                  <w:rFonts w:ascii="Times New Roman" w:hAnsi="Times New Roman" w:eastAsia="宋体" w:cs="Times New Roman"/>
                                  <w:sz w:val="21"/>
                                </w:rPr>
                              </w:pPr>
                              <w:r>
                                <w:rPr>
                                  <w:rFonts w:hint="eastAsia" w:ascii="Times New Roman" w:hAnsi="Times New Roman" w:eastAsia="宋体" w:cs="Times New Roman"/>
                                  <w:sz w:val="21"/>
                                </w:rPr>
                                <w:t>前期准备</w:t>
                              </w:r>
                            </w:p>
                          </w:txbxContent>
                        </wps:txbx>
                        <wps:bodyPr upright="1"/>
                      </wps:wsp>
                      <wps:wsp>
                        <wps:cNvPr id="19" name="文本框 19"/>
                        <wps:cNvSpPr txBox="1"/>
                        <wps:spPr>
                          <a:xfrm>
                            <a:off x="4566" y="7893"/>
                            <a:ext cx="3030" cy="40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BDD99A">
                              <w:pPr>
                                <w:spacing w:line="240" w:lineRule="auto"/>
                                <w:ind w:firstLine="0" w:firstLineChars="0"/>
                                <w:jc w:val="center"/>
                                <w:rPr>
                                  <w:rFonts w:ascii="Times New Roman" w:hAnsi="Times New Roman" w:eastAsia="宋体" w:cs="Times New Roman"/>
                                  <w:sz w:val="21"/>
                                </w:rPr>
                              </w:pPr>
                              <w:r>
                                <w:rPr>
                                  <w:rFonts w:hint="eastAsia" w:ascii="Times New Roman" w:hAnsi="Times New Roman" w:eastAsia="宋体" w:cs="Times New Roman"/>
                                  <w:sz w:val="21"/>
                                </w:rPr>
                                <w:t>辩识与分析危险、有害因素</w:t>
                              </w:r>
                            </w:p>
                          </w:txbxContent>
                        </wps:txbx>
                        <wps:bodyPr upright="1"/>
                      </wps:wsp>
                      <wps:wsp>
                        <wps:cNvPr id="20" name="文本框 20"/>
                        <wps:cNvSpPr txBox="1"/>
                        <wps:spPr>
                          <a:xfrm>
                            <a:off x="4566" y="9100"/>
                            <a:ext cx="3030" cy="40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755F645">
                              <w:pPr>
                                <w:spacing w:line="240" w:lineRule="auto"/>
                                <w:ind w:firstLine="0" w:firstLineChars="0"/>
                                <w:jc w:val="center"/>
                                <w:rPr>
                                  <w:rFonts w:ascii="Times New Roman" w:hAnsi="Times New Roman" w:eastAsia="宋体" w:cs="Times New Roman"/>
                                  <w:sz w:val="21"/>
                                </w:rPr>
                              </w:pPr>
                              <w:r>
                                <w:rPr>
                                  <w:rFonts w:hint="eastAsia" w:ascii="Times New Roman" w:hAnsi="Times New Roman" w:eastAsia="宋体" w:cs="Times New Roman"/>
                                  <w:sz w:val="21"/>
                                </w:rPr>
                                <w:t>划分评价单元</w:t>
                              </w:r>
                            </w:p>
                          </w:txbxContent>
                        </wps:txbx>
                        <wps:bodyPr upright="1"/>
                      </wps:wsp>
                      <wps:wsp>
                        <wps:cNvPr id="21" name="文本框 21"/>
                        <wps:cNvSpPr txBox="1"/>
                        <wps:spPr>
                          <a:xfrm>
                            <a:off x="4566" y="10204"/>
                            <a:ext cx="3030" cy="40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B74D74D">
                              <w:pPr>
                                <w:spacing w:line="240" w:lineRule="auto"/>
                                <w:ind w:firstLine="0" w:firstLineChars="0"/>
                                <w:jc w:val="center"/>
                                <w:rPr>
                                  <w:rFonts w:ascii="Times New Roman" w:hAnsi="Times New Roman" w:eastAsia="宋体" w:cs="Times New Roman"/>
                                  <w:sz w:val="21"/>
                                </w:rPr>
                              </w:pPr>
                              <w:r>
                                <w:rPr>
                                  <w:rFonts w:hint="eastAsia" w:ascii="Times New Roman" w:hAnsi="Times New Roman" w:eastAsia="宋体" w:cs="Times New Roman"/>
                                  <w:sz w:val="21"/>
                                </w:rPr>
                                <w:t>选择评价方法</w:t>
                              </w:r>
                            </w:p>
                          </w:txbxContent>
                        </wps:txbx>
                        <wps:bodyPr upright="1"/>
                      </wps:wsp>
                      <wps:wsp>
                        <wps:cNvPr id="22" name="文本框 22"/>
                        <wps:cNvSpPr txBox="1"/>
                        <wps:spPr>
                          <a:xfrm>
                            <a:off x="4566" y="11398"/>
                            <a:ext cx="3030" cy="40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1FE9DF">
                              <w:pPr>
                                <w:spacing w:line="240" w:lineRule="auto"/>
                                <w:ind w:firstLine="0" w:firstLineChars="0"/>
                                <w:jc w:val="center"/>
                                <w:rPr>
                                  <w:rFonts w:ascii="Times New Roman" w:hAnsi="Times New Roman" w:eastAsia="宋体" w:cs="Times New Roman"/>
                                  <w:sz w:val="21"/>
                                </w:rPr>
                              </w:pPr>
                              <w:r>
                                <w:rPr>
                                  <w:rFonts w:hint="eastAsia" w:ascii="Times New Roman" w:hAnsi="Times New Roman" w:eastAsia="宋体" w:cs="Times New Roman"/>
                                  <w:sz w:val="21"/>
                                </w:rPr>
                                <w:t>定性定量评价</w:t>
                              </w:r>
                            </w:p>
                          </w:txbxContent>
                        </wps:txbx>
                        <wps:bodyPr upright="1"/>
                      </wps:wsp>
                      <wps:wsp>
                        <wps:cNvPr id="23" name="文本框 23"/>
                        <wps:cNvSpPr txBox="1"/>
                        <wps:spPr>
                          <a:xfrm>
                            <a:off x="4566" y="12501"/>
                            <a:ext cx="3030" cy="40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9CCBDA">
                              <w:pPr>
                                <w:spacing w:line="240" w:lineRule="auto"/>
                                <w:ind w:firstLine="0" w:firstLineChars="0"/>
                                <w:jc w:val="center"/>
                                <w:rPr>
                                  <w:rFonts w:ascii="Times New Roman" w:hAnsi="Times New Roman" w:eastAsia="宋体" w:cs="Times New Roman"/>
                                  <w:sz w:val="21"/>
                                </w:rPr>
                              </w:pPr>
                              <w:r>
                                <w:rPr>
                                  <w:rFonts w:hint="eastAsia" w:ascii="Times New Roman" w:hAnsi="Times New Roman" w:eastAsia="宋体" w:cs="Times New Roman"/>
                                  <w:sz w:val="21"/>
                                </w:rPr>
                                <w:t>提出安全对策措施建议</w:t>
                              </w:r>
                            </w:p>
                          </w:txbxContent>
                        </wps:txbx>
                        <wps:bodyPr upright="1"/>
                      </wps:wsp>
                      <wps:wsp>
                        <wps:cNvPr id="24" name="文本框 24"/>
                        <wps:cNvSpPr txBox="1"/>
                        <wps:spPr>
                          <a:xfrm>
                            <a:off x="4566" y="13708"/>
                            <a:ext cx="3030" cy="40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7A748B">
                              <w:pPr>
                                <w:spacing w:line="240" w:lineRule="auto"/>
                                <w:ind w:firstLine="0" w:firstLineChars="0"/>
                                <w:jc w:val="center"/>
                                <w:rPr>
                                  <w:rFonts w:ascii="Times New Roman" w:hAnsi="Times New Roman" w:eastAsia="宋体" w:cs="Times New Roman"/>
                                  <w:sz w:val="21"/>
                                </w:rPr>
                              </w:pPr>
                              <w:r>
                                <w:rPr>
                                  <w:rFonts w:hint="eastAsia" w:ascii="Times New Roman" w:hAnsi="Times New Roman" w:eastAsia="宋体" w:cs="Times New Roman"/>
                                  <w:sz w:val="21"/>
                                </w:rPr>
                                <w:t>做出安全现状评价结论</w:t>
                              </w:r>
                            </w:p>
                          </w:txbxContent>
                        </wps:txbx>
                        <wps:bodyPr upright="1"/>
                      </wps:wsp>
                      <wps:wsp>
                        <wps:cNvPr id="25" name="文本框 25"/>
                        <wps:cNvSpPr txBox="1"/>
                        <wps:spPr>
                          <a:xfrm>
                            <a:off x="4566" y="14812"/>
                            <a:ext cx="3030" cy="40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58244EC">
                              <w:pPr>
                                <w:spacing w:line="240" w:lineRule="auto"/>
                                <w:ind w:firstLine="0" w:firstLineChars="0"/>
                                <w:jc w:val="center"/>
                                <w:rPr>
                                  <w:rFonts w:ascii="Times New Roman" w:hAnsi="Times New Roman" w:eastAsia="宋体" w:cs="Times New Roman"/>
                                  <w:sz w:val="21"/>
                                </w:rPr>
                              </w:pPr>
                              <w:r>
                                <w:rPr>
                                  <w:rFonts w:hint="eastAsia" w:ascii="Times New Roman" w:hAnsi="Times New Roman" w:eastAsia="宋体" w:cs="Times New Roman"/>
                                  <w:sz w:val="21"/>
                                </w:rPr>
                                <w:t>编制安全现状评价报告</w:t>
                              </w:r>
                            </w:p>
                          </w:txbxContent>
                        </wps:txbx>
                        <wps:bodyPr upright="1"/>
                      </wps:wsp>
                      <wps:wsp>
                        <wps:cNvPr id="26" name="直接连接符 26"/>
                        <wps:cNvCnPr/>
                        <wps:spPr>
                          <a:xfrm>
                            <a:off x="6066" y="7179"/>
                            <a:ext cx="0" cy="701"/>
                          </a:xfrm>
                          <a:prstGeom prst="line">
                            <a:avLst/>
                          </a:prstGeom>
                          <a:ln w="9525" cap="flat" cmpd="sng">
                            <a:solidFill>
                              <a:srgbClr val="000000"/>
                            </a:solidFill>
                            <a:prstDash val="solid"/>
                            <a:headEnd type="none" w="med" len="med"/>
                            <a:tailEnd type="triangle" w="med" len="med"/>
                          </a:ln>
                        </wps:spPr>
                        <wps:bodyPr upright="1"/>
                      </wps:wsp>
                      <wps:wsp>
                        <wps:cNvPr id="27" name="直接连接符 27"/>
                        <wps:cNvCnPr/>
                        <wps:spPr>
                          <a:xfrm>
                            <a:off x="6066" y="8283"/>
                            <a:ext cx="0" cy="805"/>
                          </a:xfrm>
                          <a:prstGeom prst="line">
                            <a:avLst/>
                          </a:prstGeom>
                          <a:ln w="9525" cap="flat" cmpd="sng">
                            <a:solidFill>
                              <a:srgbClr val="000000"/>
                            </a:solidFill>
                            <a:prstDash val="solid"/>
                            <a:headEnd type="none" w="med" len="med"/>
                            <a:tailEnd type="triangle" w="med" len="med"/>
                          </a:ln>
                        </wps:spPr>
                        <wps:bodyPr upright="1"/>
                      </wps:wsp>
                      <wps:wsp>
                        <wps:cNvPr id="28" name="直接连接符 28"/>
                        <wps:cNvCnPr/>
                        <wps:spPr>
                          <a:xfrm>
                            <a:off x="6080" y="9490"/>
                            <a:ext cx="0" cy="701"/>
                          </a:xfrm>
                          <a:prstGeom prst="line">
                            <a:avLst/>
                          </a:prstGeom>
                          <a:ln w="9525" cap="flat" cmpd="sng">
                            <a:solidFill>
                              <a:srgbClr val="000000"/>
                            </a:solidFill>
                            <a:prstDash val="solid"/>
                            <a:headEnd type="none" w="med" len="med"/>
                            <a:tailEnd type="triangle" w="med" len="med"/>
                          </a:ln>
                        </wps:spPr>
                        <wps:bodyPr upright="1"/>
                      </wps:wsp>
                      <wps:wsp>
                        <wps:cNvPr id="29" name="直接连接符 29"/>
                        <wps:cNvCnPr/>
                        <wps:spPr>
                          <a:xfrm>
                            <a:off x="6080" y="10593"/>
                            <a:ext cx="0" cy="792"/>
                          </a:xfrm>
                          <a:prstGeom prst="line">
                            <a:avLst/>
                          </a:prstGeom>
                          <a:ln w="9525" cap="flat" cmpd="sng">
                            <a:solidFill>
                              <a:srgbClr val="000000"/>
                            </a:solidFill>
                            <a:prstDash val="solid"/>
                            <a:headEnd type="none" w="med" len="med"/>
                            <a:tailEnd type="triangle" w="med" len="med"/>
                          </a:ln>
                        </wps:spPr>
                        <wps:bodyPr upright="1"/>
                      </wps:wsp>
                      <wps:wsp>
                        <wps:cNvPr id="30" name="直接连接符 30"/>
                        <wps:cNvCnPr/>
                        <wps:spPr>
                          <a:xfrm>
                            <a:off x="6080" y="11787"/>
                            <a:ext cx="0" cy="701"/>
                          </a:xfrm>
                          <a:prstGeom prst="line">
                            <a:avLst/>
                          </a:prstGeom>
                          <a:ln w="9525" cap="flat" cmpd="sng">
                            <a:solidFill>
                              <a:srgbClr val="000000"/>
                            </a:solidFill>
                            <a:prstDash val="solid"/>
                            <a:headEnd type="none" w="med" len="med"/>
                            <a:tailEnd type="triangle" w="med" len="med"/>
                          </a:ln>
                        </wps:spPr>
                        <wps:bodyPr upright="1"/>
                      </wps:wsp>
                      <wps:wsp>
                        <wps:cNvPr id="31" name="直接连接符 31"/>
                        <wps:cNvCnPr/>
                        <wps:spPr>
                          <a:xfrm>
                            <a:off x="6066" y="12891"/>
                            <a:ext cx="0" cy="804"/>
                          </a:xfrm>
                          <a:prstGeom prst="line">
                            <a:avLst/>
                          </a:prstGeom>
                          <a:ln w="9525" cap="flat" cmpd="sng">
                            <a:solidFill>
                              <a:srgbClr val="000000"/>
                            </a:solidFill>
                            <a:prstDash val="solid"/>
                            <a:headEnd type="none" w="med" len="med"/>
                            <a:tailEnd type="triangle" w="med" len="med"/>
                          </a:ln>
                        </wps:spPr>
                        <wps:bodyPr upright="1"/>
                      </wps:wsp>
                      <wps:wsp>
                        <wps:cNvPr id="32" name="直接连接符 32"/>
                        <wps:cNvCnPr/>
                        <wps:spPr>
                          <a:xfrm>
                            <a:off x="6066" y="14098"/>
                            <a:ext cx="0" cy="701"/>
                          </a:xfrm>
                          <a:prstGeom prst="line">
                            <a:avLst/>
                          </a:prstGeom>
                          <a:ln w="9525" cap="flat" cmpd="sng">
                            <a:solidFill>
                              <a:srgbClr val="000000"/>
                            </a:solidFill>
                            <a:prstDash val="solid"/>
                            <a:headEnd type="none" w="med" len="med"/>
                            <a:tailEnd type="triangle" w="med" len="med"/>
                          </a:ln>
                        </wps:spPr>
                        <wps:bodyPr upright="1"/>
                      </wps:wsp>
                    </wpg:wgp>
                  </a:graphicData>
                </a:graphic>
              </wp:inline>
            </w:drawing>
          </mc:Choice>
          <mc:Fallback>
            <w:pict>
              <v:group id="_x0000_s1026" o:spid="_x0000_s1026" o:spt="203" style="height:393.5pt;width:177.45pt;" coordorigin="4566,6790" coordsize="3030,8424" o:gfxdata="UEsDBAoAAAAAAIdO4kAAAAAAAAAAAAAAAAAEAAAAZHJzL1BLAwQUAAAACACHTuJA0HFCRtcAAAAF&#10;AQAADwAAAGRycy9kb3ducmV2LnhtbE2PT0vDQBDF70K/wzKCN7ub1v4xZlOkqKcitBXE2zQ7TUKz&#10;syG7Tdpv7+pFLwOP93jvN9nqYhvRU+drxxqSsQJBXDhTc6nhY/96vwThA7LBxjFpuJKHVT66yTA1&#10;buAt9btQiljCPkUNVQhtKqUvKrLox64ljt7RdRZDlF0pTYdDLLeNnCg1lxZrjgsVtrSuqDjtzlbD&#10;24DD8zR56Ten4/r6tZ+9f24S0vruNlFPIAJdwl8YfvAjOuSR6eDObLxoNMRHwu+N3nT28AjioGGx&#10;XCiQeSb/0+ffUEsDBBQAAAAIAIdO4kAgfmTcSwQAAEwkAAAOAAAAZHJzL2Uyb0RvYy54bWztWstu&#10;4zYU3RfoPxDaN5Jo2XogzgAzmWRTtAPM9AMYiXoAkiiQTOzsi7aroqtuWhToorOaZXdd9Gua9DPm&#10;knrYkZUZx0Zbo1YWDkVSV7yXR+deHen02bLI0Q3lImPl3LBPLAPRMmRRViZz46s3F595BhKSlBHJ&#10;WUnnxi0VxrOzTz85XVQBxSxleUQ5AiOlCBbV3EilrALTFGFKCyJOWEVLGIwZL4iEQ56YEScLsF7k&#10;JrasmblgPKo4C6kQ0HteDxqNRb6NQRbHWUjPWXhd0FLWVjnNiQSXRJpVwjjTq41jGsov41hQifK5&#10;AZ5K/QsXgfaV+jXPTkmQcFKlWdgsgWyzhJ5PBclKuGhn6pxIgq55tmGqyELOBIvlScgKs3ZERwS8&#10;sK1ebC45u660L0mwSKou6LBRvajvbDb84uYVR1k0NyYTA5WkgB2//+Prv374DkEHRGdRJQFMuuTV&#10;6+oVbzqS+kg5vIx5of6DK2ip43rbxZUuJQqhE+PpZGZPDRTCmOP7rjNtIh+msD3qPGc6mxkIhmeu&#10;3429bM6fWBPYL3Wy52BHrcpsL2yq9XXLWVSASbEKlNgvUK9TUlEdf6Fi0ATKhhukDtTdj9/e/fzu&#10;7tdvEPTp0Oh5KlBILp8z8Mtu+wV0DsRrwO82aiuvHQs/cJoEFRfykrICqcbc4IBzDT9y87mQdXza&#10;KeqiguVZdJHluT7gydWLnKMbAvfEhf5rrD+YlpdoMTf8KVb7RuBGj+EGg2ZRAVhEmejrPThDrBu2&#10;9N+QYbWwcyLSegHagppGgiKTlOtWSkn0soyQvK0AjyXwkKEWU9DIQDkF2lItPVOSLN9mJgAmLwE3&#10;CiH1VqiWXF4twYxqXrHoFrbtuuJZkkJI9cbp6QCoeso/jyx/AFm+clStEBC4E7Jcz9d3MgmGkKWH&#10;uttpRNb/E1kY+LPPWdC3J7J822q4ekRWcKSche0BZHVZb1fOsi1s6UQ/TFpjOjyGdIjxALT01u+T&#10;Dm174utqbYQW1FzHylrdw86qhsfN887ulZaNp5amvmFojaXWUbCWM8BaOpftxVoT1/oAa43QOgpo&#10;waP4RhU/3beKtx3P1ll1mLXGWusooAXqW6P+/fT73fe//f3nL/B7/+4twrM1gL0oGw2wVVFaHa4T&#10;AGdWI+S5tqulixWqGg3PrXPk45pDnoHeowShR9Ssf1+Z2rVKkjwjZZI/ol4Na1KHIERh91E0uLuh&#10;wcOezlEbaPAsTWAjGg4YDZ3gfd/nhnXZextu8IADQMb3nVbkb4WjkRseKtsHjIZOpN5Aw7pU/QQ0&#10;2Na0r1C3cPA/Un2MqeK/fmeh3swNFw4wstKXnwIH2/V0ltnIFWPl0LydOFx2mHRycJ8dYORpcGjq&#10;SBt7fk9UadjBqyXisXQ4YDh0Eu4GHNaF3G3YoYWDY/Xl2zZZjM8V9VvxneCgP6SAj0z0txXNBzHq&#10;K5b1Y/3+fPUR0Nl7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wYAAFtDb250ZW50X1R5cGVzXS54bWxQSwECFAAKAAAAAACHTuJAAAAAAAAAAAAA&#10;AAAABgAAAAAAAAAAABAAAACdBQAAX3JlbHMvUEsBAhQAFAAAAAgAh07iQIoUZjzRAAAAlAEAAAsA&#10;AAAAAAAAAQAgAAAAwQUAAF9yZWxzLy5yZWxzUEsBAhQACgAAAAAAh07iQAAAAAAAAAAAAAAAAAQA&#10;AAAAAAAAAAAQAAAAAAAAAGRycy9QSwECFAAUAAAACACHTuJA0HFCRtcAAAAFAQAADwAAAAAAAAAB&#10;ACAAAAAiAAAAZHJzL2Rvd25yZXYueG1sUEsBAhQAFAAAAAgAh07iQCB+ZNxLBAAATCQAAA4AAAAA&#10;AAAAAQAgAAAAJgEAAGRycy9lMm9Eb2MueG1sUEsFBgAAAAAGAAYAWQEAAOMHAAAAAA==&#10;">
                <o:lock v:ext="edit" aspectratio="f"/>
                <v:shape id="_x0000_s1026" o:spid="_x0000_s1026" o:spt="202" type="#_x0000_t202" style="position:absolute;left:4566;top:6790;height:402;width:3030;"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78E28FF">
                        <w:pPr>
                          <w:spacing w:line="240" w:lineRule="auto"/>
                          <w:ind w:firstLine="0" w:firstLineChars="0"/>
                          <w:jc w:val="center"/>
                          <w:rPr>
                            <w:rFonts w:ascii="Times New Roman" w:hAnsi="Times New Roman" w:eastAsia="宋体" w:cs="Times New Roman"/>
                            <w:sz w:val="21"/>
                          </w:rPr>
                        </w:pPr>
                        <w:r>
                          <w:rPr>
                            <w:rFonts w:hint="eastAsia" w:ascii="Times New Roman" w:hAnsi="Times New Roman" w:eastAsia="宋体" w:cs="Times New Roman"/>
                            <w:sz w:val="21"/>
                          </w:rPr>
                          <w:t>前期准备</w:t>
                        </w:r>
                      </w:p>
                    </w:txbxContent>
                  </v:textbox>
                </v:shape>
                <v:shape id="_x0000_s1026" o:spid="_x0000_s1026" o:spt="202" type="#_x0000_t202" style="position:absolute;left:4566;top:7893;height:403;width:3030;" fillcolor="#FFFFFF" filled="t" stroked="t" coordsize="21600,21600" o:gfxdata="UEsDBAoAAAAAAIdO4kAAAAAAAAAAAAAAAAAEAAAAZHJzL1BLAwQUAAAACACHTuJA6H52RLwAAADb&#10;AAAADwAAAGRycy9kb3ducmV2LnhtbEVPTWvCQBC9F/wPywi9lLqxFavRTQ6FSnqrWup1yI5JMDsb&#10;d9eY/vtuQfA2j/c563wwrejJ+caygukkAUFcWt1wpeB7//G8AOEDssbWMin4JQ95NnpYY6rtlbfU&#10;70IlYgj7FBXUIXSplL6syaCf2I44ckfrDIYIXSW1w2sMN618SZK5NNhwbKixo/eaytPuYhQsZkV/&#10;8J+vXz/l/Nguw9Nbvzk7pR7H02QFItAQ7uKbu9Bx/hL+f4kHyO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h+dkS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DBDD99A">
                        <w:pPr>
                          <w:spacing w:line="240" w:lineRule="auto"/>
                          <w:ind w:firstLine="0" w:firstLineChars="0"/>
                          <w:jc w:val="center"/>
                          <w:rPr>
                            <w:rFonts w:ascii="Times New Roman" w:hAnsi="Times New Roman" w:eastAsia="宋体" w:cs="Times New Roman"/>
                            <w:sz w:val="21"/>
                          </w:rPr>
                        </w:pPr>
                        <w:r>
                          <w:rPr>
                            <w:rFonts w:hint="eastAsia" w:ascii="Times New Roman" w:hAnsi="Times New Roman" w:eastAsia="宋体" w:cs="Times New Roman"/>
                            <w:sz w:val="21"/>
                          </w:rPr>
                          <w:t>辩识与分析危险、有害因素</w:t>
                        </w:r>
                      </w:p>
                    </w:txbxContent>
                  </v:textbox>
                </v:shape>
                <v:shape id="_x0000_s1026" o:spid="_x0000_s1026" o:spt="202" type="#_x0000_t202" style="position:absolute;left:4566;top:9100;height:403;width:3030;"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755F645">
                        <w:pPr>
                          <w:spacing w:line="240" w:lineRule="auto"/>
                          <w:ind w:firstLine="0" w:firstLineChars="0"/>
                          <w:jc w:val="center"/>
                          <w:rPr>
                            <w:rFonts w:ascii="Times New Roman" w:hAnsi="Times New Roman" w:eastAsia="宋体" w:cs="Times New Roman"/>
                            <w:sz w:val="21"/>
                          </w:rPr>
                        </w:pPr>
                        <w:r>
                          <w:rPr>
                            <w:rFonts w:hint="eastAsia" w:ascii="Times New Roman" w:hAnsi="Times New Roman" w:eastAsia="宋体" w:cs="Times New Roman"/>
                            <w:sz w:val="21"/>
                          </w:rPr>
                          <w:t>划分评价单元</w:t>
                        </w:r>
                      </w:p>
                    </w:txbxContent>
                  </v:textbox>
                </v:shape>
                <v:shape id="_x0000_s1026" o:spid="_x0000_s1026" o:spt="202" type="#_x0000_t202" style="position:absolute;left:4566;top:10204;height:402;width:3030;" fillcolor="#FFFFFF" filled="t" stroked="t" coordsize="21600,21600" o:gfxdata="UEsDBAoAAAAAAIdO4kAAAAAAAAAAAAAAAAAEAAAAZHJzL1BLAwQUAAAACACHTuJA2GSw/74AAADb&#10;AAAADwAAAGRycy9kb3ducmV2LnhtbEWPT2sCMRTE74V+h/AKvRTNroq160YPQou91bXY62Pz9g9u&#10;XtYkXfXbNwXB4zAzv2Hy9cV0YiDnW8sK0nECgri0uuVawff+fbQA4QOyxs4yKbiSh/Xq8SHHTNsz&#10;72goQi0ihH2GCpoQ+kxKXzZk0I9tTxy9yjqDIUpXS+3wHOGmk5MkmUuDLceFBnvaNFQei1+jYDHb&#10;Dj/+c/p1KOdV9xZeXoePk1Pq+SlNliACXcI9fGtvtYJJ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GSw/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B74D74D">
                        <w:pPr>
                          <w:spacing w:line="240" w:lineRule="auto"/>
                          <w:ind w:firstLine="0" w:firstLineChars="0"/>
                          <w:jc w:val="center"/>
                          <w:rPr>
                            <w:rFonts w:ascii="Times New Roman" w:hAnsi="Times New Roman" w:eastAsia="宋体" w:cs="Times New Roman"/>
                            <w:sz w:val="21"/>
                          </w:rPr>
                        </w:pPr>
                        <w:r>
                          <w:rPr>
                            <w:rFonts w:hint="eastAsia" w:ascii="Times New Roman" w:hAnsi="Times New Roman" w:eastAsia="宋体" w:cs="Times New Roman"/>
                            <w:sz w:val="21"/>
                          </w:rPr>
                          <w:t>选择评价方法</w:t>
                        </w:r>
                      </w:p>
                    </w:txbxContent>
                  </v:textbox>
                </v:shape>
                <v:shape id="_x0000_s1026" o:spid="_x0000_s1026" o:spt="202" type="#_x0000_t202" style="position:absolute;left:4566;top:11398;height:402;width:3030;"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F1FE9DF">
                        <w:pPr>
                          <w:spacing w:line="240" w:lineRule="auto"/>
                          <w:ind w:firstLine="0" w:firstLineChars="0"/>
                          <w:jc w:val="center"/>
                          <w:rPr>
                            <w:rFonts w:ascii="Times New Roman" w:hAnsi="Times New Roman" w:eastAsia="宋体" w:cs="Times New Roman"/>
                            <w:sz w:val="21"/>
                          </w:rPr>
                        </w:pPr>
                        <w:r>
                          <w:rPr>
                            <w:rFonts w:hint="eastAsia" w:ascii="Times New Roman" w:hAnsi="Times New Roman" w:eastAsia="宋体" w:cs="Times New Roman"/>
                            <w:sz w:val="21"/>
                          </w:rPr>
                          <w:t>定性定量评价</w:t>
                        </w:r>
                      </w:p>
                    </w:txbxContent>
                  </v:textbox>
                </v:shape>
                <v:shape id="_x0000_s1026" o:spid="_x0000_s1026" o:spt="202" type="#_x0000_t202" style="position:absolute;left:4566;top:12501;height:403;width:3030;" fillcolor="#FFFFFF" filled="t" stroked="t" coordsize="21600,21600" o:gfxdata="UEsDBAoAAAAAAIdO4kAAAAAAAAAAAAAAAAAEAAAAZHJzL1BLAwQUAAAACACHTuJAR/qLE70AAADb&#10;AAAADwAAAGRycy9kb3ducmV2LnhtbEWPT4vCMBTE74LfITzBi6ypf3DdrtGDoLg3V0Wvj+bZFpuX&#10;msSq334jCHscZuY3zGzxMJVoyPnSsoJBPwFBnFldcq7gsF99TEH4gKyxskwKnuRhMW+3Zphqe+df&#10;anYhFxHCPkUFRQh1KqXPCjLo+7Ymjt7ZOoMhSpdL7fAe4aaSwySZSIMlx4UCa1oWlF12N6NgOt40&#10;J/8z2h6zybn6Cr3PZn11SnU7g+QbRKBH+A+/2xutYDiC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osT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9CCBDA">
                        <w:pPr>
                          <w:spacing w:line="240" w:lineRule="auto"/>
                          <w:ind w:firstLine="0" w:firstLineChars="0"/>
                          <w:jc w:val="center"/>
                          <w:rPr>
                            <w:rFonts w:ascii="Times New Roman" w:hAnsi="Times New Roman" w:eastAsia="宋体" w:cs="Times New Roman"/>
                            <w:sz w:val="21"/>
                          </w:rPr>
                        </w:pPr>
                        <w:r>
                          <w:rPr>
                            <w:rFonts w:hint="eastAsia" w:ascii="Times New Roman" w:hAnsi="Times New Roman" w:eastAsia="宋体" w:cs="Times New Roman"/>
                            <w:sz w:val="21"/>
                          </w:rPr>
                          <w:t>提出安全对策措施建议</w:t>
                        </w:r>
                      </w:p>
                    </w:txbxContent>
                  </v:textbox>
                </v:shape>
                <v:shape id="_x0000_s1026" o:spid="_x0000_s1026" o:spt="202" type="#_x0000_t202" style="position:absolute;left:4566;top:13708;height:403;width:3030;"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27A748B">
                        <w:pPr>
                          <w:spacing w:line="240" w:lineRule="auto"/>
                          <w:ind w:firstLine="0" w:firstLineChars="0"/>
                          <w:jc w:val="center"/>
                          <w:rPr>
                            <w:rFonts w:ascii="Times New Roman" w:hAnsi="Times New Roman" w:eastAsia="宋体" w:cs="Times New Roman"/>
                            <w:sz w:val="21"/>
                          </w:rPr>
                        </w:pPr>
                        <w:r>
                          <w:rPr>
                            <w:rFonts w:hint="eastAsia" w:ascii="Times New Roman" w:hAnsi="Times New Roman" w:eastAsia="宋体" w:cs="Times New Roman"/>
                            <w:sz w:val="21"/>
                          </w:rPr>
                          <w:t>做出安全现状评价结论</w:t>
                        </w:r>
                      </w:p>
                    </w:txbxContent>
                  </v:textbox>
                </v:shape>
                <v:shape id="_x0000_s1026" o:spid="_x0000_s1026" o:spt="202" type="#_x0000_t202" style="position:absolute;left:4566;top:14812;height:402;width:3030;" fillcolor="#FFFFFF" filled="t" stroked="t" coordsize="21600,21600" o:gfxdata="UEsDBAoAAAAAAIdO4kAAAAAAAAAAAAAAAAAEAAAAZHJzL1BLAwQUAAAACACHTuJAp1+2/L0AAADb&#10;AAAADwAAAGRycy9kb3ducmV2LnhtbEWPT2sCMRTE7wW/Q3iCl6JZrX9XowdBsbdWRa+PzXN3cfOy&#10;JnG1374RCj0OM/MbZrF6mko05HxpWUG/l4AgzqwuOVdwPGy6UxA+IGusLJOCH/KwWrbeFphq++Bv&#10;avYhFxHCPkUFRQh1KqXPCjLoe7Ymjt7FOoMhSpdL7fAR4aaSgyQZS4Mlx4UCa1oXlF33d6NgOtw1&#10;Z//58XXKxpdqFt4nzfbmlOq0+8kcRKBn+A//tXdawWAE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X7b8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658244EC">
                        <w:pPr>
                          <w:spacing w:line="240" w:lineRule="auto"/>
                          <w:ind w:firstLine="0" w:firstLineChars="0"/>
                          <w:jc w:val="center"/>
                          <w:rPr>
                            <w:rFonts w:ascii="Times New Roman" w:hAnsi="Times New Roman" w:eastAsia="宋体" w:cs="Times New Roman"/>
                            <w:sz w:val="21"/>
                          </w:rPr>
                        </w:pPr>
                        <w:r>
                          <w:rPr>
                            <w:rFonts w:hint="eastAsia" w:ascii="Times New Roman" w:hAnsi="Times New Roman" w:eastAsia="宋体" w:cs="Times New Roman"/>
                            <w:sz w:val="21"/>
                          </w:rPr>
                          <w:t>编制安全现状评价报告</w:t>
                        </w:r>
                      </w:p>
                    </w:txbxContent>
                  </v:textbox>
                </v:shape>
                <v:line id="_x0000_s1026" o:spid="_x0000_s1026" o:spt="20" style="position:absolute;left:6066;top:7179;height:701;width:0;" filled="f" stroked="t" coordsize="21600,21600" o:gfxdata="UEsDBAoAAAAAAIdO4kAAAAAAAAAAAAAAAAAEAAAAZHJzL1BLAwQUAAAACACHTuJAR2AL+b4AAADb&#10;AAAADwAAAGRycy9kb3ducmV2LnhtbEWPzYvCMBTE78L+D+EteNO0HqRUowfBRfBj8QPR26N5tmWb&#10;l5JE7f73mwXB4zAzv2Gm88404kHO15YVpMMEBHFhdc2lgtNxOchA+ICssbFMCn7Jw3z20Ztiru2T&#10;9/Q4hFJECPscFVQhtLmUvqjIoB/aljh6N+sMhihdKbXDZ4SbRo6SZCwN1hwXKmxpUVHxc7gbBfvN&#10;cp2d1/eucNevdHf83mwvPlOq/5kmExCBuvAOv9orrWA0hv8v8QfI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2AL+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6066;top:8283;height:805;width:0;" filled="f" stroked="t" coordsize="21600,21600" o:gfxdata="UEsDBAoAAAAAAIdO4kAAAAAAAAAAAAAAAAAEAAAAZHJzL1BLAwQUAAAACACHTuJAKCyuYr8AAADb&#10;AAAADwAAAGRycy9kb3ducmV2LnhtbEWPT2vCQBTE7wW/w/IEb3UTDzakrjkUUgrain+Qentkn0lo&#10;9m3YXTX99m6h4HGYmd8wi2IwnbiS861lBek0AUFcWd1yreCwL58zED4ga+wsk4Jf8lAsR08LzLW9&#10;8Zauu1CLCGGfo4ImhD6X0lcNGfRT2xNH72ydwRClq6V2eItw08lZksylwZbjQoM9vTVU/ewuRsF2&#10;Xa6y4+oyVO70nn7tN+vPb58pNRmnySuIQEN4hP/bH1rB7AX+vsQfIJ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gsrm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6080;top:9490;height:701;width:0;" filled="f" stroked="t" coordsize="21600,21600" o:gfxdata="UEsDBAoAAAAAAIdO4kAAAAAAAAAAAAAAAAAEAAAAZHJzL1BLAwQUAAAACACHTuJAWbM6ELwAAADb&#10;AAAADwAAAGRycy9kb3ducmV2LnhtbEVPz2vCMBS+D/Y/hDfwNtN6kFKNHgaK0LpRFdluj+atLTYv&#10;JYm2+++Xw2DHj+/3ejuZXjzI+c6ygnSegCCure64UXA5714zED4ga+wtk4If8rDdPD+tMdd25Ioe&#10;p9CIGMI+RwVtCEMupa9bMujndiCO3Ld1BkOErpHa4RjDTS8XSbKUBjuODS0O9NZSfTvdjYKq3BXZ&#10;tbhPtfvap+/nj/L46TOlZi9psgIRaAr/4j/3QStYxLHxS/wB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zOhC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_x0000_s1026" o:spid="_x0000_s1026" o:spt="20" style="position:absolute;left:6080;top:10593;height:792;width:0;" filled="f" stroked="t" coordsize="21600,21600" o:gfxdata="UEsDBAoAAAAAAIdO4kAAAAAAAAAAAAAAAAAEAAAAZHJzL1BLAwQUAAAACACHTuJANv+fi78AAADb&#10;AAAADwAAAGRycy9kb3ducmV2LnhtbEWPT2vCQBTE7wW/w/IEb3UTD5KmrjkUUgrain+Qentkn0lo&#10;9m3YXTX99l2h4HGYmd8wi2IwnbiS861lBek0AUFcWd1yreCwL58zED4ga+wsk4Jf8lAsR08LzLW9&#10;8Zauu1CLCGGfo4ImhD6X0lcNGfRT2xNH72ydwRClq6V2eItw08lZksylwZbjQoM9vTVU/ewuRsF2&#10;Xa6y4+oyVO70nn7tN+vPb58pNRmnySuIQEN4hP/bH1rB7AXuX+IPk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b/n4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6080;top:11787;height:701;width:0;" filled="f" stroked="t" coordsize="21600,21600" o:gfxdata="UEsDBAoAAAAAAIdO4kAAAAAAAAAAAAAAAAAEAAAAZHJzL1BLAwQUAAAACACHTuJAIhygy7sAAADb&#10;AAAADwAAAGRycy9kb3ducmV2LnhtbEVPy4rCMBTdC/MP4Q6407QKUjpGF4KDoKP4YNDdpbm2ZZqb&#10;kkTt/L1ZCC4P5z2dd6YRd3K+tqwgHSYgiAuray4VnI7LQQbCB2SNjWVS8E8e5rOP3hRzbR+8p/sh&#10;lCKGsM9RQRVCm0vpi4oM+qFtiSN3tc5giNCVUjt8xHDTyFGSTKTBmmNDhS0tKir+DjejYL9ZrrPf&#10;9a0r3OU73R53m5+zz5Tqf6bJF4hAXXiLX+6VVjCO6+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hygy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_x0000_s1026" o:spid="_x0000_s1026" o:spt="20" style="position:absolute;left:6066;top:12891;height:804;width:0;" filled="f" stroked="t" coordsize="21600,21600" o:gfxdata="UEsDBAoAAAAAAIdO4kAAAAAAAAAAAAAAAAAEAAAAZHJzL1BLAwQUAAAACACHTuJATVAFUL4AAADb&#10;AAAADwAAAGRycy9kb3ducmV2LnhtbEWPQWvCQBSE7wX/w/IEb3UThRKiq4eCIqgVtUh7e2Rfk2D2&#10;bdhdNf57VxB6HGbmG2Y670wjruR8bVlBOkxAEBdW11wq+D4u3jMQPiBrbCyTgjt5mM96b1PMtb3x&#10;nq6HUIoIYZ+jgiqENpfSFxUZ9EPbEkfvzzqDIUpXSu3wFuGmkaMk+ZAGa44LFbb0WVFxPlyMgv1m&#10;sc5O60tXuN9l+nXcbbY/PlNq0E+TCYhAXfgPv9orrWCcwv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VAFU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6066;top:14098;height:701;width:0;" filled="f" stroked="t" coordsize="21600,21600" o:gfxdata="UEsDBAoAAAAAAIdO4kAAAAAAAAAAAAAAAAAEAAAAZHJzL1BLAwQUAAAACACHTuJAvYKbJ78AAADb&#10;AAAADwAAAGRycy9kb3ducmV2LnhtbEWPT2vCQBTE7wW/w/IEb3UThRJS1xwKKQVtxT9IvT2yzyQ0&#10;+zbsrpp+e7dQ8DjMzG+YRTGYTlzJ+daygnSagCCurG65VnDYl88ZCB+QNXaWScEveSiWo6cF5tre&#10;eEvXXahFhLDPUUETQp9L6auGDPqp7Ymjd7bOYIjS1VI7vEW46eQsSV6kwZbjQoM9vTVU/ewuRsF2&#10;Xa6y4+oyVO70nn7tN+vPb58pNRmnySuIQEN4hP/bH1rBfAZ/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2Cmye/&#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w10:wrap type="none"/>
                <w10:anchorlock/>
              </v:group>
            </w:pict>
          </mc:Fallback>
        </mc:AlternateContent>
      </w:r>
    </w:p>
    <w:p w14:paraId="019DFCC8">
      <w:pPr>
        <w:bidi w:val="0"/>
        <w:ind w:left="0" w:leftChars="0" w:firstLine="0" w:firstLineChars="0"/>
        <w:jc w:val="center"/>
        <w:rPr>
          <w:rFonts w:hint="default"/>
          <w:color w:val="auto"/>
          <w:lang w:val="en-US" w:eastAsia="zh-CN"/>
        </w:rPr>
      </w:pPr>
      <w:r>
        <w:rPr>
          <w:rFonts w:hint="default"/>
          <w:color w:val="auto"/>
          <w:lang w:val="en-US" w:eastAsia="zh-CN"/>
        </w:rPr>
        <w:t>图1</w:t>
      </w:r>
      <w:r>
        <w:rPr>
          <w:rFonts w:hint="eastAsia"/>
          <w:color w:val="auto"/>
          <w:lang w:val="en-US" w:eastAsia="zh-CN"/>
        </w:rPr>
        <w:t>.4</w:t>
      </w:r>
      <w:r>
        <w:rPr>
          <w:rFonts w:hint="default"/>
          <w:color w:val="auto"/>
          <w:lang w:val="en-US" w:eastAsia="zh-CN"/>
        </w:rPr>
        <w:t>-1</w:t>
      </w:r>
      <w:r>
        <w:rPr>
          <w:rFonts w:hint="eastAsia"/>
          <w:color w:val="auto"/>
          <w:lang w:val="en-US" w:eastAsia="zh-CN"/>
        </w:rPr>
        <w:t xml:space="preserve"> </w:t>
      </w:r>
      <w:r>
        <w:rPr>
          <w:rFonts w:hint="default"/>
          <w:color w:val="auto"/>
          <w:lang w:val="en-US" w:eastAsia="zh-CN"/>
        </w:rPr>
        <w:t>安全现状评价程序框</w:t>
      </w:r>
      <w:r>
        <w:rPr>
          <w:rFonts w:hint="default"/>
          <w:color w:val="auto"/>
          <w:lang w:val="en-US" w:eastAsia="zh-CN"/>
        </w:rPr>
        <w:br w:type="page"/>
      </w:r>
    </w:p>
    <w:p w14:paraId="410F0E54">
      <w:pPr>
        <w:pStyle w:val="2"/>
        <w:numPr>
          <w:ilvl w:val="0"/>
          <w:numId w:val="1"/>
        </w:numPr>
        <w:bidi w:val="0"/>
        <w:ind w:left="0" w:leftChars="0" w:firstLine="0" w:firstLineChars="0"/>
        <w:rPr>
          <w:rFonts w:hint="default" w:ascii="Times New Roman" w:hAnsi="Times New Roman" w:cs="Times New Roman"/>
          <w:color w:val="auto"/>
          <w:lang w:val="en-US" w:eastAsia="zh-CN"/>
        </w:rPr>
      </w:pPr>
      <w:bookmarkStart w:id="99" w:name="_Toc18437"/>
      <w:bookmarkStart w:id="100" w:name="_Toc15908"/>
      <w:bookmarkStart w:id="101" w:name="_Toc12098"/>
      <w:bookmarkStart w:id="102" w:name="_Toc20358"/>
      <w:bookmarkStart w:id="103" w:name="_Toc31181"/>
      <w:bookmarkStart w:id="104" w:name="_Toc22850"/>
      <w:r>
        <w:rPr>
          <w:rFonts w:hint="default" w:ascii="Times New Roman" w:hAnsi="Times New Roman" w:cs="Times New Roman"/>
          <w:color w:val="auto"/>
          <w:lang w:val="en-US" w:eastAsia="zh-CN"/>
        </w:rPr>
        <w:t>项目概况</w:t>
      </w:r>
      <w:bookmarkEnd w:id="99"/>
      <w:bookmarkEnd w:id="100"/>
      <w:bookmarkEnd w:id="101"/>
      <w:bookmarkEnd w:id="102"/>
      <w:bookmarkEnd w:id="103"/>
      <w:bookmarkEnd w:id="104"/>
    </w:p>
    <w:p w14:paraId="4C2AF841">
      <w:pPr>
        <w:pStyle w:val="3"/>
        <w:bidi w:val="0"/>
        <w:rPr>
          <w:rFonts w:hint="default"/>
          <w:color w:val="auto"/>
          <w:lang w:val="en-US" w:eastAsia="zh-CN"/>
        </w:rPr>
      </w:pPr>
      <w:bookmarkStart w:id="105" w:name="_Toc11057"/>
      <w:bookmarkStart w:id="106" w:name="_Toc13954"/>
      <w:bookmarkStart w:id="107" w:name="_Toc4288"/>
      <w:bookmarkStart w:id="108" w:name="_Toc11866"/>
      <w:bookmarkStart w:id="109" w:name="_Toc19465"/>
      <w:bookmarkStart w:id="110" w:name="_Toc14147"/>
      <w:r>
        <w:rPr>
          <w:rFonts w:hint="default"/>
          <w:color w:val="auto"/>
          <w:lang w:val="en-US" w:eastAsia="zh-CN"/>
        </w:rPr>
        <w:t>2.1</w:t>
      </w:r>
      <w:r>
        <w:rPr>
          <w:rFonts w:hint="eastAsia"/>
          <w:color w:val="auto"/>
          <w:lang w:val="en-US" w:eastAsia="zh-CN"/>
        </w:rPr>
        <w:t xml:space="preserve"> </w:t>
      </w:r>
      <w:r>
        <w:rPr>
          <w:rFonts w:hint="default"/>
          <w:color w:val="auto"/>
          <w:lang w:val="en-US" w:eastAsia="zh-CN"/>
        </w:rPr>
        <w:t>建设单位概况</w:t>
      </w:r>
      <w:bookmarkEnd w:id="105"/>
      <w:bookmarkEnd w:id="106"/>
      <w:bookmarkEnd w:id="107"/>
      <w:bookmarkEnd w:id="108"/>
      <w:bookmarkEnd w:id="109"/>
      <w:bookmarkEnd w:id="110"/>
    </w:p>
    <w:p w14:paraId="45572B3C">
      <w:pPr>
        <w:pStyle w:val="4"/>
        <w:bidi w:val="0"/>
        <w:rPr>
          <w:rFonts w:hint="default"/>
          <w:color w:val="auto"/>
          <w:lang w:val="en-US" w:eastAsia="zh-CN"/>
        </w:rPr>
      </w:pPr>
      <w:bookmarkStart w:id="111" w:name="_Toc24664"/>
      <w:bookmarkStart w:id="112" w:name="_Toc17895"/>
      <w:bookmarkStart w:id="113" w:name="_Toc22574"/>
      <w:bookmarkStart w:id="114" w:name="_Toc8976"/>
      <w:bookmarkStart w:id="115" w:name="_Toc15266"/>
      <w:bookmarkStart w:id="116" w:name="_Toc31731"/>
      <w:r>
        <w:rPr>
          <w:rFonts w:hint="default"/>
          <w:color w:val="auto"/>
          <w:lang w:val="en-US" w:eastAsia="zh-CN"/>
        </w:rPr>
        <w:t>2.1.1</w:t>
      </w:r>
      <w:r>
        <w:rPr>
          <w:rFonts w:hint="eastAsia"/>
          <w:color w:val="auto"/>
          <w:lang w:val="en-US" w:eastAsia="zh-CN"/>
        </w:rPr>
        <w:t xml:space="preserve"> </w:t>
      </w:r>
      <w:r>
        <w:rPr>
          <w:rFonts w:hint="default"/>
          <w:color w:val="auto"/>
          <w:lang w:val="en-US" w:eastAsia="zh-CN"/>
        </w:rPr>
        <w:t>建设单位简介及项目</w:t>
      </w:r>
      <w:r>
        <w:rPr>
          <w:rFonts w:hint="eastAsia"/>
          <w:color w:val="auto"/>
          <w:lang w:val="en-US" w:eastAsia="zh-CN"/>
        </w:rPr>
        <w:t>情况</w:t>
      </w:r>
      <w:bookmarkEnd w:id="111"/>
      <w:bookmarkEnd w:id="112"/>
      <w:bookmarkEnd w:id="113"/>
      <w:bookmarkEnd w:id="114"/>
      <w:bookmarkEnd w:id="115"/>
      <w:bookmarkEnd w:id="116"/>
    </w:p>
    <w:p w14:paraId="590DE7D4">
      <w:pPr>
        <w:bidi w:val="0"/>
        <w:rPr>
          <w:rFonts w:hint="default"/>
          <w:color w:val="auto"/>
          <w:lang w:val="en-US" w:eastAsia="zh-CN"/>
        </w:rPr>
      </w:pPr>
      <w:r>
        <w:rPr>
          <w:rFonts w:hint="eastAsia"/>
          <w:color w:val="auto"/>
          <w:lang w:val="en-US" w:eastAsia="zh-CN"/>
        </w:rPr>
        <w:t>1. 建设单位简介</w:t>
      </w:r>
    </w:p>
    <w:p w14:paraId="1C362F0D">
      <w:pPr>
        <w:bidi w:val="0"/>
        <w:rPr>
          <w:rFonts w:hint="eastAsia"/>
          <w:color w:val="auto"/>
          <w:lang w:val="en-US" w:eastAsia="zh-CN"/>
        </w:rPr>
      </w:pPr>
      <w:r>
        <w:rPr>
          <w:rFonts w:hint="eastAsia"/>
          <w:color w:val="auto"/>
          <w:lang w:eastAsia="zh-CN"/>
        </w:rPr>
        <w:t>鄱阳县金义矿产有限公司</w:t>
      </w:r>
      <w:r>
        <w:rPr>
          <w:rFonts w:hint="eastAsia"/>
          <w:color w:val="auto"/>
        </w:rPr>
        <w:t>成立于20</w:t>
      </w:r>
      <w:r>
        <w:rPr>
          <w:rFonts w:hint="eastAsia"/>
          <w:color w:val="auto"/>
          <w:lang w:val="en-US" w:eastAsia="zh-CN"/>
        </w:rPr>
        <w:t>18</w:t>
      </w:r>
      <w:r>
        <w:rPr>
          <w:rFonts w:hint="eastAsia"/>
          <w:color w:val="auto"/>
        </w:rPr>
        <w:t>年</w:t>
      </w:r>
      <w:r>
        <w:rPr>
          <w:rFonts w:hint="eastAsia"/>
          <w:color w:val="auto"/>
          <w:lang w:val="en-US" w:eastAsia="zh-CN"/>
        </w:rPr>
        <w:t>5</w:t>
      </w:r>
      <w:r>
        <w:rPr>
          <w:rFonts w:hint="eastAsia"/>
          <w:color w:val="auto"/>
        </w:rPr>
        <w:t>月</w:t>
      </w:r>
      <w:r>
        <w:rPr>
          <w:rFonts w:hint="eastAsia"/>
          <w:color w:val="auto"/>
          <w:lang w:val="en-US" w:eastAsia="zh-CN"/>
        </w:rPr>
        <w:t>21</w:t>
      </w:r>
      <w:r>
        <w:rPr>
          <w:rFonts w:hint="eastAsia"/>
          <w:color w:val="auto"/>
        </w:rPr>
        <w:t>日，位于江西省上饶市鄱阳县响水滩乡李嘴村委会李嘴村；公司营业执照统一社会信用代码：9136112</w:t>
      </w:r>
      <w:r>
        <w:rPr>
          <w:rFonts w:hint="eastAsia"/>
          <w:color w:val="auto"/>
          <w:lang w:val="en-US" w:eastAsia="zh-CN"/>
        </w:rPr>
        <w:t>8MA37X6JY4R</w:t>
      </w:r>
      <w:r>
        <w:rPr>
          <w:rFonts w:hint="eastAsia"/>
          <w:color w:val="auto"/>
        </w:rPr>
        <w:t>；注册资本为伍</w:t>
      </w:r>
      <w:r>
        <w:rPr>
          <w:rFonts w:hint="eastAsia"/>
          <w:color w:val="auto"/>
          <w:lang w:val="en-US" w:eastAsia="zh-CN"/>
        </w:rPr>
        <w:t>佰</w:t>
      </w:r>
      <w:r>
        <w:rPr>
          <w:rFonts w:hint="eastAsia"/>
          <w:color w:val="auto"/>
        </w:rPr>
        <w:t>万元整，法定代</w:t>
      </w:r>
      <w:r>
        <w:rPr>
          <w:rFonts w:hint="eastAsia"/>
          <w:color w:val="auto"/>
          <w:lang w:eastAsia="zh-CN"/>
        </w:rPr>
        <w:t>表人</w:t>
      </w:r>
      <w:r>
        <w:rPr>
          <w:rFonts w:hint="eastAsia"/>
          <w:color w:val="auto"/>
        </w:rPr>
        <w:t>为李志明；类型为有限责任公司（自然人投资或控股）；经营范围：许可项目</w:t>
      </w:r>
      <w:r>
        <w:rPr>
          <w:rFonts w:hint="eastAsia"/>
          <w:color w:val="auto"/>
          <w:lang w:val="en-US" w:eastAsia="zh-CN"/>
        </w:rPr>
        <w:t>为</w:t>
      </w:r>
      <w:r>
        <w:rPr>
          <w:rFonts w:hint="eastAsia"/>
          <w:color w:val="auto"/>
        </w:rPr>
        <w:t>矿产资源（非煤矿山）开采（依法须经批准的项目，经相关部门批准后方可开展经营活动）</w:t>
      </w:r>
      <w:r>
        <w:rPr>
          <w:rFonts w:hint="eastAsia"/>
          <w:color w:val="auto"/>
          <w:lang w:eastAsia="zh-CN"/>
        </w:rPr>
        <w:t>，</w:t>
      </w:r>
      <w:r>
        <w:rPr>
          <w:rFonts w:hint="eastAsia"/>
          <w:color w:val="auto"/>
        </w:rPr>
        <w:t>一般项目</w:t>
      </w:r>
      <w:r>
        <w:rPr>
          <w:rFonts w:hint="eastAsia"/>
          <w:color w:val="auto"/>
          <w:lang w:val="en-US" w:eastAsia="zh-CN"/>
        </w:rPr>
        <w:t>为</w:t>
      </w:r>
      <w:r>
        <w:rPr>
          <w:rFonts w:hint="eastAsia"/>
          <w:color w:val="auto"/>
        </w:rPr>
        <w:t>建筑材料销售，非金属矿物制品制造，非金属矿及制品销售，建筑用石加工（除许可业务外，可自主依法经营法律法规非禁止或限制的项目）</w:t>
      </w:r>
      <w:r>
        <w:rPr>
          <w:rFonts w:hint="eastAsia"/>
          <w:color w:val="auto"/>
          <w:lang w:val="en-US" w:eastAsia="zh-CN"/>
        </w:rPr>
        <w:t>。</w:t>
      </w:r>
    </w:p>
    <w:p w14:paraId="02E3366C">
      <w:pPr>
        <w:ind w:left="0" w:leftChars="0" w:firstLine="0" w:firstLineChars="0"/>
        <w:jc w:val="center"/>
        <w:rPr>
          <w:rFonts w:hint="eastAsia"/>
          <w:color w:val="auto"/>
          <w:lang w:val="en-US" w:eastAsia="zh-CN"/>
        </w:rPr>
      </w:pPr>
      <w:r>
        <w:rPr>
          <w:rFonts w:hint="eastAsia"/>
          <w:color w:val="auto"/>
          <w:lang w:val="en-US" w:eastAsia="zh-CN"/>
        </w:rPr>
        <w:t>表2.1-1 企业基本情况</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9"/>
        <w:gridCol w:w="1904"/>
        <w:gridCol w:w="1967"/>
        <w:gridCol w:w="1269"/>
        <w:gridCol w:w="1299"/>
        <w:gridCol w:w="1400"/>
      </w:tblGrid>
      <w:tr w14:paraId="114A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1449" w:type="dxa"/>
            <w:vAlign w:val="center"/>
          </w:tcPr>
          <w:p w14:paraId="4E8120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企业名称</w:t>
            </w:r>
          </w:p>
        </w:tc>
        <w:tc>
          <w:tcPr>
            <w:tcW w:w="3871" w:type="dxa"/>
            <w:gridSpan w:val="2"/>
            <w:vAlign w:val="center"/>
          </w:tcPr>
          <w:p w14:paraId="673836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鄱阳县金义矿产有限公司</w:t>
            </w:r>
          </w:p>
        </w:tc>
        <w:tc>
          <w:tcPr>
            <w:tcW w:w="1269" w:type="dxa"/>
            <w:vAlign w:val="center"/>
          </w:tcPr>
          <w:p w14:paraId="02A9D8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矿山名称</w:t>
            </w:r>
          </w:p>
        </w:tc>
        <w:tc>
          <w:tcPr>
            <w:tcW w:w="2699" w:type="dxa"/>
            <w:gridSpan w:val="2"/>
            <w:vAlign w:val="center"/>
          </w:tcPr>
          <w:p w14:paraId="1F6621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鄱阳县响水滩乡禾互山建筑用石料矿</w:t>
            </w:r>
          </w:p>
        </w:tc>
      </w:tr>
      <w:tr w14:paraId="362A8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1449" w:type="dxa"/>
            <w:vAlign w:val="center"/>
          </w:tcPr>
          <w:p w14:paraId="59BCDE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企业地址</w:t>
            </w:r>
          </w:p>
        </w:tc>
        <w:tc>
          <w:tcPr>
            <w:tcW w:w="3871" w:type="dxa"/>
            <w:gridSpan w:val="2"/>
            <w:vAlign w:val="center"/>
          </w:tcPr>
          <w:p w14:paraId="628B84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江西省上饶市鄱阳县响水滩乡李嘴村委会李嘴村</w:t>
            </w:r>
          </w:p>
        </w:tc>
        <w:tc>
          <w:tcPr>
            <w:tcW w:w="1269" w:type="dxa"/>
            <w:vAlign w:val="center"/>
          </w:tcPr>
          <w:p w14:paraId="670E0E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矿山地址</w:t>
            </w:r>
          </w:p>
        </w:tc>
        <w:tc>
          <w:tcPr>
            <w:tcW w:w="2699" w:type="dxa"/>
            <w:gridSpan w:val="2"/>
            <w:vAlign w:val="center"/>
          </w:tcPr>
          <w:p w14:paraId="16A7D7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直线距离响水滩乡14km</w:t>
            </w:r>
          </w:p>
        </w:tc>
      </w:tr>
      <w:tr w14:paraId="0E30D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449" w:type="dxa"/>
            <w:vAlign w:val="center"/>
          </w:tcPr>
          <w:p w14:paraId="2A98BD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法人代表</w:t>
            </w:r>
          </w:p>
        </w:tc>
        <w:tc>
          <w:tcPr>
            <w:tcW w:w="3871" w:type="dxa"/>
            <w:gridSpan w:val="2"/>
            <w:vAlign w:val="center"/>
          </w:tcPr>
          <w:p w14:paraId="50981C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李志明</w:t>
            </w:r>
          </w:p>
        </w:tc>
        <w:tc>
          <w:tcPr>
            <w:tcW w:w="1269" w:type="dxa"/>
            <w:vAlign w:val="center"/>
          </w:tcPr>
          <w:p w14:paraId="1C27A4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主要负责人</w:t>
            </w:r>
          </w:p>
        </w:tc>
        <w:tc>
          <w:tcPr>
            <w:tcW w:w="2699" w:type="dxa"/>
            <w:gridSpan w:val="2"/>
            <w:vAlign w:val="center"/>
          </w:tcPr>
          <w:p w14:paraId="2DBF66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李志明</w:t>
            </w:r>
          </w:p>
        </w:tc>
      </w:tr>
      <w:tr w14:paraId="5F01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449" w:type="dxa"/>
            <w:vAlign w:val="center"/>
          </w:tcPr>
          <w:p w14:paraId="363E69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经济类型</w:t>
            </w:r>
          </w:p>
        </w:tc>
        <w:tc>
          <w:tcPr>
            <w:tcW w:w="3871" w:type="dxa"/>
            <w:gridSpan w:val="2"/>
            <w:vAlign w:val="center"/>
          </w:tcPr>
          <w:p w14:paraId="6A2085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有限责任公司</w:t>
            </w:r>
          </w:p>
        </w:tc>
        <w:tc>
          <w:tcPr>
            <w:tcW w:w="1269" w:type="dxa"/>
            <w:vAlign w:val="center"/>
          </w:tcPr>
          <w:p w14:paraId="03844D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建矿时间</w:t>
            </w:r>
          </w:p>
        </w:tc>
        <w:tc>
          <w:tcPr>
            <w:tcW w:w="2699" w:type="dxa"/>
            <w:gridSpan w:val="2"/>
            <w:vAlign w:val="center"/>
          </w:tcPr>
          <w:p w14:paraId="06C873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2019年3月</w:t>
            </w:r>
          </w:p>
        </w:tc>
      </w:tr>
      <w:tr w14:paraId="4785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449" w:type="dxa"/>
            <w:vAlign w:val="center"/>
          </w:tcPr>
          <w:p w14:paraId="5A2BAB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开采矿种</w:t>
            </w:r>
          </w:p>
        </w:tc>
        <w:tc>
          <w:tcPr>
            <w:tcW w:w="1904" w:type="dxa"/>
            <w:vAlign w:val="center"/>
          </w:tcPr>
          <w:p w14:paraId="732335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建筑用砂</w:t>
            </w:r>
            <w:r>
              <w:rPr>
                <w:rFonts w:hint="default"/>
                <w:color w:val="auto"/>
                <w:sz w:val="21"/>
                <w:szCs w:val="21"/>
                <w:vertAlign w:val="baseline"/>
                <w:lang w:val="en-US" w:eastAsia="zh-CN"/>
              </w:rPr>
              <w:t>岩</w:t>
            </w:r>
          </w:p>
        </w:tc>
        <w:tc>
          <w:tcPr>
            <w:tcW w:w="1967" w:type="dxa"/>
            <w:vAlign w:val="center"/>
          </w:tcPr>
          <w:p w14:paraId="3BEFB0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生产规模</w:t>
            </w:r>
          </w:p>
        </w:tc>
        <w:tc>
          <w:tcPr>
            <w:tcW w:w="1269" w:type="dxa"/>
            <w:vAlign w:val="center"/>
          </w:tcPr>
          <w:p w14:paraId="7830AC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35</w:t>
            </w:r>
            <w:r>
              <w:rPr>
                <w:rFonts w:hint="eastAsia" w:ascii="Times New Roman" w:hAnsi="Times New Roman" w:eastAsia="宋体" w:cs="Times New Roman"/>
                <w:color w:val="auto"/>
                <w:sz w:val="21"/>
                <w:szCs w:val="21"/>
                <w:vertAlign w:val="baseline"/>
                <w:lang w:val="en-US" w:eastAsia="zh-CN"/>
              </w:rPr>
              <w:t>万吨/年</w:t>
            </w:r>
          </w:p>
        </w:tc>
        <w:tc>
          <w:tcPr>
            <w:tcW w:w="1299" w:type="dxa"/>
            <w:vAlign w:val="center"/>
          </w:tcPr>
          <w:p w14:paraId="709611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开采方式</w:t>
            </w:r>
          </w:p>
        </w:tc>
        <w:tc>
          <w:tcPr>
            <w:tcW w:w="1400" w:type="dxa"/>
            <w:vAlign w:val="center"/>
          </w:tcPr>
          <w:p w14:paraId="75CF6E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露天开采</w:t>
            </w:r>
          </w:p>
        </w:tc>
      </w:tr>
      <w:tr w14:paraId="3F19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3353" w:type="dxa"/>
            <w:gridSpan w:val="2"/>
            <w:vMerge w:val="restart"/>
            <w:vAlign w:val="center"/>
          </w:tcPr>
          <w:p w14:paraId="323501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企业营业执照</w:t>
            </w:r>
          </w:p>
        </w:tc>
        <w:tc>
          <w:tcPr>
            <w:tcW w:w="1967" w:type="dxa"/>
            <w:vAlign w:val="center"/>
          </w:tcPr>
          <w:p w14:paraId="7E3254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统一社会信用代码</w:t>
            </w:r>
          </w:p>
        </w:tc>
        <w:tc>
          <w:tcPr>
            <w:tcW w:w="3968" w:type="dxa"/>
            <w:gridSpan w:val="3"/>
            <w:vAlign w:val="center"/>
          </w:tcPr>
          <w:p w14:paraId="088E51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91361128MA37X6JY4R</w:t>
            </w:r>
          </w:p>
        </w:tc>
      </w:tr>
      <w:tr w14:paraId="56484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3353" w:type="dxa"/>
            <w:gridSpan w:val="2"/>
            <w:vMerge w:val="continue"/>
            <w:vAlign w:val="center"/>
          </w:tcPr>
          <w:p w14:paraId="4A5958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p>
        </w:tc>
        <w:tc>
          <w:tcPr>
            <w:tcW w:w="1967" w:type="dxa"/>
            <w:vAlign w:val="center"/>
          </w:tcPr>
          <w:p w14:paraId="7BFB1E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发证单位</w:t>
            </w:r>
          </w:p>
        </w:tc>
        <w:tc>
          <w:tcPr>
            <w:tcW w:w="3968" w:type="dxa"/>
            <w:gridSpan w:val="3"/>
            <w:vAlign w:val="center"/>
          </w:tcPr>
          <w:p w14:paraId="5D85BC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鄱阳</w:t>
            </w:r>
            <w:r>
              <w:rPr>
                <w:rFonts w:hint="default"/>
                <w:color w:val="auto"/>
                <w:sz w:val="21"/>
                <w:szCs w:val="21"/>
                <w:vertAlign w:val="baseline"/>
                <w:lang w:val="en-US" w:eastAsia="zh-CN"/>
              </w:rPr>
              <w:t>县市场监督管理局</w:t>
            </w:r>
          </w:p>
        </w:tc>
      </w:tr>
      <w:tr w14:paraId="73DE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3" w:type="dxa"/>
            <w:gridSpan w:val="2"/>
            <w:vMerge w:val="continue"/>
            <w:vAlign w:val="center"/>
          </w:tcPr>
          <w:p w14:paraId="7F2021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p>
        </w:tc>
        <w:tc>
          <w:tcPr>
            <w:tcW w:w="1967" w:type="dxa"/>
            <w:vAlign w:val="center"/>
          </w:tcPr>
          <w:p w14:paraId="3A5229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成立日期</w:t>
            </w:r>
          </w:p>
        </w:tc>
        <w:tc>
          <w:tcPr>
            <w:tcW w:w="3968" w:type="dxa"/>
            <w:gridSpan w:val="3"/>
            <w:vAlign w:val="center"/>
          </w:tcPr>
          <w:p w14:paraId="2E8C50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2018年05月21日</w:t>
            </w:r>
          </w:p>
        </w:tc>
      </w:tr>
      <w:tr w14:paraId="4CD9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3353" w:type="dxa"/>
            <w:gridSpan w:val="2"/>
            <w:vMerge w:val="restart"/>
            <w:vAlign w:val="center"/>
          </w:tcPr>
          <w:p w14:paraId="14A850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采矿许可证</w:t>
            </w:r>
          </w:p>
        </w:tc>
        <w:tc>
          <w:tcPr>
            <w:tcW w:w="1967" w:type="dxa"/>
            <w:vAlign w:val="center"/>
          </w:tcPr>
          <w:p w14:paraId="55B7DF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证号</w:t>
            </w:r>
          </w:p>
        </w:tc>
        <w:tc>
          <w:tcPr>
            <w:tcW w:w="3968" w:type="dxa"/>
            <w:gridSpan w:val="3"/>
            <w:vAlign w:val="center"/>
          </w:tcPr>
          <w:p w14:paraId="4FD2E4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C3611</w:t>
            </w:r>
            <w:r>
              <w:rPr>
                <w:rFonts w:hint="eastAsia"/>
                <w:color w:val="auto"/>
                <w:sz w:val="21"/>
                <w:szCs w:val="21"/>
                <w:vertAlign w:val="baseline"/>
                <w:lang w:val="en-US" w:eastAsia="zh-CN"/>
              </w:rPr>
              <w:t>282019037100147701</w:t>
            </w:r>
          </w:p>
        </w:tc>
      </w:tr>
      <w:tr w14:paraId="6598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353" w:type="dxa"/>
            <w:gridSpan w:val="2"/>
            <w:vMerge w:val="continue"/>
            <w:vAlign w:val="center"/>
          </w:tcPr>
          <w:p w14:paraId="3DBB2D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p>
        </w:tc>
        <w:tc>
          <w:tcPr>
            <w:tcW w:w="1967" w:type="dxa"/>
            <w:vAlign w:val="center"/>
          </w:tcPr>
          <w:p w14:paraId="28A095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发证单位</w:t>
            </w:r>
          </w:p>
        </w:tc>
        <w:tc>
          <w:tcPr>
            <w:tcW w:w="3968" w:type="dxa"/>
            <w:gridSpan w:val="3"/>
            <w:vAlign w:val="center"/>
          </w:tcPr>
          <w:p w14:paraId="6A9692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鄱阳县人民政府</w:t>
            </w:r>
          </w:p>
        </w:tc>
      </w:tr>
      <w:tr w14:paraId="5B04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3353" w:type="dxa"/>
            <w:gridSpan w:val="2"/>
            <w:vMerge w:val="continue"/>
            <w:vAlign w:val="center"/>
          </w:tcPr>
          <w:p w14:paraId="3A2A1B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p>
        </w:tc>
        <w:tc>
          <w:tcPr>
            <w:tcW w:w="1967" w:type="dxa"/>
            <w:vAlign w:val="center"/>
          </w:tcPr>
          <w:p w14:paraId="269B86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有效期限</w:t>
            </w:r>
          </w:p>
        </w:tc>
        <w:tc>
          <w:tcPr>
            <w:tcW w:w="3968" w:type="dxa"/>
            <w:gridSpan w:val="3"/>
            <w:vAlign w:val="center"/>
          </w:tcPr>
          <w:p w14:paraId="178587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2028年03月28日</w:t>
            </w:r>
          </w:p>
        </w:tc>
      </w:tr>
      <w:tr w14:paraId="3FEC3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353" w:type="dxa"/>
            <w:gridSpan w:val="2"/>
            <w:vMerge w:val="restart"/>
            <w:shd w:val="clear" w:color="auto" w:fill="auto"/>
            <w:vAlign w:val="center"/>
          </w:tcPr>
          <w:p w14:paraId="2FAC9A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安全生产许可证</w:t>
            </w:r>
          </w:p>
        </w:tc>
        <w:tc>
          <w:tcPr>
            <w:tcW w:w="1967" w:type="dxa"/>
            <w:shd w:val="clear" w:color="auto" w:fill="auto"/>
            <w:vAlign w:val="center"/>
          </w:tcPr>
          <w:p w14:paraId="5A7C90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证号</w:t>
            </w:r>
          </w:p>
        </w:tc>
        <w:tc>
          <w:tcPr>
            <w:tcW w:w="3968" w:type="dxa"/>
            <w:gridSpan w:val="3"/>
            <w:shd w:val="clear" w:color="auto" w:fill="auto"/>
            <w:vAlign w:val="center"/>
          </w:tcPr>
          <w:p w14:paraId="53F76C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赣</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FM安许证字</w:t>
            </w:r>
            <w:r>
              <w:rPr>
                <w:rFonts w:hint="eastAsia" w:asciiTheme="minorEastAsia" w:hAnsiTheme="minorEastAsia" w:eastAsiaTheme="minorEastAsia" w:cstheme="minorEastAsia"/>
                <w:color w:val="auto"/>
                <w:kern w:val="2"/>
                <w:sz w:val="21"/>
                <w:szCs w:val="21"/>
                <w:vertAlign w:val="baseline"/>
                <w:lang w:val="en-US" w:eastAsia="zh-CN" w:bidi="ar-SA"/>
              </w:rPr>
              <w:t>[</w:t>
            </w:r>
            <w:r>
              <w:rPr>
                <w:rFonts w:hint="default" w:ascii="Times New Roman" w:hAnsi="Times New Roman" w:eastAsia="微软雅黑" w:cs="Times New Roman"/>
                <w:color w:val="auto"/>
                <w:kern w:val="2"/>
                <w:sz w:val="21"/>
                <w:szCs w:val="21"/>
                <w:vertAlign w:val="baseline"/>
                <w:lang w:val="en-US" w:eastAsia="zh-CN" w:bidi="ar-SA"/>
              </w:rPr>
              <w:t>2023</w:t>
            </w:r>
            <w:r>
              <w:rPr>
                <w:rFonts w:hint="eastAsia" w:asciiTheme="minorEastAsia" w:hAnsiTheme="minorEastAsia" w:eastAsiaTheme="minorEastAsia" w:cstheme="minorEastAsia"/>
                <w:color w:val="auto"/>
                <w:kern w:val="2"/>
                <w:sz w:val="21"/>
                <w:szCs w:val="21"/>
                <w:vertAlign w:val="baseline"/>
                <w:lang w:val="en-US" w:eastAsia="zh-CN" w:bidi="ar-SA"/>
              </w:rPr>
              <w:t>]</w:t>
            </w:r>
            <w:r>
              <w:rPr>
                <w:rFonts w:hint="eastAsia" w:cs="Times New Roman"/>
                <w:color w:val="auto"/>
                <w:kern w:val="2"/>
                <w:sz w:val="21"/>
                <w:szCs w:val="21"/>
                <w:vertAlign w:val="baseline"/>
                <w:lang w:val="en-US" w:eastAsia="zh-CN" w:bidi="ar-SA"/>
              </w:rPr>
              <w:t>EK05号</w:t>
            </w:r>
          </w:p>
        </w:tc>
      </w:tr>
      <w:tr w14:paraId="5288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353" w:type="dxa"/>
            <w:gridSpan w:val="2"/>
            <w:vMerge w:val="continue"/>
            <w:shd w:val="clear" w:color="auto" w:fill="auto"/>
            <w:vAlign w:val="center"/>
          </w:tcPr>
          <w:p w14:paraId="26B002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1967" w:type="dxa"/>
            <w:shd w:val="clear" w:color="auto" w:fill="auto"/>
            <w:vAlign w:val="center"/>
          </w:tcPr>
          <w:p w14:paraId="4EF303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发证单位</w:t>
            </w:r>
          </w:p>
        </w:tc>
        <w:tc>
          <w:tcPr>
            <w:tcW w:w="3968" w:type="dxa"/>
            <w:gridSpan w:val="3"/>
            <w:shd w:val="clear" w:color="auto" w:fill="auto"/>
            <w:vAlign w:val="center"/>
          </w:tcPr>
          <w:p w14:paraId="3220BE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鄱阳县应急管理局</w:t>
            </w:r>
          </w:p>
        </w:tc>
      </w:tr>
      <w:tr w14:paraId="3737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353" w:type="dxa"/>
            <w:gridSpan w:val="2"/>
            <w:vMerge w:val="continue"/>
            <w:shd w:val="clear" w:color="auto" w:fill="auto"/>
            <w:vAlign w:val="center"/>
          </w:tcPr>
          <w:p w14:paraId="634AB9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1967" w:type="dxa"/>
            <w:shd w:val="clear" w:color="auto" w:fill="auto"/>
            <w:vAlign w:val="center"/>
          </w:tcPr>
          <w:p w14:paraId="552DDA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有效期限</w:t>
            </w:r>
          </w:p>
        </w:tc>
        <w:tc>
          <w:tcPr>
            <w:tcW w:w="3968" w:type="dxa"/>
            <w:gridSpan w:val="3"/>
            <w:shd w:val="clear" w:color="auto" w:fill="auto"/>
            <w:vAlign w:val="center"/>
          </w:tcPr>
          <w:p w14:paraId="767959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2026年04月05日</w:t>
            </w:r>
          </w:p>
        </w:tc>
      </w:tr>
      <w:tr w14:paraId="3BC6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3353" w:type="dxa"/>
            <w:gridSpan w:val="2"/>
            <w:vMerge w:val="restart"/>
            <w:shd w:val="clear" w:color="auto" w:fill="auto"/>
            <w:vAlign w:val="center"/>
          </w:tcPr>
          <w:p w14:paraId="380D19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安全生产标准化</w:t>
            </w:r>
          </w:p>
        </w:tc>
        <w:tc>
          <w:tcPr>
            <w:tcW w:w="1967" w:type="dxa"/>
            <w:shd w:val="clear" w:color="auto" w:fill="auto"/>
            <w:vAlign w:val="center"/>
          </w:tcPr>
          <w:p w14:paraId="2ED1CD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等级</w:t>
            </w:r>
          </w:p>
        </w:tc>
        <w:tc>
          <w:tcPr>
            <w:tcW w:w="3968" w:type="dxa"/>
            <w:gridSpan w:val="3"/>
            <w:shd w:val="clear" w:color="auto" w:fill="auto"/>
            <w:vAlign w:val="center"/>
          </w:tcPr>
          <w:p w14:paraId="54BC3D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三级</w:t>
            </w:r>
          </w:p>
        </w:tc>
      </w:tr>
      <w:tr w14:paraId="696B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3353" w:type="dxa"/>
            <w:gridSpan w:val="2"/>
            <w:vMerge w:val="continue"/>
            <w:shd w:val="clear" w:color="auto" w:fill="auto"/>
            <w:vAlign w:val="center"/>
          </w:tcPr>
          <w:p w14:paraId="017902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1967" w:type="dxa"/>
            <w:shd w:val="clear" w:color="auto" w:fill="auto"/>
            <w:vAlign w:val="center"/>
          </w:tcPr>
          <w:p w14:paraId="41545F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证书编号</w:t>
            </w:r>
          </w:p>
        </w:tc>
        <w:tc>
          <w:tcPr>
            <w:tcW w:w="3968" w:type="dxa"/>
            <w:gridSpan w:val="3"/>
            <w:shd w:val="clear" w:color="auto" w:fill="auto"/>
            <w:vAlign w:val="center"/>
          </w:tcPr>
          <w:p w14:paraId="0B12E2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赣AQB</w:t>
            </w:r>
            <w:r>
              <w:rPr>
                <w:rFonts w:hint="eastAsia" w:asciiTheme="minorEastAsia" w:hAnsiTheme="minorEastAsia" w:eastAsiaTheme="minorEastAsia" w:cstheme="minorEastAsia"/>
                <w:color w:val="auto"/>
                <w:kern w:val="2"/>
                <w:sz w:val="21"/>
                <w:szCs w:val="21"/>
                <w:vertAlign w:val="baseline"/>
                <w:lang w:val="en-US" w:eastAsia="zh-CN" w:bidi="ar-SA"/>
              </w:rPr>
              <w:t>Ⅲ</w:t>
            </w:r>
            <w:r>
              <w:rPr>
                <w:rFonts w:hint="eastAsia" w:ascii="Times New Roman" w:hAnsi="Times New Roman" w:cs="Times New Roman" w:eastAsiaTheme="minorEastAsia"/>
                <w:color w:val="auto"/>
                <w:kern w:val="2"/>
                <w:sz w:val="21"/>
                <w:szCs w:val="21"/>
                <w:vertAlign w:val="baseline"/>
                <w:lang w:val="en-US" w:eastAsia="zh-CN" w:bidi="ar-SA"/>
              </w:rPr>
              <w:t>KS202300001</w:t>
            </w:r>
          </w:p>
        </w:tc>
      </w:tr>
      <w:tr w14:paraId="0EF1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353" w:type="dxa"/>
            <w:gridSpan w:val="2"/>
            <w:vMerge w:val="continue"/>
            <w:shd w:val="clear" w:color="auto" w:fill="auto"/>
            <w:vAlign w:val="center"/>
          </w:tcPr>
          <w:p w14:paraId="7287CF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1967" w:type="dxa"/>
            <w:shd w:val="clear" w:color="auto" w:fill="auto"/>
            <w:vAlign w:val="center"/>
          </w:tcPr>
          <w:p w14:paraId="0BBDFF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有效期限</w:t>
            </w:r>
          </w:p>
        </w:tc>
        <w:tc>
          <w:tcPr>
            <w:tcW w:w="3968" w:type="dxa"/>
            <w:gridSpan w:val="3"/>
            <w:shd w:val="clear" w:color="auto" w:fill="auto"/>
            <w:vAlign w:val="center"/>
          </w:tcPr>
          <w:p w14:paraId="4B67AD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202</w:t>
            </w:r>
            <w:r>
              <w:rPr>
                <w:rFonts w:hint="eastAsia" w:cs="Times New Roman"/>
                <w:color w:val="auto"/>
                <w:kern w:val="2"/>
                <w:sz w:val="21"/>
                <w:szCs w:val="21"/>
                <w:vertAlign w:val="baseline"/>
                <w:lang w:val="en-US" w:eastAsia="zh-CN" w:bidi="ar-SA"/>
              </w:rPr>
              <w:t>6</w:t>
            </w:r>
            <w:r>
              <w:rPr>
                <w:rFonts w:hint="eastAsia" w:ascii="Times New Roman" w:hAnsi="Times New Roman" w:eastAsia="宋体" w:cs="Times New Roman"/>
                <w:color w:val="auto"/>
                <w:kern w:val="2"/>
                <w:sz w:val="21"/>
                <w:szCs w:val="21"/>
                <w:vertAlign w:val="baseline"/>
                <w:lang w:val="en-US" w:eastAsia="zh-CN" w:bidi="ar-SA"/>
              </w:rPr>
              <w:t>年</w:t>
            </w:r>
            <w:r>
              <w:rPr>
                <w:rFonts w:hint="eastAsia" w:cs="Times New Roman"/>
                <w:color w:val="auto"/>
                <w:kern w:val="2"/>
                <w:sz w:val="21"/>
                <w:szCs w:val="21"/>
                <w:vertAlign w:val="baseline"/>
                <w:lang w:val="en-US" w:eastAsia="zh-CN" w:bidi="ar-SA"/>
              </w:rPr>
              <w:t>04</w:t>
            </w:r>
            <w:r>
              <w:rPr>
                <w:rFonts w:hint="eastAsia" w:ascii="Times New Roman" w:hAnsi="Times New Roman" w:eastAsia="宋体" w:cs="Times New Roman"/>
                <w:color w:val="auto"/>
                <w:kern w:val="2"/>
                <w:sz w:val="21"/>
                <w:szCs w:val="21"/>
                <w:vertAlign w:val="baseline"/>
                <w:lang w:val="en-US" w:eastAsia="zh-CN" w:bidi="ar-SA"/>
              </w:rPr>
              <w:t>月</w:t>
            </w:r>
            <w:r>
              <w:rPr>
                <w:rFonts w:hint="eastAsia" w:cs="Times New Roman"/>
                <w:color w:val="auto"/>
                <w:kern w:val="2"/>
                <w:sz w:val="21"/>
                <w:szCs w:val="21"/>
                <w:vertAlign w:val="baseline"/>
                <w:lang w:val="en-US" w:eastAsia="zh-CN" w:bidi="ar-SA"/>
              </w:rPr>
              <w:t>05</w:t>
            </w:r>
            <w:r>
              <w:rPr>
                <w:rFonts w:hint="eastAsia" w:ascii="Times New Roman" w:hAnsi="Times New Roman" w:eastAsia="宋体" w:cs="Times New Roman"/>
                <w:color w:val="auto"/>
                <w:kern w:val="2"/>
                <w:sz w:val="21"/>
                <w:szCs w:val="21"/>
                <w:vertAlign w:val="baseline"/>
                <w:lang w:val="en-US" w:eastAsia="zh-CN" w:bidi="ar-SA"/>
              </w:rPr>
              <w:t>日</w:t>
            </w:r>
          </w:p>
        </w:tc>
      </w:tr>
    </w:tbl>
    <w:p w14:paraId="2A50DA35">
      <w:pPr>
        <w:bidi w:val="0"/>
        <w:rPr>
          <w:rFonts w:hint="default"/>
          <w:color w:val="auto"/>
          <w:lang w:val="en-US" w:eastAsia="zh-CN"/>
        </w:rPr>
      </w:pPr>
      <w:r>
        <w:rPr>
          <w:rFonts w:hint="eastAsia"/>
          <w:color w:val="auto"/>
          <w:lang w:val="en-US" w:eastAsia="zh-CN"/>
        </w:rPr>
        <w:t>2. 项目情况</w:t>
      </w:r>
    </w:p>
    <w:p w14:paraId="12523BA0">
      <w:pPr>
        <w:rPr>
          <w:rFonts w:hint="default"/>
          <w:color w:val="auto"/>
          <w:lang w:val="en-US" w:eastAsia="zh-CN"/>
        </w:rPr>
      </w:pPr>
      <w:r>
        <w:rPr>
          <w:rFonts w:hint="default"/>
          <w:color w:val="auto"/>
          <w:lang w:val="en-US" w:eastAsia="zh-CN"/>
        </w:rPr>
        <w:t>2018年6月</w:t>
      </w:r>
      <w:r>
        <w:rPr>
          <w:rFonts w:hint="eastAsia"/>
          <w:color w:val="auto"/>
          <w:lang w:val="en-US" w:eastAsia="zh-CN"/>
        </w:rPr>
        <w:t>，</w:t>
      </w:r>
      <w:r>
        <w:rPr>
          <w:rFonts w:hint="default"/>
          <w:color w:val="auto"/>
          <w:lang w:val="en-US" w:eastAsia="zh-CN"/>
        </w:rPr>
        <w:t>江西省地质矿产勘查开发局九一二大队编制完成了《江西省鄱阳县响水滩乡禾互山矿区建筑用石料矿储量地质报告》</w:t>
      </w:r>
      <w:r>
        <w:rPr>
          <w:rFonts w:hint="eastAsia"/>
          <w:color w:val="auto"/>
          <w:lang w:val="en-US" w:eastAsia="zh-CN"/>
        </w:rPr>
        <w:t>。</w:t>
      </w:r>
    </w:p>
    <w:p w14:paraId="14FB1380">
      <w:pPr>
        <w:rPr>
          <w:rFonts w:hint="eastAsia"/>
          <w:color w:val="auto"/>
          <w:lang w:val="en-US" w:eastAsia="zh-CN"/>
        </w:rPr>
      </w:pPr>
      <w:r>
        <w:rPr>
          <w:rFonts w:hint="default"/>
          <w:color w:val="auto"/>
          <w:lang w:val="en-US" w:eastAsia="zh-CN"/>
        </w:rPr>
        <w:t>2018年6月</w:t>
      </w:r>
      <w:r>
        <w:rPr>
          <w:rFonts w:hint="eastAsia"/>
          <w:color w:val="auto"/>
          <w:lang w:val="en-US" w:eastAsia="zh-CN"/>
        </w:rPr>
        <w:t>，江西省天久地矿建设工程院</w:t>
      </w:r>
      <w:r>
        <w:rPr>
          <w:rFonts w:hint="default"/>
          <w:color w:val="auto"/>
          <w:lang w:val="en-US" w:eastAsia="zh-CN"/>
        </w:rPr>
        <w:t>编制完成了</w:t>
      </w:r>
      <w:r>
        <w:rPr>
          <w:rFonts w:hint="eastAsia"/>
          <w:color w:val="auto"/>
          <w:lang w:val="en-US" w:eastAsia="zh-CN"/>
        </w:rPr>
        <w:t>《江西省鄱阳县响水滩乡禾互山矿区建筑用石料矿矿产资源开发利用、地质环境恢复治理与土地复垦方案》。</w:t>
      </w:r>
    </w:p>
    <w:p w14:paraId="4426B90B">
      <w:pPr>
        <w:keepNext w:val="0"/>
        <w:keepLines w:val="0"/>
        <w:pageBreakBefore w:val="0"/>
        <w:widowControl w:val="0"/>
        <w:tabs>
          <w:tab w:val="left" w:pos="525"/>
        </w:tabs>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宋体"/>
          <w:sz w:val="28"/>
          <w:szCs w:val="28"/>
          <w:lang w:val="en-US" w:eastAsia="zh-CN"/>
        </w:rPr>
      </w:pPr>
      <w:r>
        <w:rPr>
          <w:rFonts w:hint="eastAsia" w:ascii="Times New Roman" w:hAnsi="Times New Roman" w:eastAsia="宋体" w:cs="宋体"/>
          <w:sz w:val="28"/>
          <w:szCs w:val="28"/>
          <w:lang w:val="en-US" w:eastAsia="zh-CN"/>
        </w:rPr>
        <w:t>2019年3月</w:t>
      </w:r>
      <w:r>
        <w:rPr>
          <w:rFonts w:hint="default" w:ascii="Times New Roman" w:hAnsi="Times New Roman" w:eastAsia="宋体" w:cs="宋体"/>
          <w:sz w:val="28"/>
          <w:szCs w:val="28"/>
          <w:lang w:eastAsia="zh-CN"/>
        </w:rPr>
        <w:t>，</w:t>
      </w:r>
      <w:r>
        <w:rPr>
          <w:rFonts w:hint="eastAsia"/>
          <w:color w:val="auto"/>
          <w:lang w:eastAsia="zh-CN"/>
        </w:rPr>
        <w:t>鄱阳县金义矿产有限公司</w:t>
      </w:r>
      <w:r>
        <w:rPr>
          <w:rFonts w:hint="eastAsia"/>
          <w:color w:val="auto"/>
          <w:lang w:val="en-US" w:eastAsia="zh-CN"/>
        </w:rPr>
        <w:t>取得了鄱阳县响水滩乡禾互山建筑用石料矿采矿许可证，</w:t>
      </w:r>
      <w:r>
        <w:rPr>
          <w:rFonts w:hint="eastAsia" w:ascii="Times New Roman" w:hAnsi="Times New Roman" w:eastAsia="宋体" w:cs="宋体"/>
          <w:sz w:val="28"/>
          <w:szCs w:val="28"/>
          <w:lang w:val="en-US" w:eastAsia="zh-CN"/>
        </w:rPr>
        <w:t>证号：C3611282019037100147701。</w:t>
      </w:r>
    </w:p>
    <w:p w14:paraId="7B64EFB5">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2019年3月，海湾工程有限公司</w:t>
      </w:r>
      <w:r>
        <w:rPr>
          <w:rFonts w:hint="default"/>
          <w:color w:val="auto"/>
          <w:lang w:val="en-US" w:eastAsia="zh-CN"/>
        </w:rPr>
        <w:t>编制</w:t>
      </w:r>
      <w:r>
        <w:rPr>
          <w:rFonts w:hint="eastAsia"/>
          <w:color w:val="auto"/>
          <w:lang w:val="en-US" w:eastAsia="zh-CN"/>
        </w:rPr>
        <w:t>完成</w:t>
      </w:r>
      <w:r>
        <w:rPr>
          <w:rFonts w:hint="default"/>
          <w:color w:val="auto"/>
          <w:lang w:val="en-US" w:eastAsia="zh-CN"/>
        </w:rPr>
        <w:t>了</w:t>
      </w:r>
      <w:r>
        <w:rPr>
          <w:rFonts w:hint="eastAsia" w:ascii="Times New Roman" w:hAnsi="Times New Roman" w:eastAsia="宋体" w:cs="Times New Roman"/>
          <w:color w:val="auto"/>
          <w:lang w:val="en-US" w:eastAsia="zh-CN"/>
        </w:rPr>
        <w:t>《鄱阳县金义矿产有限公司鄱阳县响水滩乡禾互山建筑用石料矿露天开采</w:t>
      </w:r>
      <w:r>
        <w:rPr>
          <w:rFonts w:hint="eastAsia" w:cs="Times New Roman"/>
          <w:color w:val="auto"/>
          <w:lang w:val="en-US" w:eastAsia="zh-CN"/>
        </w:rPr>
        <w:t>初步设计</w:t>
      </w:r>
      <w:r>
        <w:rPr>
          <w:rFonts w:hint="eastAsia" w:ascii="Times New Roman" w:hAnsi="Times New Roman" w:eastAsia="宋体" w:cs="Times New Roman"/>
          <w:color w:val="auto"/>
          <w:lang w:val="en-US" w:eastAsia="zh-CN"/>
        </w:rPr>
        <w:t>》、《鄱阳县金义矿产有限公司鄱阳县响水滩乡禾互山建筑用石料矿露天开采安全设施设计》。</w:t>
      </w:r>
    </w:p>
    <w:p w14:paraId="1152DDBB">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2019年6月，原鄱阳县安全生产监督管理局组织专家对《鄱阳县金义矿产有限公司鄱阳县响水滩乡禾互山建筑用石料矿露天开采安全设施设计》进行了评审。鄱阳县安全生产监督管理局下发了《关于鄱阳县金义矿产有限公司鄱阳县响水滩乡禾互山建筑用石料矿露天开采安全设施设计的审查意见》（鄱应急字</w:t>
      </w:r>
      <w:r>
        <w:rPr>
          <w:rFonts w:hint="eastAsia" w:asciiTheme="minorEastAsia" w:hAnsiTheme="minorEastAsia" w:eastAsiaTheme="minorEastAsia" w:cstheme="minorEastAsia"/>
          <w:color w:val="auto"/>
          <w:lang w:val="en-US" w:eastAsia="zh-CN"/>
        </w:rPr>
        <w:t>[</w:t>
      </w:r>
      <w:r>
        <w:rPr>
          <w:rFonts w:hint="eastAsia" w:ascii="Times New Roman" w:hAnsi="Times New Roman" w:eastAsia="宋体" w:cs="Times New Roman"/>
          <w:color w:val="auto"/>
          <w:lang w:val="en-US" w:eastAsia="zh-CN"/>
        </w:rPr>
        <w:t>2019</w:t>
      </w:r>
      <w:r>
        <w:rPr>
          <w:rFonts w:hint="eastAsia" w:asciiTheme="minorEastAsia" w:hAnsiTheme="minorEastAsia" w:eastAsiaTheme="minorEastAsia" w:cstheme="minorEastAsia"/>
          <w:color w:val="auto"/>
          <w:lang w:val="en-US" w:eastAsia="zh-CN"/>
        </w:rPr>
        <w:t>]</w:t>
      </w:r>
      <w:r>
        <w:rPr>
          <w:rFonts w:hint="eastAsia" w:ascii="Times New Roman" w:hAnsi="Times New Roman" w:eastAsia="宋体" w:cs="Times New Roman"/>
          <w:color w:val="auto"/>
          <w:lang w:val="en-US" w:eastAsia="zh-CN"/>
        </w:rPr>
        <w:t>10号）</w:t>
      </w:r>
    </w:p>
    <w:p w14:paraId="189ABEE0">
      <w:pPr>
        <w:rPr>
          <w:rFonts w:hint="default"/>
          <w:color w:val="auto"/>
          <w:lang w:val="en-US" w:eastAsia="zh-CN"/>
        </w:rPr>
      </w:pPr>
      <w:r>
        <w:rPr>
          <w:rFonts w:hint="eastAsia"/>
          <w:color w:val="auto"/>
          <w:lang w:val="en-US" w:eastAsia="zh-CN"/>
        </w:rPr>
        <w:t>2020年3月，江西赣安安全生产科学技术咨询服务中心进行了验收评价，出具了</w:t>
      </w:r>
      <w:r>
        <w:rPr>
          <w:rFonts w:hint="default"/>
          <w:color w:val="auto"/>
          <w:lang w:val="en-US" w:eastAsia="zh-CN"/>
        </w:rPr>
        <w:t>《</w:t>
      </w:r>
      <w:r>
        <w:rPr>
          <w:rFonts w:hint="eastAsia"/>
          <w:color w:val="auto"/>
          <w:lang w:val="en-US" w:eastAsia="zh-CN"/>
        </w:rPr>
        <w:t>鄱阳县金义矿产有限公司鄱阳县响水滩乡禾互山建筑用石料矿露天开采安全验收评价报告</w:t>
      </w:r>
      <w:r>
        <w:rPr>
          <w:rFonts w:hint="default"/>
          <w:color w:val="auto"/>
          <w:lang w:val="en-US" w:eastAsia="zh-CN"/>
        </w:rPr>
        <w:t>》</w:t>
      </w:r>
      <w:r>
        <w:rPr>
          <w:rFonts w:hint="eastAsia"/>
          <w:color w:val="auto"/>
          <w:lang w:val="en-US" w:eastAsia="zh-CN"/>
        </w:rPr>
        <w:t>。</w:t>
      </w:r>
    </w:p>
    <w:p w14:paraId="4FD67E7B">
      <w:pPr>
        <w:rPr>
          <w:rFonts w:hint="default"/>
          <w:color w:val="auto"/>
          <w:lang w:val="en-US" w:eastAsia="zh-CN"/>
        </w:rPr>
      </w:pPr>
      <w:r>
        <w:rPr>
          <w:rFonts w:hint="eastAsia"/>
          <w:color w:val="auto"/>
          <w:lang w:eastAsia="zh-CN"/>
        </w:rPr>
        <w:t>鄱阳县响水滩乡禾互山建筑用石料矿</w:t>
      </w:r>
      <w:r>
        <w:rPr>
          <w:rFonts w:hint="eastAsia"/>
          <w:color w:val="auto"/>
        </w:rPr>
        <w:t>于202</w:t>
      </w:r>
      <w:r>
        <w:rPr>
          <w:rFonts w:hint="eastAsia"/>
          <w:color w:val="auto"/>
          <w:lang w:val="en-US" w:eastAsia="zh-CN"/>
        </w:rPr>
        <w:t>3</w:t>
      </w:r>
      <w:r>
        <w:rPr>
          <w:rFonts w:hint="eastAsia"/>
          <w:color w:val="auto"/>
        </w:rPr>
        <w:t>年04月</w:t>
      </w:r>
      <w:r>
        <w:rPr>
          <w:rFonts w:hint="eastAsia"/>
          <w:color w:val="auto"/>
          <w:lang w:val="en-US" w:eastAsia="zh-CN"/>
        </w:rPr>
        <w:t>06</w:t>
      </w:r>
      <w:r>
        <w:rPr>
          <w:rFonts w:hint="eastAsia"/>
          <w:color w:val="auto"/>
        </w:rPr>
        <w:t>日获得了</w:t>
      </w:r>
      <w:r>
        <w:rPr>
          <w:rFonts w:hint="eastAsia"/>
          <w:color w:val="auto"/>
          <w:lang w:eastAsia="zh-CN"/>
        </w:rPr>
        <w:t>鄱阳县</w:t>
      </w:r>
      <w:r>
        <w:rPr>
          <w:rFonts w:hint="eastAsia"/>
          <w:color w:val="auto"/>
          <w:lang w:val="en-US" w:eastAsia="zh-CN"/>
        </w:rPr>
        <w:t>应急管理局</w:t>
      </w:r>
      <w:r>
        <w:rPr>
          <w:rFonts w:hint="eastAsia"/>
          <w:color w:val="auto"/>
        </w:rPr>
        <w:t>颁发的安全生产许可证，证号为（赣）FM安许证字</w:t>
      </w:r>
      <w:r>
        <w:rPr>
          <w:rFonts w:hint="eastAsia" w:asciiTheme="minorEastAsia" w:hAnsiTheme="minorEastAsia" w:eastAsiaTheme="minorEastAsia" w:cstheme="minorEastAsia"/>
          <w:color w:val="auto"/>
        </w:rPr>
        <w:t>[</w:t>
      </w:r>
      <w:r>
        <w:rPr>
          <w:rFonts w:hint="eastAsia"/>
          <w:color w:val="auto"/>
        </w:rPr>
        <w:t>2023</w:t>
      </w:r>
      <w:r>
        <w:rPr>
          <w:rFonts w:hint="eastAsia" w:asciiTheme="minorEastAsia" w:hAnsiTheme="minorEastAsia" w:eastAsiaTheme="minorEastAsia" w:cstheme="minorEastAsia"/>
          <w:color w:val="auto"/>
        </w:rPr>
        <w:t>]</w:t>
      </w:r>
      <w:r>
        <w:rPr>
          <w:rFonts w:hint="eastAsia" w:eastAsiaTheme="minorEastAsia"/>
          <w:color w:val="auto"/>
          <w:lang w:val="en-US" w:eastAsia="zh-CN"/>
        </w:rPr>
        <w:t>EK05</w:t>
      </w:r>
      <w:r>
        <w:rPr>
          <w:rFonts w:hint="eastAsia"/>
          <w:color w:val="auto"/>
        </w:rPr>
        <w:t>号，许可范围：</w:t>
      </w:r>
      <w:r>
        <w:rPr>
          <w:rFonts w:hint="eastAsia"/>
          <w:color w:val="auto"/>
          <w:lang w:val="en-US" w:eastAsia="zh-CN"/>
        </w:rPr>
        <w:t>露天爆破开采建筑用砂岩，35万吨/年，+180m、+170m</w:t>
      </w:r>
      <w:r>
        <w:rPr>
          <w:rFonts w:hint="eastAsia"/>
          <w:color w:val="auto"/>
        </w:rPr>
        <w:t>等</w:t>
      </w:r>
      <w:r>
        <w:rPr>
          <w:rFonts w:hint="eastAsia"/>
          <w:color w:val="auto"/>
          <w:lang w:val="en-US" w:eastAsia="zh-CN"/>
        </w:rPr>
        <w:t>两个</w:t>
      </w:r>
      <w:r>
        <w:rPr>
          <w:rFonts w:hint="eastAsia"/>
          <w:color w:val="auto"/>
        </w:rPr>
        <w:t>台阶</w:t>
      </w:r>
      <w:r>
        <w:rPr>
          <w:rFonts w:hint="eastAsia"/>
          <w:color w:val="auto"/>
          <w:lang w:eastAsia="zh-CN"/>
        </w:rPr>
        <w:t>，</w:t>
      </w:r>
      <w:r>
        <w:rPr>
          <w:rFonts w:hint="eastAsia"/>
          <w:color w:val="auto"/>
          <w:lang w:val="en-US" w:eastAsia="zh-CN"/>
        </w:rPr>
        <w:t>台阶坡面角65°</w:t>
      </w:r>
      <w:r>
        <w:rPr>
          <w:rFonts w:hint="eastAsia"/>
          <w:color w:val="auto"/>
        </w:rPr>
        <w:t>。有效期2023年0</w:t>
      </w:r>
      <w:r>
        <w:rPr>
          <w:rFonts w:hint="eastAsia"/>
          <w:color w:val="auto"/>
          <w:lang w:val="en-US" w:eastAsia="zh-CN"/>
        </w:rPr>
        <w:t>4</w:t>
      </w:r>
      <w:r>
        <w:rPr>
          <w:rFonts w:hint="eastAsia"/>
          <w:color w:val="auto"/>
        </w:rPr>
        <w:t>月0</w:t>
      </w:r>
      <w:r>
        <w:rPr>
          <w:rFonts w:hint="eastAsia"/>
          <w:color w:val="auto"/>
          <w:lang w:val="en-US" w:eastAsia="zh-CN"/>
        </w:rPr>
        <w:t>6</w:t>
      </w:r>
      <w:r>
        <w:rPr>
          <w:rFonts w:hint="eastAsia"/>
          <w:color w:val="auto"/>
        </w:rPr>
        <w:t>日至2026年0</w:t>
      </w:r>
      <w:r>
        <w:rPr>
          <w:rFonts w:hint="eastAsia"/>
          <w:color w:val="auto"/>
          <w:lang w:val="en-US" w:eastAsia="zh-CN"/>
        </w:rPr>
        <w:t>4</w:t>
      </w:r>
      <w:r>
        <w:rPr>
          <w:rFonts w:hint="eastAsia"/>
          <w:color w:val="auto"/>
        </w:rPr>
        <w:t>月0</w:t>
      </w:r>
      <w:r>
        <w:rPr>
          <w:rFonts w:hint="eastAsia"/>
          <w:color w:val="auto"/>
          <w:lang w:val="en-US" w:eastAsia="zh-CN"/>
        </w:rPr>
        <w:t>5</w:t>
      </w:r>
      <w:r>
        <w:rPr>
          <w:rFonts w:hint="eastAsia"/>
          <w:color w:val="auto"/>
        </w:rPr>
        <w:t>日。</w:t>
      </w:r>
    </w:p>
    <w:p w14:paraId="7F31BE5E">
      <w:pPr>
        <w:pStyle w:val="4"/>
        <w:bidi w:val="0"/>
        <w:rPr>
          <w:rFonts w:hint="default"/>
          <w:color w:val="auto"/>
          <w:lang w:val="en-US" w:eastAsia="zh-CN"/>
        </w:rPr>
      </w:pPr>
      <w:bookmarkStart w:id="117" w:name="_Toc1018"/>
      <w:bookmarkStart w:id="118" w:name="_Toc3012"/>
      <w:bookmarkStart w:id="119" w:name="_Toc25521"/>
      <w:bookmarkStart w:id="120" w:name="_Toc5020"/>
      <w:bookmarkStart w:id="121" w:name="_Toc28854"/>
      <w:bookmarkStart w:id="122" w:name="_Toc13752"/>
      <w:r>
        <w:rPr>
          <w:rFonts w:hint="default"/>
          <w:color w:val="auto"/>
          <w:lang w:val="en-US" w:eastAsia="zh-CN"/>
        </w:rPr>
        <w:t>2.1.2</w:t>
      </w:r>
      <w:r>
        <w:rPr>
          <w:rFonts w:hint="eastAsia"/>
          <w:color w:val="auto"/>
          <w:lang w:val="en-US" w:eastAsia="zh-CN"/>
        </w:rPr>
        <w:t xml:space="preserve"> </w:t>
      </w:r>
      <w:r>
        <w:rPr>
          <w:rFonts w:hint="default"/>
          <w:color w:val="auto"/>
          <w:lang w:val="en-US" w:eastAsia="zh-CN"/>
        </w:rPr>
        <w:t>地理位置及交通</w:t>
      </w:r>
      <w:bookmarkEnd w:id="117"/>
      <w:bookmarkEnd w:id="118"/>
      <w:bookmarkEnd w:id="119"/>
      <w:bookmarkEnd w:id="120"/>
      <w:bookmarkEnd w:id="121"/>
      <w:bookmarkEnd w:id="122"/>
    </w:p>
    <w:p w14:paraId="2384AD56">
      <w:pPr>
        <w:bidi w:val="0"/>
        <w:rPr>
          <w:rFonts w:hint="default"/>
          <w:color w:val="auto"/>
          <w:lang w:val="en-US" w:eastAsia="zh-CN"/>
        </w:rPr>
      </w:pPr>
      <w:r>
        <w:rPr>
          <w:rFonts w:hint="eastAsia"/>
          <w:color w:val="auto"/>
        </w:rPr>
        <w:t>鄱阳县响水滩乡禾互山建筑用石料矿位于鄱阳县北西约345°方向，直线距离约68.5km处，行政区划属鄱阳县响水滩乡管辖。矿区地理坐标（西安80坐标系）：东经116°30′03″～116°30′15″，北纬29°35′01″～29°35′07″。矿区范围由6个拐点圈定，面积约0.0422km</w:t>
      </w:r>
      <w:r>
        <w:rPr>
          <w:rFonts w:hint="eastAsia"/>
          <w:color w:val="auto"/>
          <w:vertAlign w:val="superscript"/>
        </w:rPr>
        <w:t>2</w:t>
      </w:r>
      <w:r>
        <w:rPr>
          <w:rFonts w:hint="eastAsia"/>
          <w:color w:val="auto"/>
        </w:rPr>
        <w:t>。响水滩乡到矿区有简易公路通行，直线距离约14km。九景高速公路自响水滩乡南部通过，响水滩乡距九景高速公路约20km，交通较为便利。</w:t>
      </w:r>
      <w:r>
        <w:rPr>
          <w:rFonts w:hint="eastAsia"/>
          <w:color w:val="auto"/>
          <w:lang w:val="en-US" w:eastAsia="zh-CN"/>
        </w:rPr>
        <w:t>（</w:t>
      </w:r>
      <w:r>
        <w:rPr>
          <w:rFonts w:hint="default"/>
          <w:color w:val="auto"/>
          <w:lang w:val="en-US" w:eastAsia="zh-CN"/>
        </w:rPr>
        <w:t>见图</w:t>
      </w:r>
      <w:r>
        <w:rPr>
          <w:rFonts w:hint="eastAsia"/>
          <w:color w:val="auto"/>
          <w:lang w:val="en-US" w:eastAsia="zh-CN"/>
        </w:rPr>
        <w:t>2.1-1）</w:t>
      </w:r>
      <w:r>
        <w:rPr>
          <w:rFonts w:hint="eastAsia"/>
          <w:color w:val="auto"/>
        </w:rPr>
        <w:t>。</w:t>
      </w:r>
    </w:p>
    <w:p w14:paraId="2A6BD9AD">
      <w:pPr>
        <w:ind w:left="0" w:leftChars="0" w:firstLine="0" w:firstLineChars="0"/>
        <w:jc w:val="center"/>
        <w:rPr>
          <w:rFonts w:hint="default"/>
          <w:color w:val="auto"/>
          <w:lang w:val="en-US" w:eastAsia="zh-CN"/>
        </w:rPr>
      </w:pPr>
      <w:r>
        <w:drawing>
          <wp:inline distT="0" distB="0" distL="114300" distR="114300">
            <wp:extent cx="4319905" cy="5422900"/>
            <wp:effectExtent l="0" t="0" r="4445"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4319905" cy="5422900"/>
                    </a:xfrm>
                    <a:prstGeom prst="rect">
                      <a:avLst/>
                    </a:prstGeom>
                    <a:noFill/>
                    <a:ln>
                      <a:noFill/>
                    </a:ln>
                  </pic:spPr>
                </pic:pic>
              </a:graphicData>
            </a:graphic>
          </wp:inline>
        </w:drawing>
      </w:r>
    </w:p>
    <w:p w14:paraId="26A3AC98">
      <w:pPr>
        <w:ind w:left="0" w:leftChars="0" w:firstLine="0" w:firstLineChars="0"/>
        <w:jc w:val="center"/>
        <w:rPr>
          <w:rFonts w:hint="default"/>
          <w:color w:val="auto"/>
          <w:lang w:val="en-US" w:eastAsia="zh-CN"/>
        </w:rPr>
      </w:pPr>
      <w:r>
        <w:rPr>
          <w:rFonts w:hint="default"/>
          <w:color w:val="auto"/>
          <w:lang w:val="en-US" w:eastAsia="zh-CN"/>
        </w:rPr>
        <w:t>图</w:t>
      </w:r>
      <w:r>
        <w:rPr>
          <w:rFonts w:hint="eastAsia"/>
          <w:color w:val="auto"/>
          <w:lang w:val="en-US" w:eastAsia="zh-CN"/>
        </w:rPr>
        <w:t xml:space="preserve">2.1-1 </w:t>
      </w:r>
      <w:r>
        <w:rPr>
          <w:rFonts w:hint="default"/>
          <w:color w:val="auto"/>
          <w:lang w:val="en-US" w:eastAsia="zh-CN"/>
        </w:rPr>
        <w:t>矿区交通位置图</w:t>
      </w:r>
    </w:p>
    <w:p w14:paraId="1DDB3EEA">
      <w:pPr>
        <w:pStyle w:val="4"/>
        <w:bidi w:val="0"/>
        <w:rPr>
          <w:rFonts w:hint="default"/>
          <w:color w:val="auto"/>
          <w:lang w:val="en-US" w:eastAsia="zh-CN"/>
        </w:rPr>
      </w:pPr>
      <w:bookmarkStart w:id="123" w:name="_Toc16795"/>
      <w:bookmarkStart w:id="124" w:name="_Toc23007"/>
      <w:bookmarkStart w:id="125" w:name="_Toc24955"/>
      <w:bookmarkStart w:id="126" w:name="_Toc8755"/>
      <w:bookmarkStart w:id="127" w:name="_Toc10917"/>
      <w:bookmarkStart w:id="128" w:name="_Toc20260"/>
      <w:r>
        <w:rPr>
          <w:rFonts w:hint="eastAsia"/>
          <w:color w:val="auto"/>
          <w:lang w:val="en-US" w:eastAsia="zh-CN"/>
        </w:rPr>
        <w:t>2.1.3 开采范围</w:t>
      </w:r>
      <w:bookmarkEnd w:id="123"/>
      <w:bookmarkEnd w:id="124"/>
      <w:bookmarkEnd w:id="125"/>
      <w:bookmarkEnd w:id="126"/>
      <w:bookmarkEnd w:id="127"/>
      <w:bookmarkEnd w:id="128"/>
    </w:p>
    <w:p w14:paraId="4CFAE575">
      <w:pPr>
        <w:rPr>
          <w:rFonts w:hint="default"/>
          <w:color w:val="auto"/>
          <w:lang w:val="en-US" w:eastAsia="zh-CN"/>
        </w:rPr>
      </w:pPr>
      <w:r>
        <w:rPr>
          <w:rFonts w:hint="default"/>
          <w:color w:val="auto"/>
          <w:lang w:val="en-US" w:eastAsia="zh-CN"/>
        </w:rPr>
        <w:t>根据</w:t>
      </w:r>
      <w:r>
        <w:rPr>
          <w:rFonts w:hint="eastAsia"/>
          <w:color w:val="auto"/>
          <w:lang w:val="en-US" w:eastAsia="zh-CN"/>
        </w:rPr>
        <w:t>鄱阳县人民政府</w:t>
      </w:r>
      <w:r>
        <w:rPr>
          <w:rFonts w:hint="default"/>
          <w:color w:val="auto"/>
          <w:lang w:val="en-US" w:eastAsia="zh-CN"/>
        </w:rPr>
        <w:t>20</w:t>
      </w:r>
      <w:r>
        <w:rPr>
          <w:rFonts w:hint="eastAsia"/>
          <w:color w:val="auto"/>
          <w:lang w:val="en-US" w:eastAsia="zh-CN"/>
        </w:rPr>
        <w:t>19</w:t>
      </w:r>
      <w:r>
        <w:rPr>
          <w:rFonts w:hint="default"/>
          <w:color w:val="auto"/>
          <w:lang w:val="en-US" w:eastAsia="zh-CN"/>
        </w:rPr>
        <w:t>年</w:t>
      </w:r>
      <w:r>
        <w:rPr>
          <w:rFonts w:hint="eastAsia"/>
          <w:color w:val="auto"/>
          <w:lang w:val="en-US" w:eastAsia="zh-CN"/>
        </w:rPr>
        <w:t>3</w:t>
      </w:r>
      <w:r>
        <w:rPr>
          <w:rFonts w:hint="default"/>
          <w:color w:val="auto"/>
          <w:lang w:val="en-US" w:eastAsia="zh-CN"/>
        </w:rPr>
        <w:t>月颁发的《采矿许可证》，</w:t>
      </w:r>
      <w:r>
        <w:rPr>
          <w:rFonts w:hint="eastAsia"/>
          <w:color w:val="auto"/>
          <w:lang w:val="en-US" w:eastAsia="zh-CN"/>
        </w:rPr>
        <w:t>鄱阳县响水滩乡禾互山建筑用石料矿</w:t>
      </w:r>
      <w:r>
        <w:rPr>
          <w:rFonts w:hint="default"/>
          <w:color w:val="auto"/>
          <w:lang w:val="en-US" w:eastAsia="zh-CN"/>
        </w:rPr>
        <w:t>由</w:t>
      </w:r>
      <w:r>
        <w:rPr>
          <w:rFonts w:hint="eastAsia"/>
          <w:color w:val="auto"/>
          <w:lang w:val="en-US" w:eastAsia="zh-CN"/>
        </w:rPr>
        <w:t>6</w:t>
      </w:r>
      <w:r>
        <w:rPr>
          <w:rFonts w:hint="default"/>
          <w:color w:val="auto"/>
          <w:lang w:val="en-US" w:eastAsia="zh-CN"/>
        </w:rPr>
        <w:t>个拐点圈定，矿区面积</w:t>
      </w:r>
      <w:r>
        <w:rPr>
          <w:rFonts w:hint="eastAsia"/>
          <w:color w:val="auto"/>
          <w:lang w:val="en-US" w:eastAsia="zh-CN"/>
        </w:rPr>
        <w:t>：</w:t>
      </w:r>
      <w:r>
        <w:rPr>
          <w:rFonts w:hint="default"/>
          <w:color w:val="auto"/>
          <w:lang w:val="en-US" w:eastAsia="zh-CN"/>
        </w:rPr>
        <w:t>0.</w:t>
      </w:r>
      <w:r>
        <w:rPr>
          <w:rFonts w:hint="eastAsia"/>
          <w:color w:val="auto"/>
          <w:lang w:val="en-US" w:eastAsia="zh-CN"/>
        </w:rPr>
        <w:t>0422</w:t>
      </w:r>
      <w:r>
        <w:rPr>
          <w:rFonts w:hint="default"/>
          <w:color w:val="auto"/>
          <w:lang w:val="en-US" w:eastAsia="zh-CN"/>
        </w:rPr>
        <w:t>km</w:t>
      </w:r>
      <w:r>
        <w:rPr>
          <w:rFonts w:hint="eastAsia"/>
          <w:color w:val="auto"/>
          <w:vertAlign w:val="superscript"/>
          <w:lang w:val="en-US" w:eastAsia="zh-CN"/>
        </w:rPr>
        <w:t>2</w:t>
      </w:r>
      <w:r>
        <w:rPr>
          <w:rFonts w:hint="default"/>
          <w:color w:val="auto"/>
          <w:lang w:val="en-US" w:eastAsia="zh-CN"/>
        </w:rPr>
        <w:t>，开采深度</w:t>
      </w:r>
      <w:r>
        <w:rPr>
          <w:rFonts w:hint="eastAsia"/>
          <w:color w:val="auto"/>
          <w:lang w:val="en-US" w:eastAsia="zh-CN"/>
        </w:rPr>
        <w:t>：</w:t>
      </w:r>
      <w:r>
        <w:rPr>
          <w:rFonts w:hint="default"/>
          <w:color w:val="auto"/>
          <w:lang w:val="en-US" w:eastAsia="zh-CN"/>
        </w:rPr>
        <w:t>+</w:t>
      </w:r>
      <w:r>
        <w:rPr>
          <w:rFonts w:hint="eastAsia"/>
          <w:color w:val="auto"/>
          <w:lang w:val="en-US" w:eastAsia="zh-CN"/>
        </w:rPr>
        <w:t>230</w:t>
      </w:r>
      <w:r>
        <w:rPr>
          <w:rFonts w:hint="default"/>
          <w:color w:val="auto"/>
          <w:lang w:val="en-US" w:eastAsia="zh-CN"/>
        </w:rPr>
        <w:t>m至+1</w:t>
      </w:r>
      <w:r>
        <w:rPr>
          <w:rFonts w:hint="eastAsia"/>
          <w:color w:val="auto"/>
          <w:lang w:val="en-US" w:eastAsia="zh-CN"/>
        </w:rPr>
        <w:t>10</w:t>
      </w:r>
      <w:r>
        <w:rPr>
          <w:rFonts w:hint="default"/>
          <w:color w:val="auto"/>
          <w:lang w:val="en-US" w:eastAsia="zh-CN"/>
        </w:rPr>
        <w:t>m标高，拐点坐标见表2</w:t>
      </w:r>
      <w:r>
        <w:rPr>
          <w:rFonts w:hint="eastAsia"/>
          <w:color w:val="auto"/>
          <w:lang w:val="en-US" w:eastAsia="zh-CN"/>
        </w:rPr>
        <w:t>.1</w:t>
      </w:r>
      <w:r>
        <w:rPr>
          <w:rFonts w:hint="default"/>
          <w:color w:val="auto"/>
          <w:lang w:val="en-US" w:eastAsia="zh-CN"/>
        </w:rPr>
        <w:t>-2。</w:t>
      </w:r>
    </w:p>
    <w:p w14:paraId="62502CE5">
      <w:pPr>
        <w:ind w:left="0" w:leftChars="0" w:firstLine="0" w:firstLineChars="0"/>
        <w:jc w:val="center"/>
        <w:rPr>
          <w:rFonts w:hint="eastAsia"/>
          <w:color w:val="auto"/>
          <w:lang w:val="en-US" w:eastAsia="zh-CN"/>
        </w:rPr>
      </w:pPr>
      <w:r>
        <w:rPr>
          <w:rFonts w:hint="default"/>
          <w:color w:val="auto"/>
          <w:lang w:val="en-US" w:eastAsia="zh-CN"/>
        </w:rPr>
        <w:t>表2</w:t>
      </w:r>
      <w:r>
        <w:rPr>
          <w:rFonts w:hint="eastAsia"/>
          <w:color w:val="auto"/>
          <w:lang w:val="en-US" w:eastAsia="zh-CN"/>
        </w:rPr>
        <w:t>.1</w:t>
      </w:r>
      <w:r>
        <w:rPr>
          <w:rFonts w:hint="default"/>
          <w:color w:val="auto"/>
          <w:lang w:val="en-US" w:eastAsia="zh-CN"/>
        </w:rPr>
        <w:t>-2</w:t>
      </w:r>
      <w:r>
        <w:rPr>
          <w:rFonts w:hint="eastAsia"/>
          <w:color w:val="auto"/>
          <w:lang w:val="en-US" w:eastAsia="zh-CN"/>
        </w:rPr>
        <w:t xml:space="preserve"> </w:t>
      </w:r>
      <w:r>
        <w:rPr>
          <w:rFonts w:hint="default"/>
          <w:color w:val="auto"/>
          <w:lang w:val="en-US" w:eastAsia="zh-CN"/>
        </w:rPr>
        <w:t>矿区范围拐点坐标表</w:t>
      </w:r>
      <w:r>
        <w:rPr>
          <w:rFonts w:hint="eastAsia"/>
          <w:color w:val="auto"/>
          <w:lang w:val="en-US" w:eastAsia="zh-CN"/>
        </w:rPr>
        <w:t>（</w:t>
      </w:r>
      <w:r>
        <w:rPr>
          <w:rFonts w:hint="default"/>
          <w:color w:val="auto"/>
          <w:lang w:val="en-US" w:eastAsia="zh-CN"/>
        </w:rPr>
        <w:t>2000国家大地坐标系</w:t>
      </w:r>
      <w:r>
        <w:rPr>
          <w:rFonts w:hint="eastAsia"/>
          <w:color w:val="auto"/>
          <w:lang w:val="en-US" w:eastAsia="zh-CN"/>
        </w:rPr>
        <w:t>）</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8"/>
      </w:tblGrid>
      <w:tr w14:paraId="37CEA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666" w:type="pct"/>
            <w:vAlign w:val="center"/>
          </w:tcPr>
          <w:p w14:paraId="140605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标号</w:t>
            </w:r>
          </w:p>
        </w:tc>
        <w:tc>
          <w:tcPr>
            <w:tcW w:w="1666" w:type="pct"/>
            <w:vAlign w:val="center"/>
          </w:tcPr>
          <w:p w14:paraId="20443E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X</w:t>
            </w:r>
          </w:p>
        </w:tc>
        <w:tc>
          <w:tcPr>
            <w:tcW w:w="1667" w:type="pct"/>
            <w:vAlign w:val="center"/>
          </w:tcPr>
          <w:p w14:paraId="4DD9E3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Y</w:t>
            </w:r>
          </w:p>
        </w:tc>
      </w:tr>
      <w:tr w14:paraId="5A59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666" w:type="pct"/>
            <w:vAlign w:val="center"/>
          </w:tcPr>
          <w:p w14:paraId="5A1C9C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w:t>
            </w:r>
          </w:p>
        </w:tc>
        <w:tc>
          <w:tcPr>
            <w:tcW w:w="1666" w:type="pct"/>
            <w:vAlign w:val="center"/>
          </w:tcPr>
          <w:p w14:paraId="7BF20A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3274166.63</w:t>
            </w:r>
          </w:p>
        </w:tc>
        <w:tc>
          <w:tcPr>
            <w:tcW w:w="1667" w:type="pct"/>
            <w:vAlign w:val="center"/>
          </w:tcPr>
          <w:p w14:paraId="2844D7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39451648.98</w:t>
            </w:r>
          </w:p>
        </w:tc>
      </w:tr>
      <w:tr w14:paraId="07AB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666" w:type="pct"/>
            <w:vAlign w:val="center"/>
          </w:tcPr>
          <w:p w14:paraId="09EC0F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1666" w:type="pct"/>
            <w:vAlign w:val="center"/>
          </w:tcPr>
          <w:p w14:paraId="323758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3274258.63</w:t>
            </w:r>
          </w:p>
        </w:tc>
        <w:tc>
          <w:tcPr>
            <w:tcW w:w="1667" w:type="pct"/>
            <w:vAlign w:val="center"/>
          </w:tcPr>
          <w:p w14:paraId="253362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39451810.98</w:t>
            </w:r>
          </w:p>
        </w:tc>
      </w:tr>
      <w:tr w14:paraId="4E6F3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666" w:type="pct"/>
            <w:vAlign w:val="center"/>
          </w:tcPr>
          <w:p w14:paraId="5D1B86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w:t>
            </w:r>
          </w:p>
        </w:tc>
        <w:tc>
          <w:tcPr>
            <w:tcW w:w="1666" w:type="pct"/>
            <w:vAlign w:val="center"/>
          </w:tcPr>
          <w:p w14:paraId="3DB95F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3274117.63</w:t>
            </w:r>
          </w:p>
        </w:tc>
        <w:tc>
          <w:tcPr>
            <w:tcW w:w="1667" w:type="pct"/>
            <w:vAlign w:val="center"/>
          </w:tcPr>
          <w:p w14:paraId="4C1957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39451970.99</w:t>
            </w:r>
          </w:p>
        </w:tc>
      </w:tr>
      <w:tr w14:paraId="1472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66" w:type="pct"/>
            <w:vAlign w:val="center"/>
          </w:tcPr>
          <w:p w14:paraId="2CD75C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4</w:t>
            </w:r>
          </w:p>
        </w:tc>
        <w:tc>
          <w:tcPr>
            <w:tcW w:w="1666" w:type="pct"/>
            <w:vAlign w:val="center"/>
          </w:tcPr>
          <w:p w14:paraId="613EF7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3274048.63</w:t>
            </w:r>
          </w:p>
        </w:tc>
        <w:tc>
          <w:tcPr>
            <w:tcW w:w="1667" w:type="pct"/>
            <w:vAlign w:val="center"/>
          </w:tcPr>
          <w:p w14:paraId="04A068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39451888.99</w:t>
            </w:r>
          </w:p>
        </w:tc>
      </w:tr>
      <w:tr w14:paraId="1C7E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666" w:type="pct"/>
            <w:vAlign w:val="center"/>
          </w:tcPr>
          <w:p w14:paraId="378875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w:t>
            </w:r>
          </w:p>
        </w:tc>
        <w:tc>
          <w:tcPr>
            <w:tcW w:w="1666" w:type="pct"/>
            <w:vAlign w:val="center"/>
          </w:tcPr>
          <w:p w14:paraId="21DEC0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3274048.72</w:t>
            </w:r>
          </w:p>
        </w:tc>
        <w:tc>
          <w:tcPr>
            <w:tcW w:w="1667" w:type="pct"/>
            <w:vAlign w:val="center"/>
          </w:tcPr>
          <w:p w14:paraId="3362BF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39451735.08</w:t>
            </w:r>
          </w:p>
        </w:tc>
      </w:tr>
      <w:tr w14:paraId="34FC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666" w:type="pct"/>
            <w:vAlign w:val="center"/>
          </w:tcPr>
          <w:p w14:paraId="573A18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6</w:t>
            </w:r>
          </w:p>
        </w:tc>
        <w:tc>
          <w:tcPr>
            <w:tcW w:w="1666" w:type="pct"/>
            <w:vAlign w:val="center"/>
          </w:tcPr>
          <w:p w14:paraId="380B2C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3274095.79</w:t>
            </w:r>
          </w:p>
        </w:tc>
        <w:tc>
          <w:tcPr>
            <w:tcW w:w="1667" w:type="pct"/>
            <w:vAlign w:val="center"/>
          </w:tcPr>
          <w:p w14:paraId="2D8D26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39451679.10</w:t>
            </w:r>
          </w:p>
        </w:tc>
      </w:tr>
      <w:tr w14:paraId="5C3E4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1666" w:type="pct"/>
            <w:vAlign w:val="center"/>
          </w:tcPr>
          <w:p w14:paraId="2BBED3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开采深度</w:t>
            </w:r>
          </w:p>
        </w:tc>
        <w:tc>
          <w:tcPr>
            <w:tcW w:w="3333" w:type="pct"/>
            <w:gridSpan w:val="2"/>
            <w:vAlign w:val="center"/>
          </w:tcPr>
          <w:p w14:paraId="799B2E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由+230m至+110m</w:t>
            </w:r>
          </w:p>
        </w:tc>
      </w:tr>
      <w:tr w14:paraId="52357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666" w:type="pct"/>
            <w:vAlign w:val="center"/>
          </w:tcPr>
          <w:p w14:paraId="0BB24C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矿区面积</w:t>
            </w:r>
          </w:p>
        </w:tc>
        <w:tc>
          <w:tcPr>
            <w:tcW w:w="3333" w:type="pct"/>
            <w:gridSpan w:val="2"/>
            <w:vAlign w:val="center"/>
          </w:tcPr>
          <w:p w14:paraId="5B605E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0.0422km</w:t>
            </w:r>
            <w:r>
              <w:rPr>
                <w:rFonts w:hint="eastAsia"/>
                <w:color w:val="auto"/>
                <w:sz w:val="21"/>
                <w:szCs w:val="21"/>
                <w:vertAlign w:val="superscript"/>
                <w:lang w:val="en-US" w:eastAsia="zh-CN"/>
              </w:rPr>
              <w:t>2</w:t>
            </w:r>
          </w:p>
        </w:tc>
      </w:tr>
    </w:tbl>
    <w:p w14:paraId="36169A9D">
      <w:pPr>
        <w:pStyle w:val="4"/>
        <w:bidi w:val="0"/>
        <w:rPr>
          <w:rFonts w:hint="default"/>
          <w:color w:val="auto"/>
          <w:lang w:val="en-US" w:eastAsia="zh-CN"/>
        </w:rPr>
      </w:pPr>
      <w:bookmarkStart w:id="129" w:name="_Toc2972"/>
      <w:bookmarkStart w:id="130" w:name="_Toc1900"/>
      <w:bookmarkStart w:id="131" w:name="_Toc14831"/>
      <w:bookmarkStart w:id="132" w:name="_Toc3961"/>
      <w:bookmarkStart w:id="133" w:name="_Toc27073"/>
      <w:bookmarkStart w:id="134" w:name="_Toc7180"/>
      <w:r>
        <w:rPr>
          <w:rFonts w:hint="default"/>
          <w:color w:val="auto"/>
          <w:lang w:val="en-US" w:eastAsia="zh-CN"/>
        </w:rPr>
        <w:t>2.1.</w:t>
      </w:r>
      <w:r>
        <w:rPr>
          <w:rFonts w:hint="eastAsia"/>
          <w:color w:val="auto"/>
          <w:lang w:val="en-US" w:eastAsia="zh-CN"/>
        </w:rPr>
        <w:t>4</w:t>
      </w:r>
      <w:r>
        <w:rPr>
          <w:rFonts w:hint="default"/>
          <w:color w:val="auto"/>
          <w:lang w:val="en-US" w:eastAsia="zh-CN"/>
        </w:rPr>
        <w:t xml:space="preserve"> 矿区周边环境</w:t>
      </w:r>
      <w:bookmarkEnd w:id="129"/>
      <w:bookmarkEnd w:id="130"/>
      <w:bookmarkEnd w:id="131"/>
      <w:bookmarkEnd w:id="132"/>
      <w:bookmarkEnd w:id="133"/>
      <w:bookmarkEnd w:id="134"/>
    </w:p>
    <w:p w14:paraId="37DAE86F">
      <w:pPr>
        <w:rPr>
          <w:rFonts w:hint="default"/>
          <w:color w:val="auto"/>
          <w:lang w:val="en-US" w:eastAsia="zh-CN"/>
        </w:rPr>
      </w:pPr>
      <w:r>
        <w:rPr>
          <w:rFonts w:hint="default"/>
          <w:color w:val="auto"/>
          <w:lang w:val="en-US" w:eastAsia="zh-CN"/>
        </w:rPr>
        <w:t>矿区</w:t>
      </w:r>
      <w:r>
        <w:rPr>
          <w:rFonts w:hint="eastAsia"/>
          <w:color w:val="auto"/>
          <w:lang w:val="en-US" w:eastAsia="zh-CN"/>
        </w:rPr>
        <w:t>周边</w:t>
      </w:r>
      <w:r>
        <w:rPr>
          <w:rFonts w:hint="default"/>
          <w:color w:val="auto"/>
          <w:lang w:val="en-US" w:eastAsia="zh-CN"/>
        </w:rPr>
        <w:t>300m范围内无其它工业企业和居民住宅，无重要建、构筑物和相邻矿山。矿区周边500m范围内无电力设施，1000m可视范围内无铁路和高速公路。矿区范围内不属旅游区、文物保护区、自然保护区等。</w:t>
      </w:r>
    </w:p>
    <w:p w14:paraId="1A0F7F74">
      <w:pPr>
        <w:pStyle w:val="3"/>
        <w:bidi w:val="0"/>
        <w:rPr>
          <w:rFonts w:hint="default"/>
          <w:color w:val="auto"/>
          <w:lang w:val="en-US" w:eastAsia="zh-CN"/>
        </w:rPr>
      </w:pPr>
      <w:bookmarkStart w:id="135" w:name="_Toc24478"/>
      <w:bookmarkStart w:id="136" w:name="_Toc21148"/>
      <w:bookmarkStart w:id="137" w:name="_Toc18826"/>
      <w:bookmarkStart w:id="138" w:name="_Toc11496"/>
      <w:bookmarkStart w:id="139" w:name="_Toc15348"/>
      <w:bookmarkStart w:id="140" w:name="_Toc29336"/>
      <w:r>
        <w:rPr>
          <w:rFonts w:hint="eastAsia"/>
          <w:color w:val="auto"/>
          <w:lang w:val="en-US" w:eastAsia="zh-CN"/>
        </w:rPr>
        <w:t>2.2 自然环境概况</w:t>
      </w:r>
      <w:bookmarkEnd w:id="135"/>
      <w:bookmarkEnd w:id="136"/>
      <w:bookmarkEnd w:id="137"/>
      <w:bookmarkEnd w:id="138"/>
      <w:bookmarkEnd w:id="139"/>
      <w:bookmarkEnd w:id="140"/>
    </w:p>
    <w:p w14:paraId="3E8B78BC">
      <w:pPr>
        <w:rPr>
          <w:rFonts w:hint="default"/>
          <w:color w:val="auto"/>
          <w:lang w:val="en-US" w:eastAsia="zh-CN"/>
        </w:rPr>
      </w:pPr>
      <w:r>
        <w:rPr>
          <w:rFonts w:hint="eastAsia"/>
          <w:color w:val="auto"/>
          <w:lang w:val="en-US" w:eastAsia="zh-CN"/>
        </w:rPr>
        <w:t>1. 地形地貌</w:t>
      </w:r>
    </w:p>
    <w:p w14:paraId="2265CF02">
      <w:pPr>
        <w:rPr>
          <w:rFonts w:hint="default"/>
          <w:color w:val="auto"/>
          <w:lang w:val="en-US" w:eastAsia="zh-CN"/>
        </w:rPr>
      </w:pPr>
      <w:r>
        <w:rPr>
          <w:rFonts w:hint="default"/>
          <w:color w:val="auto"/>
          <w:lang w:val="en-US" w:eastAsia="zh-CN"/>
        </w:rPr>
        <w:t>矿区属低山丘陵地貌，最高海拔标高</w:t>
      </w:r>
      <w:r>
        <w:rPr>
          <w:rFonts w:hint="eastAsia"/>
          <w:color w:val="auto"/>
          <w:lang w:val="en-US" w:eastAsia="zh-CN"/>
        </w:rPr>
        <w:t>+</w:t>
      </w:r>
      <w:r>
        <w:rPr>
          <w:rFonts w:hint="default"/>
          <w:color w:val="auto"/>
          <w:lang w:val="en-US" w:eastAsia="zh-CN"/>
        </w:rPr>
        <w:t>326.8m，最低海拔标高</w:t>
      </w:r>
      <w:r>
        <w:rPr>
          <w:rFonts w:hint="eastAsia"/>
          <w:color w:val="auto"/>
          <w:lang w:val="en-US" w:eastAsia="zh-CN"/>
        </w:rPr>
        <w:t>+</w:t>
      </w:r>
      <w:r>
        <w:rPr>
          <w:rFonts w:hint="default"/>
          <w:color w:val="auto"/>
          <w:lang w:val="en-US" w:eastAsia="zh-CN"/>
        </w:rPr>
        <w:t>65.5m，相对高差261.3m。地形坡度约15</w:t>
      </w:r>
      <w:r>
        <w:rPr>
          <w:rFonts w:hint="eastAsia" w:asciiTheme="minorEastAsia" w:hAnsiTheme="minorEastAsia" w:eastAsiaTheme="minorEastAsia" w:cstheme="minorEastAsia"/>
          <w:color w:val="auto"/>
          <w:lang w:val="en-US" w:eastAsia="zh-CN"/>
        </w:rPr>
        <w:t>°</w:t>
      </w:r>
      <w:r>
        <w:rPr>
          <w:rFonts w:hint="default"/>
          <w:color w:val="auto"/>
          <w:lang w:val="en-US" w:eastAsia="zh-CN"/>
        </w:rPr>
        <w:t>～35</w:t>
      </w:r>
      <w:r>
        <w:rPr>
          <w:rFonts w:hint="eastAsia" w:asciiTheme="minorEastAsia" w:hAnsiTheme="minorEastAsia" w:eastAsiaTheme="minorEastAsia" w:cstheme="minorEastAsia"/>
          <w:color w:val="auto"/>
          <w:lang w:val="en-US" w:eastAsia="zh-CN"/>
        </w:rPr>
        <w:t>°</w:t>
      </w:r>
      <w:r>
        <w:rPr>
          <w:rFonts w:hint="default"/>
          <w:color w:val="auto"/>
          <w:lang w:val="en-US" w:eastAsia="zh-CN"/>
        </w:rPr>
        <w:t>，山坡植被发育，地表覆盖2.20m的残坡积层。当地最低侵蚀基准面标高+85m</w:t>
      </w:r>
      <w:r>
        <w:rPr>
          <w:rFonts w:hint="eastAsia"/>
          <w:color w:val="auto"/>
          <w:lang w:val="en-US" w:eastAsia="zh-CN"/>
        </w:rPr>
        <w:t>，</w:t>
      </w:r>
      <w:r>
        <w:rPr>
          <w:rFonts w:hint="default"/>
          <w:color w:val="auto"/>
          <w:lang w:val="en-US" w:eastAsia="zh-CN"/>
        </w:rPr>
        <w:t>历史最高洪水位为+87m。</w:t>
      </w:r>
    </w:p>
    <w:p w14:paraId="32917203">
      <w:pPr>
        <w:rPr>
          <w:rFonts w:hint="default"/>
          <w:color w:val="auto"/>
          <w:lang w:val="en-US" w:eastAsia="zh-CN"/>
        </w:rPr>
      </w:pPr>
      <w:r>
        <w:rPr>
          <w:rFonts w:hint="eastAsia"/>
          <w:color w:val="auto"/>
          <w:lang w:val="en-US" w:eastAsia="zh-CN"/>
        </w:rPr>
        <w:t>2. 气象</w:t>
      </w:r>
    </w:p>
    <w:p w14:paraId="2000DAF2">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矿区气候属亚热带季风湿热多雨气候，光照充足。全年最高气温38℃～40℃，最低气温</w:t>
      </w:r>
      <w:r>
        <w:rPr>
          <w:rFonts w:hint="eastAsia" w:asciiTheme="minorEastAsia" w:hAnsiTheme="minorEastAsia" w:eastAsiaTheme="minorEastAsia" w:cstheme="minorEastAsia"/>
          <w:color w:val="auto"/>
          <w:lang w:val="en-US" w:eastAsia="zh-CN"/>
        </w:rPr>
        <w:t>-</w:t>
      </w:r>
      <w:r>
        <w:rPr>
          <w:rFonts w:hint="default" w:ascii="Times New Roman" w:hAnsi="Times New Roman" w:eastAsia="宋体" w:cs="Times New Roman"/>
          <w:color w:val="auto"/>
          <w:lang w:val="en-US" w:eastAsia="zh-CN"/>
        </w:rPr>
        <w:t>8℃，年平均气温17.3℃，年平均降水量1700mm，3～5月为降水期，全年无霜期约250天。</w:t>
      </w:r>
    </w:p>
    <w:p w14:paraId="41EF5B06">
      <w:pPr>
        <w:pStyle w:val="3"/>
        <w:bidi w:val="0"/>
        <w:rPr>
          <w:rFonts w:hint="default"/>
          <w:color w:val="auto"/>
          <w:lang w:val="en-US" w:eastAsia="zh-CN"/>
        </w:rPr>
      </w:pPr>
      <w:bookmarkStart w:id="141" w:name="_Toc15715"/>
      <w:bookmarkStart w:id="142" w:name="_Toc19855"/>
      <w:bookmarkStart w:id="143" w:name="_Toc10440"/>
      <w:bookmarkStart w:id="144" w:name="_Toc7564"/>
      <w:bookmarkStart w:id="145" w:name="_Toc11927"/>
      <w:bookmarkStart w:id="146" w:name="_Toc10740"/>
      <w:r>
        <w:rPr>
          <w:rFonts w:hint="default"/>
          <w:color w:val="auto"/>
          <w:lang w:val="en-US" w:eastAsia="zh-CN"/>
        </w:rPr>
        <w:t>2.3 地质概况</w:t>
      </w:r>
      <w:bookmarkEnd w:id="141"/>
      <w:bookmarkEnd w:id="142"/>
      <w:bookmarkEnd w:id="143"/>
      <w:bookmarkEnd w:id="144"/>
      <w:bookmarkEnd w:id="145"/>
      <w:bookmarkEnd w:id="146"/>
    </w:p>
    <w:p w14:paraId="3C260211">
      <w:pPr>
        <w:pStyle w:val="4"/>
        <w:bidi w:val="0"/>
        <w:rPr>
          <w:rFonts w:hint="default"/>
          <w:color w:val="auto"/>
          <w:lang w:val="en-US" w:eastAsia="zh-CN"/>
        </w:rPr>
      </w:pPr>
      <w:bookmarkStart w:id="147" w:name="_Toc10913"/>
      <w:bookmarkStart w:id="148" w:name="_Toc14985"/>
      <w:bookmarkStart w:id="149" w:name="_Toc6691"/>
      <w:bookmarkStart w:id="150" w:name="_Toc14284"/>
      <w:bookmarkStart w:id="151" w:name="_Toc6461"/>
      <w:bookmarkStart w:id="152" w:name="_Toc19947"/>
      <w:r>
        <w:rPr>
          <w:rFonts w:hint="default"/>
          <w:color w:val="auto"/>
          <w:lang w:val="en-US" w:eastAsia="zh-CN"/>
        </w:rPr>
        <w:t>2.3.1</w:t>
      </w:r>
      <w:r>
        <w:rPr>
          <w:rFonts w:hint="eastAsia"/>
          <w:color w:val="auto"/>
          <w:lang w:val="en-US" w:eastAsia="zh-CN"/>
        </w:rPr>
        <w:t xml:space="preserve"> </w:t>
      </w:r>
      <w:r>
        <w:rPr>
          <w:rFonts w:hint="default"/>
          <w:color w:val="auto"/>
          <w:lang w:val="en-US" w:eastAsia="zh-CN"/>
        </w:rPr>
        <w:t>矿区地质概况</w:t>
      </w:r>
      <w:bookmarkEnd w:id="147"/>
      <w:bookmarkEnd w:id="148"/>
      <w:bookmarkEnd w:id="149"/>
      <w:bookmarkEnd w:id="150"/>
      <w:bookmarkEnd w:id="151"/>
      <w:bookmarkEnd w:id="152"/>
    </w:p>
    <w:p w14:paraId="0A2ED334">
      <w:pPr>
        <w:rPr>
          <w:rFonts w:hint="default"/>
          <w:lang w:val="en-US" w:eastAsia="zh-CN"/>
        </w:rPr>
      </w:pPr>
      <w:r>
        <w:rPr>
          <w:rFonts w:hint="default"/>
          <w:lang w:val="en-US" w:eastAsia="zh-CN"/>
        </w:rPr>
        <w:t>1. 矿区地层</w:t>
      </w:r>
    </w:p>
    <w:p w14:paraId="0B1B8BEC">
      <w:pPr>
        <w:rPr>
          <w:rFonts w:hint="default"/>
          <w:lang w:val="en-US" w:eastAsia="zh-CN"/>
        </w:rPr>
      </w:pPr>
      <w:r>
        <w:rPr>
          <w:rFonts w:hint="default"/>
          <w:lang w:val="en-US" w:eastAsia="zh-CN"/>
        </w:rPr>
        <w:t>矿区出露地层为中元古界双桥山群安乐林组上段（Pt</w:t>
      </w:r>
      <w:r>
        <w:rPr>
          <w:rFonts w:hint="default"/>
          <w:vertAlign w:val="subscript"/>
          <w:lang w:val="en-US" w:eastAsia="zh-CN"/>
        </w:rPr>
        <w:t>2</w:t>
      </w:r>
      <w:r>
        <w:rPr>
          <w:rFonts w:hint="default"/>
          <w:lang w:val="en-US" w:eastAsia="zh-CN"/>
        </w:rPr>
        <w:t>a</w:t>
      </w:r>
      <w:r>
        <w:rPr>
          <w:rFonts w:hint="default"/>
          <w:vertAlign w:val="superscript"/>
          <w:lang w:val="en-US" w:eastAsia="zh-CN"/>
        </w:rPr>
        <w:t>b-2</w:t>
      </w:r>
      <w:r>
        <w:rPr>
          <w:rFonts w:hint="default"/>
          <w:lang w:val="en-US" w:eastAsia="zh-CN"/>
        </w:rPr>
        <w:t>）其岩性主要为：浅灰～灰绿色中厚（12cm～35cm）～厚层状变岩屑细砂岩、变粉砂岩夹薄层（2cm～6cm）粉砂质绢云板岩、绢云板岩。底部为厚层（60cm～110cm）变长石石英砂岩、变粉砂岩夹薄层（2cm～6cm）粉砂质绢云板岩、绢云板岩</w:t>
      </w:r>
      <w:r>
        <w:rPr>
          <w:rFonts w:hint="eastAsia"/>
          <w:lang w:val="en-US" w:eastAsia="zh-CN"/>
        </w:rPr>
        <w:t>，</w:t>
      </w:r>
      <w:r>
        <w:rPr>
          <w:rFonts w:hint="default"/>
          <w:lang w:val="en-US" w:eastAsia="zh-CN"/>
        </w:rPr>
        <w:t>微细层理发育</w:t>
      </w:r>
      <w:r>
        <w:rPr>
          <w:rFonts w:hint="eastAsia"/>
          <w:lang w:val="en-US" w:eastAsia="zh-CN"/>
        </w:rPr>
        <w:t>，</w:t>
      </w:r>
      <w:r>
        <w:rPr>
          <w:rFonts w:hint="default"/>
          <w:lang w:val="en-US" w:eastAsia="zh-CN"/>
        </w:rPr>
        <w:t>以浊积岩特征为标志</w:t>
      </w:r>
      <w:r>
        <w:rPr>
          <w:rFonts w:hint="eastAsia"/>
          <w:lang w:val="en-US" w:eastAsia="zh-CN"/>
        </w:rPr>
        <w:t>，</w:t>
      </w:r>
      <w:r>
        <w:rPr>
          <w:rFonts w:hint="default"/>
          <w:lang w:val="en-US" w:eastAsia="zh-CN"/>
        </w:rPr>
        <w:t>倾向北西140</w:t>
      </w:r>
      <w:r>
        <w:rPr>
          <w:rFonts w:hint="eastAsia" w:asciiTheme="minorEastAsia" w:hAnsiTheme="minorEastAsia" w:eastAsiaTheme="minorEastAsia" w:cstheme="minorEastAsia"/>
          <w:lang w:val="en-US" w:eastAsia="zh-CN"/>
        </w:rPr>
        <w:t>°</w:t>
      </w:r>
      <w:r>
        <w:rPr>
          <w:rFonts w:hint="default"/>
          <w:lang w:val="en-US" w:eastAsia="zh-CN"/>
        </w:rPr>
        <w:t>，倾角40</w:t>
      </w:r>
      <w:r>
        <w:rPr>
          <w:rFonts w:hint="eastAsia" w:asciiTheme="minorEastAsia" w:hAnsiTheme="minorEastAsia" w:eastAsiaTheme="minorEastAsia" w:cstheme="minorEastAsia"/>
          <w:lang w:val="en-US" w:eastAsia="zh-CN"/>
        </w:rPr>
        <w:t>°</w:t>
      </w:r>
      <w:r>
        <w:rPr>
          <w:rFonts w:hint="eastAsia"/>
          <w:lang w:val="en-US" w:eastAsia="zh-CN"/>
        </w:rPr>
        <w:t>，</w:t>
      </w:r>
      <w:r>
        <w:rPr>
          <w:rFonts w:hint="default"/>
          <w:lang w:val="en-US" w:eastAsia="zh-CN"/>
        </w:rPr>
        <w:t>厚度286.75m。</w:t>
      </w:r>
    </w:p>
    <w:p w14:paraId="3D57C683">
      <w:pPr>
        <w:rPr>
          <w:rFonts w:hint="default"/>
          <w:lang w:val="en-US" w:eastAsia="zh-CN"/>
        </w:rPr>
      </w:pPr>
      <w:r>
        <w:rPr>
          <w:rFonts w:hint="default"/>
          <w:lang w:val="en-US" w:eastAsia="zh-CN"/>
        </w:rPr>
        <w:t>2. 矿区构造</w:t>
      </w:r>
    </w:p>
    <w:p w14:paraId="4558A66D">
      <w:pPr>
        <w:rPr>
          <w:rFonts w:hint="default"/>
          <w:lang w:val="en-US" w:eastAsia="zh-CN"/>
        </w:rPr>
      </w:pPr>
      <w:r>
        <w:rPr>
          <w:rFonts w:hint="default"/>
          <w:lang w:val="en-US" w:eastAsia="zh-CN"/>
        </w:rPr>
        <w:t>矿区位于基底褶皱金家湾～豪猪垄复式背斜的南东翼，未见断裂构造。</w:t>
      </w:r>
    </w:p>
    <w:p w14:paraId="0780586D">
      <w:pPr>
        <w:rPr>
          <w:rFonts w:hint="default"/>
          <w:lang w:val="en-US" w:eastAsia="zh-CN"/>
        </w:rPr>
      </w:pPr>
      <w:r>
        <w:rPr>
          <w:rFonts w:hint="default"/>
          <w:lang w:val="en-US" w:eastAsia="zh-CN"/>
        </w:rPr>
        <w:t>3. 岩浆岩</w:t>
      </w:r>
    </w:p>
    <w:p w14:paraId="2D5C0F8A">
      <w:pPr>
        <w:rPr>
          <w:rFonts w:hint="default"/>
          <w:lang w:val="en-US" w:eastAsia="zh-CN"/>
        </w:rPr>
      </w:pPr>
      <w:r>
        <w:rPr>
          <w:rFonts w:hint="default"/>
          <w:lang w:val="en-US" w:eastAsia="zh-CN"/>
        </w:rPr>
        <w:t>区内未见岩浆岩出露。</w:t>
      </w:r>
    </w:p>
    <w:p w14:paraId="73D7252A">
      <w:pPr>
        <w:rPr>
          <w:rFonts w:hint="default"/>
          <w:lang w:val="en-US" w:eastAsia="zh-CN"/>
        </w:rPr>
      </w:pPr>
      <w:r>
        <w:rPr>
          <w:rFonts w:hint="default"/>
          <w:lang w:val="en-US" w:eastAsia="zh-CN"/>
        </w:rPr>
        <w:t>4. 矿体特征</w:t>
      </w:r>
    </w:p>
    <w:p w14:paraId="5FD0A6BD">
      <w:pPr>
        <w:rPr>
          <w:rFonts w:hint="default"/>
          <w:lang w:val="en-US" w:eastAsia="zh-CN"/>
        </w:rPr>
      </w:pPr>
      <w:r>
        <w:rPr>
          <w:rFonts w:hint="default"/>
          <w:lang w:val="en-US" w:eastAsia="zh-CN"/>
        </w:rPr>
        <w:t>矿区范围内的变质长石石英杂砂岩即为矿体。</w:t>
      </w:r>
    </w:p>
    <w:p w14:paraId="166BFD1F">
      <w:pPr>
        <w:rPr>
          <w:rFonts w:hint="default"/>
          <w:lang w:val="en-US" w:eastAsia="zh-CN"/>
        </w:rPr>
      </w:pPr>
      <w:r>
        <w:rPr>
          <w:rFonts w:hint="default"/>
          <w:lang w:val="en-US" w:eastAsia="zh-CN"/>
        </w:rPr>
        <w:t>变质长石石英杂砂岩：浅灰绿～灰白色，变余砂状结构和细鳞片变晶结构，厚～巨厚层状构造，由砂屑、岩屑、粉砂屑、绢云母组成。</w:t>
      </w:r>
    </w:p>
    <w:p w14:paraId="69D0B952">
      <w:pPr>
        <w:rPr>
          <w:rFonts w:hint="default"/>
          <w:lang w:val="en-US" w:eastAsia="zh-CN"/>
        </w:rPr>
      </w:pPr>
      <w:r>
        <w:rPr>
          <w:rFonts w:hint="default"/>
          <w:lang w:val="en-US" w:eastAsia="zh-CN"/>
        </w:rPr>
        <w:t>矿体规模大，呈厚～巨厚层状产出，产状140</w:t>
      </w:r>
      <w:r>
        <w:rPr>
          <w:rFonts w:hint="eastAsia" w:asciiTheme="minorEastAsia" w:hAnsiTheme="minorEastAsia" w:eastAsiaTheme="minorEastAsia" w:cstheme="minorEastAsia"/>
          <w:lang w:val="en-US" w:eastAsia="zh-CN"/>
        </w:rPr>
        <w:t>°</w:t>
      </w:r>
      <w:r>
        <w:rPr>
          <w:rFonts w:hint="default"/>
          <w:lang w:val="en-US" w:eastAsia="zh-CN"/>
        </w:rPr>
        <w:t>∠40</w:t>
      </w:r>
      <w:r>
        <w:rPr>
          <w:rFonts w:hint="eastAsia" w:asciiTheme="minorEastAsia" w:hAnsiTheme="minorEastAsia" w:eastAsiaTheme="minorEastAsia" w:cstheme="minorEastAsia"/>
          <w:lang w:val="en-US" w:eastAsia="zh-CN"/>
        </w:rPr>
        <w:t>°</w:t>
      </w:r>
      <w:r>
        <w:rPr>
          <w:rFonts w:hint="default"/>
          <w:lang w:val="en-US" w:eastAsia="zh-CN"/>
        </w:rPr>
        <w:t>。在走向、倾向上完整连续，其走向、倾向方向的延伸均超出矿区范围。</w:t>
      </w:r>
    </w:p>
    <w:p w14:paraId="604E603A">
      <w:pPr>
        <w:rPr>
          <w:rFonts w:hint="default"/>
          <w:lang w:val="en-US" w:eastAsia="zh-CN"/>
        </w:rPr>
      </w:pPr>
      <w:r>
        <w:rPr>
          <w:rFonts w:hint="default"/>
          <w:lang w:val="en-US" w:eastAsia="zh-CN"/>
        </w:rPr>
        <w:t>矿体地表覆盖层为残坡积层和强风化层，施工的钻孔资料显示：残坡积层厚度为2.2m，强风化层厚度为2.3m。因此，矿体地表覆盖层厚度为4.5m。</w:t>
      </w:r>
    </w:p>
    <w:p w14:paraId="6872E734">
      <w:pPr>
        <w:rPr>
          <w:rFonts w:hint="default"/>
          <w:lang w:val="en-US" w:eastAsia="zh-CN"/>
        </w:rPr>
      </w:pPr>
      <w:r>
        <w:rPr>
          <w:rFonts w:hint="default"/>
          <w:lang w:val="en-US" w:eastAsia="zh-CN"/>
        </w:rPr>
        <w:t>变质长石石英杂砂岩经取样测试天然单轴抗压强度84MPa～96.9MPa，平均90.45MPa</w:t>
      </w:r>
      <w:r>
        <w:rPr>
          <w:rFonts w:hint="eastAsia"/>
          <w:color w:val="FF0000"/>
          <w:lang w:val="en-US" w:eastAsia="zh-CN"/>
        </w:rPr>
        <w:t>，</w:t>
      </w:r>
      <w:r>
        <w:rPr>
          <w:rFonts w:hint="default"/>
          <w:lang w:val="en-US" w:eastAsia="zh-CN"/>
        </w:rPr>
        <w:t>大于45MPa。可满足建筑用石料强度要求。</w:t>
      </w:r>
    </w:p>
    <w:p w14:paraId="42EA33E6">
      <w:pPr>
        <w:rPr>
          <w:rFonts w:hint="default"/>
          <w:lang w:val="en-US" w:eastAsia="zh-CN"/>
        </w:rPr>
      </w:pPr>
      <w:r>
        <w:rPr>
          <w:rFonts w:hint="default"/>
          <w:lang w:val="en-US" w:eastAsia="zh-CN"/>
        </w:rPr>
        <w:t>5. 矿石类型和品级、加工技术性能</w:t>
      </w:r>
    </w:p>
    <w:p w14:paraId="68C077AF">
      <w:pPr>
        <w:rPr>
          <w:rFonts w:hint="default"/>
          <w:lang w:val="en-US" w:eastAsia="zh-CN"/>
        </w:rPr>
      </w:pPr>
      <w:r>
        <w:rPr>
          <w:rFonts w:hint="default"/>
          <w:lang w:val="en-US" w:eastAsia="zh-CN"/>
        </w:rPr>
        <w:t>矿区矿石自然类型属原生矿石。</w:t>
      </w:r>
    </w:p>
    <w:p w14:paraId="1D1F5E59">
      <w:pPr>
        <w:rPr>
          <w:rFonts w:hint="default"/>
          <w:lang w:val="en-US" w:eastAsia="zh-CN"/>
        </w:rPr>
      </w:pPr>
      <w:r>
        <w:rPr>
          <w:rFonts w:hint="eastAsia"/>
          <w:lang w:val="en-US" w:eastAsia="zh-CN"/>
        </w:rPr>
        <w:t>矿区</w:t>
      </w:r>
      <w:r>
        <w:rPr>
          <w:rFonts w:hint="default"/>
          <w:lang w:val="en-US" w:eastAsia="zh-CN"/>
        </w:rPr>
        <w:t>矿石SO</w:t>
      </w:r>
      <w:r>
        <w:rPr>
          <w:rFonts w:hint="default"/>
          <w:vertAlign w:val="subscript"/>
          <w:lang w:val="en-US" w:eastAsia="zh-CN"/>
        </w:rPr>
        <w:t>3</w:t>
      </w:r>
      <w:r>
        <w:rPr>
          <w:rFonts w:hint="default"/>
          <w:lang w:val="en-US" w:eastAsia="zh-CN"/>
        </w:rPr>
        <w:t>含量为0.044%，矿石天然单轴抗压强度为84MPa～96.9MPa，平均为90.45MPa，矿石质量品级属建筑用碎石料</w:t>
      </w:r>
      <w:r>
        <w:rPr>
          <w:rFonts w:hint="eastAsia" w:asciiTheme="minorEastAsia" w:hAnsiTheme="minorEastAsia" w:eastAsiaTheme="minorEastAsia" w:cstheme="minorEastAsia"/>
          <w:lang w:val="en-US" w:eastAsia="zh-CN"/>
        </w:rPr>
        <w:t>Ⅲ</w:t>
      </w:r>
      <w:r>
        <w:rPr>
          <w:rFonts w:hint="default"/>
          <w:lang w:val="en-US" w:eastAsia="zh-CN"/>
        </w:rPr>
        <w:t>类级别。</w:t>
      </w:r>
    </w:p>
    <w:p w14:paraId="6C2792AD">
      <w:pPr>
        <w:rPr>
          <w:rFonts w:hint="default"/>
          <w:lang w:val="en-US" w:eastAsia="zh-CN"/>
        </w:rPr>
      </w:pPr>
      <w:r>
        <w:rPr>
          <w:rFonts w:hint="eastAsia"/>
          <w:lang w:val="en-US" w:eastAsia="zh-CN"/>
        </w:rPr>
        <w:t>矿区</w:t>
      </w:r>
      <w:r>
        <w:rPr>
          <w:rFonts w:hint="default"/>
          <w:lang w:val="en-US" w:eastAsia="zh-CN"/>
        </w:rPr>
        <w:t>矿石只需要破碎机、分筛机进行破碎加工、分选就可以了，流程简单，不需要做矿石加工技术试验。因矿石结构致密坚硬，抗压强度大，据同类型矿山的开采经验，属易采、易加工矿石</w:t>
      </w:r>
      <w:r>
        <w:rPr>
          <w:rFonts w:hint="eastAsia"/>
          <w:lang w:val="en-US" w:eastAsia="zh-CN"/>
        </w:rPr>
        <w:t>。</w:t>
      </w:r>
    </w:p>
    <w:p w14:paraId="094F0014">
      <w:pPr>
        <w:pStyle w:val="4"/>
        <w:bidi w:val="0"/>
        <w:rPr>
          <w:rFonts w:hint="default"/>
          <w:color w:val="auto"/>
          <w:lang w:val="en-US" w:eastAsia="zh-CN"/>
        </w:rPr>
      </w:pPr>
      <w:bookmarkStart w:id="153" w:name="_Toc24688"/>
      <w:bookmarkStart w:id="154" w:name="_Toc14635"/>
      <w:bookmarkStart w:id="155" w:name="_Toc19536"/>
      <w:bookmarkStart w:id="156" w:name="_Toc5305"/>
      <w:bookmarkStart w:id="157" w:name="_Toc20372"/>
      <w:bookmarkStart w:id="158" w:name="_Toc12121"/>
      <w:r>
        <w:rPr>
          <w:rFonts w:hint="default"/>
          <w:color w:val="auto"/>
          <w:lang w:val="en-US" w:eastAsia="zh-CN"/>
        </w:rPr>
        <w:t>2.3.</w:t>
      </w:r>
      <w:r>
        <w:rPr>
          <w:rFonts w:hint="eastAsia"/>
          <w:color w:val="auto"/>
          <w:lang w:val="en-US" w:eastAsia="zh-CN"/>
        </w:rPr>
        <w:t>2</w:t>
      </w:r>
      <w:r>
        <w:rPr>
          <w:rFonts w:hint="default"/>
          <w:color w:val="auto"/>
          <w:lang w:val="en-US" w:eastAsia="zh-CN"/>
        </w:rPr>
        <w:t xml:space="preserve"> 水文地质概况</w:t>
      </w:r>
      <w:bookmarkEnd w:id="153"/>
      <w:bookmarkEnd w:id="154"/>
      <w:bookmarkEnd w:id="155"/>
      <w:bookmarkEnd w:id="156"/>
      <w:bookmarkEnd w:id="157"/>
      <w:bookmarkEnd w:id="158"/>
    </w:p>
    <w:p w14:paraId="110AB9CE">
      <w:pPr>
        <w:rPr>
          <w:rFonts w:hint="default"/>
          <w:lang w:val="en-US" w:eastAsia="zh-CN"/>
        </w:rPr>
      </w:pPr>
      <w:r>
        <w:rPr>
          <w:rFonts w:hint="default"/>
          <w:lang w:val="en-US" w:eastAsia="zh-CN"/>
        </w:rPr>
        <w:t>矿区属低丘岗地地貌，地形坡度约15</w:t>
      </w:r>
      <w:r>
        <w:rPr>
          <w:rFonts w:hint="eastAsia" w:asciiTheme="minorEastAsia" w:hAnsiTheme="minorEastAsia" w:eastAsiaTheme="minorEastAsia" w:cstheme="minorEastAsia"/>
          <w:lang w:val="en-US" w:eastAsia="zh-CN"/>
        </w:rPr>
        <w:t>°</w:t>
      </w:r>
      <w:r>
        <w:rPr>
          <w:rFonts w:hint="default"/>
          <w:lang w:val="en-US" w:eastAsia="zh-CN"/>
        </w:rPr>
        <w:t>～35</w:t>
      </w:r>
      <w:r>
        <w:rPr>
          <w:rFonts w:hint="eastAsia" w:asciiTheme="minorEastAsia" w:hAnsiTheme="minorEastAsia" w:eastAsiaTheme="minorEastAsia" w:cstheme="minorEastAsia"/>
          <w:lang w:val="en-US" w:eastAsia="zh-CN"/>
        </w:rPr>
        <w:t>°</w:t>
      </w:r>
      <w:r>
        <w:rPr>
          <w:rFonts w:hint="default"/>
          <w:lang w:val="en-US" w:eastAsia="zh-CN"/>
        </w:rPr>
        <w:t>，构成了大气降水的良好排泄通道。</w:t>
      </w:r>
    </w:p>
    <w:p w14:paraId="14132A67">
      <w:pPr>
        <w:rPr>
          <w:rFonts w:hint="default"/>
          <w:lang w:val="en-US" w:eastAsia="zh-CN"/>
        </w:rPr>
      </w:pPr>
      <w:r>
        <w:rPr>
          <w:rFonts w:hint="default"/>
          <w:lang w:val="en-US" w:eastAsia="zh-CN"/>
        </w:rPr>
        <w:t>地表水系不发育，主要含水层为残坡积层，矿体赋存位置高于当地最低侵蚀基准面（+85m），地表水的补给主要为大气降水。矿区位于山坡处，大气降水大部分形成地表径流，排泄与沟谷中，少部分渗透于残坡积层，沿风化裂隙渗透，矿坑充水主要来自于地表径流以及裂隙水，可利用采场边坡自流排泄，水文地质条件简单。</w:t>
      </w:r>
    </w:p>
    <w:p w14:paraId="2DA18487">
      <w:pPr>
        <w:rPr>
          <w:rFonts w:hint="default"/>
          <w:lang w:val="en-US" w:eastAsia="zh-CN"/>
        </w:rPr>
      </w:pPr>
      <w:r>
        <w:rPr>
          <w:rFonts w:hint="default"/>
          <w:lang w:val="en-US" w:eastAsia="zh-CN"/>
        </w:rPr>
        <w:t>根据含水层、岩性、地下水的埋藏条件，地下水可划分为松散岩类孔隙水、基岩裂隙水两种类型。地下水主要来源为大气降水。</w:t>
      </w:r>
    </w:p>
    <w:p w14:paraId="1FF64BF4">
      <w:pPr>
        <w:rPr>
          <w:rFonts w:hint="default"/>
          <w:lang w:val="en-US" w:eastAsia="zh-CN"/>
        </w:rPr>
      </w:pPr>
      <w:r>
        <w:rPr>
          <w:rFonts w:hint="default"/>
          <w:lang w:val="en-US" w:eastAsia="zh-CN"/>
        </w:rPr>
        <w:t>1. 松散岩类孔隙水</w:t>
      </w:r>
    </w:p>
    <w:p w14:paraId="035EBC27">
      <w:pPr>
        <w:rPr>
          <w:rFonts w:hint="default"/>
          <w:lang w:val="en-US" w:eastAsia="zh-CN"/>
        </w:rPr>
      </w:pPr>
      <w:r>
        <w:rPr>
          <w:rFonts w:hint="default"/>
          <w:lang w:val="en-US" w:eastAsia="zh-CN"/>
        </w:rPr>
        <w:t>含水层主要由残坡积层和全风化层组成，其厚度为4.5m，地下水位埋深0.5m～3.67m，单位涌水量0.131L/</w:t>
      </w:r>
      <w:r>
        <w:rPr>
          <w:rFonts w:hint="eastAsia"/>
          <w:lang w:val="en-US" w:eastAsia="zh-CN"/>
        </w:rPr>
        <w:t>（</w:t>
      </w:r>
      <w:r>
        <w:rPr>
          <w:rFonts w:hint="default"/>
          <w:lang w:val="en-US" w:eastAsia="zh-CN"/>
        </w:rPr>
        <w:t>s·m</w:t>
      </w:r>
      <w:r>
        <w:rPr>
          <w:rFonts w:hint="eastAsia"/>
          <w:lang w:val="en-US" w:eastAsia="zh-CN"/>
        </w:rPr>
        <w:t>）</w:t>
      </w:r>
      <w:r>
        <w:rPr>
          <w:rFonts w:hint="default"/>
          <w:lang w:val="en-US" w:eastAsia="zh-CN"/>
        </w:rPr>
        <w:t>～3.191L/</w:t>
      </w:r>
      <w:r>
        <w:rPr>
          <w:rFonts w:hint="eastAsia"/>
          <w:lang w:val="en-US" w:eastAsia="zh-CN"/>
        </w:rPr>
        <w:t>（</w:t>
      </w:r>
      <w:r>
        <w:rPr>
          <w:rFonts w:hint="default"/>
          <w:lang w:val="en-US" w:eastAsia="zh-CN"/>
        </w:rPr>
        <w:t>s·m</w:t>
      </w:r>
      <w:r>
        <w:rPr>
          <w:rFonts w:hint="eastAsia"/>
          <w:lang w:val="en-US" w:eastAsia="zh-CN"/>
        </w:rPr>
        <w:t>）</w:t>
      </w:r>
      <w:r>
        <w:rPr>
          <w:rFonts w:hint="default"/>
          <w:lang w:val="en-US" w:eastAsia="zh-CN"/>
        </w:rPr>
        <w:t>，单井涌水量为334t/d～1366t/d；渗透系数1.99m/d～2.60m/d。矿化度0.421g/L～0.622g/L，PH值7.1～7.53，总硬度21.88～32.80德国度，水质以重碳酸钙、重碳酸～钙镁型为主。</w:t>
      </w:r>
    </w:p>
    <w:p w14:paraId="419AFF8F">
      <w:pPr>
        <w:rPr>
          <w:rFonts w:hint="default"/>
          <w:lang w:val="en-US" w:eastAsia="zh-CN"/>
        </w:rPr>
      </w:pPr>
      <w:r>
        <w:rPr>
          <w:rFonts w:hint="default"/>
          <w:lang w:val="en-US" w:eastAsia="zh-CN"/>
        </w:rPr>
        <w:t>2. 基岩裂隙水</w:t>
      </w:r>
    </w:p>
    <w:p w14:paraId="25611B7E">
      <w:pPr>
        <w:rPr>
          <w:rFonts w:hint="default"/>
          <w:lang w:val="en-US" w:eastAsia="zh-CN"/>
        </w:rPr>
      </w:pPr>
      <w:r>
        <w:rPr>
          <w:rFonts w:hint="default"/>
          <w:lang w:val="en-US" w:eastAsia="zh-CN"/>
        </w:rPr>
        <w:t>含水层为变余碎屑岩，构造裂隙较发育，平均2～5条/m，多呈闭合状，地表浅部有泥质充填。常见流量0.01L/s～0.16L/s，地下水迳流模数小于3L/</w:t>
      </w:r>
      <w:r>
        <w:rPr>
          <w:rFonts w:hint="eastAsia"/>
          <w:lang w:val="en-US" w:eastAsia="zh-CN"/>
        </w:rPr>
        <w:t>（</w:t>
      </w:r>
      <w:r>
        <w:rPr>
          <w:rFonts w:hint="default"/>
          <w:lang w:val="en-US" w:eastAsia="zh-CN"/>
        </w:rPr>
        <w:t>s·km</w:t>
      </w:r>
      <w:r>
        <w:rPr>
          <w:rFonts w:hint="eastAsia"/>
          <w:vertAlign w:val="superscript"/>
          <w:lang w:val="en-US" w:eastAsia="zh-CN"/>
        </w:rPr>
        <w:t>2</w:t>
      </w:r>
      <w:r>
        <w:rPr>
          <w:rFonts w:hint="eastAsia"/>
          <w:lang w:val="en-US" w:eastAsia="zh-CN"/>
        </w:rPr>
        <w:t>）</w:t>
      </w:r>
      <w:r>
        <w:rPr>
          <w:rFonts w:hint="default"/>
          <w:lang w:val="en-US" w:eastAsia="zh-CN"/>
        </w:rPr>
        <w:t>，水量贫乏。矿化度0.05g/L～0.25g/L，PH值7～8，总硬度1～2德国度，水质以重碳酸～钙〔钾钠〕型水为主。</w:t>
      </w:r>
    </w:p>
    <w:p w14:paraId="5E40ACCB">
      <w:pPr>
        <w:pStyle w:val="4"/>
        <w:bidi w:val="0"/>
        <w:rPr>
          <w:rFonts w:hint="default"/>
          <w:color w:val="auto"/>
          <w:lang w:val="en-US" w:eastAsia="zh-CN"/>
        </w:rPr>
      </w:pPr>
      <w:bookmarkStart w:id="159" w:name="_Toc6826"/>
      <w:bookmarkStart w:id="160" w:name="_Toc4750"/>
      <w:bookmarkStart w:id="161" w:name="_Toc11154"/>
      <w:bookmarkStart w:id="162" w:name="_Toc12945"/>
      <w:bookmarkStart w:id="163" w:name="_Toc3023"/>
      <w:bookmarkStart w:id="164" w:name="_Toc11895"/>
      <w:r>
        <w:rPr>
          <w:rFonts w:hint="eastAsia"/>
          <w:color w:val="auto"/>
          <w:lang w:val="en-US" w:eastAsia="zh-CN"/>
        </w:rPr>
        <w:t xml:space="preserve">2.3.3 </w:t>
      </w:r>
      <w:r>
        <w:rPr>
          <w:rFonts w:hint="default"/>
          <w:color w:val="auto"/>
          <w:lang w:val="en-US" w:eastAsia="zh-CN"/>
        </w:rPr>
        <w:t>工程地质概况</w:t>
      </w:r>
      <w:bookmarkEnd w:id="159"/>
      <w:bookmarkEnd w:id="160"/>
      <w:bookmarkEnd w:id="161"/>
      <w:bookmarkEnd w:id="162"/>
      <w:bookmarkEnd w:id="163"/>
      <w:bookmarkEnd w:id="164"/>
    </w:p>
    <w:p w14:paraId="7C6259C0">
      <w:pPr>
        <w:rPr>
          <w:rFonts w:hint="default"/>
          <w:lang w:val="en-US" w:eastAsia="zh-CN"/>
        </w:rPr>
      </w:pPr>
      <w:r>
        <w:rPr>
          <w:rFonts w:hint="default"/>
          <w:lang w:val="en-US" w:eastAsia="zh-CN"/>
        </w:rPr>
        <w:t>根据矿区内岩石的风化程度、裂隙发育程度及主要的岩石抗压强度 将矿区内岩石划分为两个工程地质岩组。</w:t>
      </w:r>
    </w:p>
    <w:p w14:paraId="22A075BF">
      <w:pPr>
        <w:rPr>
          <w:rFonts w:hint="default"/>
          <w:lang w:val="en-US" w:eastAsia="zh-CN"/>
        </w:rPr>
      </w:pPr>
      <w:r>
        <w:rPr>
          <w:rFonts w:hint="default"/>
          <w:lang w:val="en-US" w:eastAsia="zh-CN"/>
        </w:rPr>
        <w:t>1. 松散软弱岩组</w:t>
      </w:r>
    </w:p>
    <w:p w14:paraId="603A42CD">
      <w:pPr>
        <w:rPr>
          <w:rFonts w:hint="default"/>
          <w:lang w:val="en-US" w:eastAsia="zh-CN"/>
        </w:rPr>
      </w:pPr>
      <w:r>
        <w:rPr>
          <w:rFonts w:hint="default"/>
          <w:lang w:val="en-US" w:eastAsia="zh-CN"/>
        </w:rPr>
        <w:t>主要为残坡积、强风化变余碎屑岩，厚度平均约4.5m，该岩石结构</w:t>
      </w:r>
      <w:r>
        <w:rPr>
          <w:rFonts w:hint="eastAsia"/>
          <w:lang w:val="en-US" w:eastAsia="zh-CN"/>
        </w:rPr>
        <w:t>松散，稳定性差，开采时需对其进行剥离。</w:t>
      </w:r>
    </w:p>
    <w:p w14:paraId="59C0253A">
      <w:pPr>
        <w:rPr>
          <w:rFonts w:hint="default"/>
          <w:lang w:val="en-US" w:eastAsia="zh-CN"/>
        </w:rPr>
      </w:pPr>
      <w:r>
        <w:rPr>
          <w:rFonts w:hint="default"/>
          <w:lang w:val="en-US" w:eastAsia="zh-CN"/>
        </w:rPr>
        <w:t>2. 夹石软弱岩组</w:t>
      </w:r>
    </w:p>
    <w:p w14:paraId="69DC2A45">
      <w:pPr>
        <w:rPr>
          <w:rFonts w:hint="default"/>
          <w:lang w:val="en-US" w:eastAsia="zh-CN"/>
        </w:rPr>
      </w:pPr>
      <w:r>
        <w:rPr>
          <w:rFonts w:hint="default"/>
          <w:lang w:val="en-US" w:eastAsia="zh-CN"/>
        </w:rPr>
        <w:t>矿体间夹有薄层状粉砂质绢云板岩等，经采样检验，其单轴抗压强度为35.9MPa</w:t>
      </w:r>
      <w:r>
        <w:rPr>
          <w:rFonts w:hint="eastAsia"/>
          <w:lang w:val="en-US" w:eastAsia="zh-CN"/>
        </w:rPr>
        <w:t>，</w:t>
      </w:r>
      <w:r>
        <w:rPr>
          <w:rFonts w:hint="default"/>
          <w:lang w:val="en-US" w:eastAsia="zh-CN"/>
        </w:rPr>
        <w:t>遇水后易变软，因此，矿体间的夹层为相对软弱层。在今后矿山开采过程中有可能产生层间滑动。</w:t>
      </w:r>
    </w:p>
    <w:p w14:paraId="35B00117">
      <w:pPr>
        <w:rPr>
          <w:rFonts w:hint="default"/>
          <w:lang w:val="en-US" w:eastAsia="zh-CN"/>
        </w:rPr>
      </w:pPr>
      <w:r>
        <w:rPr>
          <w:rFonts w:hint="default"/>
          <w:lang w:val="en-US" w:eastAsia="zh-CN"/>
        </w:rPr>
        <w:t>3. 坚硬岩组</w:t>
      </w:r>
    </w:p>
    <w:p w14:paraId="169E7703">
      <w:pPr>
        <w:rPr>
          <w:rFonts w:hint="default"/>
          <w:lang w:val="en-US" w:eastAsia="zh-CN"/>
        </w:rPr>
      </w:pPr>
      <w:r>
        <w:rPr>
          <w:rFonts w:hint="default"/>
          <w:lang w:val="en-US" w:eastAsia="zh-CN"/>
        </w:rPr>
        <w:t>该岩组主要为新鲜的变质岩屑石英杂砂岩，岩石致密坚硬，稳定性较好，是矿区主要矿石。</w:t>
      </w:r>
    </w:p>
    <w:p w14:paraId="477295FD">
      <w:pPr>
        <w:rPr>
          <w:rFonts w:hint="default"/>
          <w:lang w:val="en-US" w:eastAsia="zh-CN"/>
        </w:rPr>
      </w:pPr>
      <w:r>
        <w:rPr>
          <w:rFonts w:hint="default"/>
          <w:lang w:val="en-US" w:eastAsia="zh-CN"/>
        </w:rPr>
        <w:t>4. 工程地质评价</w:t>
      </w:r>
    </w:p>
    <w:p w14:paraId="29996E9F">
      <w:pPr>
        <w:rPr>
          <w:rFonts w:hint="default"/>
          <w:lang w:val="en-US" w:eastAsia="zh-CN"/>
        </w:rPr>
      </w:pPr>
      <w:r>
        <w:rPr>
          <w:rFonts w:hint="default"/>
          <w:lang w:val="en-US" w:eastAsia="zh-CN"/>
        </w:rPr>
        <w:t>矿区内矿体为变质岩屑石英杂砂岩，呈厚～巨厚层状产出，岩石致密坚硬，稳固性相对较好</w:t>
      </w:r>
    </w:p>
    <w:p w14:paraId="17429340">
      <w:pPr>
        <w:pStyle w:val="4"/>
        <w:bidi w:val="0"/>
        <w:rPr>
          <w:rFonts w:hint="eastAsia"/>
          <w:color w:val="auto"/>
          <w:lang w:val="en-US" w:eastAsia="zh-CN"/>
        </w:rPr>
      </w:pPr>
      <w:bookmarkStart w:id="165" w:name="_Toc15675"/>
      <w:bookmarkStart w:id="166" w:name="_Toc9041"/>
      <w:bookmarkStart w:id="167" w:name="_Toc7641"/>
      <w:bookmarkStart w:id="168" w:name="_Toc8159"/>
      <w:bookmarkStart w:id="169" w:name="_Toc26302"/>
      <w:bookmarkStart w:id="170" w:name="_Toc10970"/>
      <w:r>
        <w:rPr>
          <w:rFonts w:hint="eastAsia"/>
          <w:color w:val="auto"/>
          <w:lang w:val="en-US" w:eastAsia="zh-CN"/>
        </w:rPr>
        <w:t>2.3.4 环境地质概况</w:t>
      </w:r>
      <w:bookmarkEnd w:id="165"/>
      <w:bookmarkEnd w:id="166"/>
      <w:bookmarkEnd w:id="167"/>
      <w:bookmarkEnd w:id="168"/>
      <w:bookmarkEnd w:id="169"/>
      <w:bookmarkEnd w:id="170"/>
    </w:p>
    <w:p w14:paraId="220B2660">
      <w:pPr>
        <w:rPr>
          <w:rFonts w:hint="default"/>
          <w:lang w:val="en-US" w:eastAsia="zh-CN"/>
        </w:rPr>
      </w:pPr>
      <w:r>
        <w:rPr>
          <w:rFonts w:hint="default"/>
          <w:lang w:val="en-US" w:eastAsia="zh-CN"/>
        </w:rPr>
        <w:t>根据《中国地震动参数区划图》（GB18306-2015），矿区及周边地区区域地震烈度</w:t>
      </w:r>
      <w:r>
        <w:rPr>
          <w:rFonts w:hint="eastAsia" w:asciiTheme="minorEastAsia" w:hAnsiTheme="minorEastAsia" w:eastAsiaTheme="minorEastAsia" w:cstheme="minorEastAsia"/>
          <w:lang w:val="en-US" w:eastAsia="zh-CN"/>
        </w:rPr>
        <w:t>Ⅵ</w:t>
      </w:r>
      <w:r>
        <w:rPr>
          <w:rFonts w:hint="default"/>
          <w:lang w:val="en-US" w:eastAsia="zh-CN"/>
        </w:rPr>
        <w:t>度，地震动峰值加速度0.05g，地震动参数特征周期小于0.35s，区域地壳稳定性好。</w:t>
      </w:r>
    </w:p>
    <w:p w14:paraId="22420ABD">
      <w:pPr>
        <w:rPr>
          <w:rFonts w:hint="default"/>
          <w:lang w:val="en-US" w:eastAsia="zh-CN"/>
        </w:rPr>
      </w:pPr>
      <w:r>
        <w:rPr>
          <w:rFonts w:hint="default"/>
          <w:lang w:val="en-US" w:eastAsia="zh-CN"/>
        </w:rPr>
        <w:t>矿山地处山坡，地形坡度约15</w:t>
      </w:r>
      <w:r>
        <w:rPr>
          <w:rFonts w:hint="eastAsia" w:asciiTheme="minorEastAsia" w:hAnsiTheme="minorEastAsia" w:eastAsiaTheme="minorEastAsia" w:cstheme="minorEastAsia"/>
          <w:lang w:val="en-US" w:eastAsia="zh-CN"/>
        </w:rPr>
        <w:t>°</w:t>
      </w:r>
      <w:r>
        <w:rPr>
          <w:rFonts w:hint="default"/>
          <w:lang w:val="en-US" w:eastAsia="zh-CN"/>
        </w:rPr>
        <w:t>～35</w:t>
      </w:r>
      <w:r>
        <w:rPr>
          <w:rFonts w:hint="eastAsia" w:asciiTheme="minorEastAsia" w:hAnsiTheme="minorEastAsia" w:eastAsiaTheme="minorEastAsia" w:cstheme="minorEastAsia"/>
          <w:lang w:val="en-US" w:eastAsia="zh-CN"/>
        </w:rPr>
        <w:t>°</w:t>
      </w:r>
      <w:r>
        <w:rPr>
          <w:rFonts w:hint="default"/>
          <w:lang w:val="en-US" w:eastAsia="zh-CN"/>
        </w:rPr>
        <w:t>，尽管开采区及周边汇水面积小，但矿山开采结束后仍有诱发崩滑流等地质灾害的可能，应做好预防和防治措施。矿区及周边附近未见地面塌陷、地裂缝、崩塌、滑坡等地质灾害现象发生。</w:t>
      </w:r>
    </w:p>
    <w:p w14:paraId="04D51AF0">
      <w:pPr>
        <w:rPr>
          <w:rFonts w:hint="default"/>
          <w:lang w:val="en-US" w:eastAsia="zh-CN"/>
        </w:rPr>
      </w:pPr>
      <w:r>
        <w:rPr>
          <w:rFonts w:hint="default"/>
          <w:lang w:val="en-US" w:eastAsia="zh-CN"/>
        </w:rPr>
        <w:t>矿区周边无铁路、公路、高压线和其它重要建筑物，距最近居民点大于最小爆破安全距离300m。矿区所采矿石不含有毒有害元素，矿床开采对当地地下水和地表水不会产生污染。</w:t>
      </w:r>
    </w:p>
    <w:p w14:paraId="19C2CA0B">
      <w:pPr>
        <w:rPr>
          <w:rFonts w:hint="default"/>
          <w:lang w:val="en-US" w:eastAsia="zh-CN"/>
        </w:rPr>
      </w:pPr>
      <w:r>
        <w:rPr>
          <w:rFonts w:hint="default"/>
          <w:lang w:val="en-US" w:eastAsia="zh-CN"/>
        </w:rPr>
        <w:t>矿山环境地质条件简单。</w:t>
      </w:r>
    </w:p>
    <w:p w14:paraId="0D0B7186">
      <w:pPr>
        <w:rPr>
          <w:rFonts w:hint="default"/>
          <w:lang w:val="en-US" w:eastAsia="zh-CN"/>
        </w:rPr>
      </w:pPr>
      <w:r>
        <w:rPr>
          <w:rFonts w:hint="default"/>
          <w:lang w:val="en-US" w:eastAsia="zh-CN"/>
        </w:rPr>
        <w:t>矿区矿体位于当地最低侵蚀基准（+85m）之上；矿区水文地质条件、工程地质条件、环境地质条件均属简单类型。矿床开采技术条件属简单的</w:t>
      </w:r>
      <w:r>
        <w:rPr>
          <w:rFonts w:hint="eastAsia" w:asciiTheme="minorEastAsia" w:hAnsiTheme="minorEastAsia" w:eastAsiaTheme="minorEastAsia" w:cstheme="minorEastAsia"/>
          <w:lang w:val="en-US" w:eastAsia="zh-CN"/>
        </w:rPr>
        <w:t>Ⅰ</w:t>
      </w:r>
      <w:r>
        <w:rPr>
          <w:rFonts w:hint="default"/>
          <w:lang w:val="en-US" w:eastAsia="zh-CN"/>
        </w:rPr>
        <w:t>类小型矿床。</w:t>
      </w:r>
    </w:p>
    <w:p w14:paraId="4BA39F9C">
      <w:pPr>
        <w:pStyle w:val="3"/>
        <w:bidi w:val="0"/>
        <w:rPr>
          <w:rFonts w:hint="default"/>
          <w:color w:val="auto"/>
          <w:lang w:val="en-US" w:eastAsia="zh-CN"/>
        </w:rPr>
      </w:pPr>
      <w:bookmarkStart w:id="171" w:name="_Toc1013"/>
      <w:bookmarkStart w:id="172" w:name="_Toc10357"/>
      <w:bookmarkStart w:id="173" w:name="_Toc2117"/>
      <w:bookmarkStart w:id="174" w:name="_Toc27306"/>
      <w:bookmarkStart w:id="175" w:name="_Toc20095"/>
      <w:bookmarkStart w:id="176" w:name="_Toc24321"/>
      <w:r>
        <w:rPr>
          <w:rFonts w:hint="default"/>
          <w:color w:val="auto"/>
          <w:lang w:val="en-US" w:eastAsia="zh-CN"/>
        </w:rPr>
        <w:t>2.</w:t>
      </w:r>
      <w:r>
        <w:rPr>
          <w:rFonts w:hint="eastAsia"/>
          <w:color w:val="auto"/>
          <w:lang w:val="en-US" w:eastAsia="zh-CN"/>
        </w:rPr>
        <w:t>4</w:t>
      </w:r>
      <w:r>
        <w:rPr>
          <w:rFonts w:hint="default"/>
          <w:color w:val="auto"/>
          <w:lang w:val="en-US" w:eastAsia="zh-CN"/>
        </w:rPr>
        <w:t xml:space="preserve"> 矿山生产现状</w:t>
      </w:r>
      <w:bookmarkEnd w:id="171"/>
      <w:bookmarkEnd w:id="172"/>
      <w:bookmarkEnd w:id="173"/>
      <w:bookmarkEnd w:id="174"/>
      <w:bookmarkEnd w:id="175"/>
      <w:bookmarkEnd w:id="176"/>
    </w:p>
    <w:p w14:paraId="576E6B82">
      <w:pPr>
        <w:pStyle w:val="4"/>
        <w:bidi w:val="0"/>
        <w:rPr>
          <w:rFonts w:hint="default"/>
          <w:color w:val="auto"/>
          <w:lang w:val="en-US" w:eastAsia="zh-CN"/>
        </w:rPr>
      </w:pPr>
      <w:bookmarkStart w:id="177" w:name="_Toc1792"/>
      <w:bookmarkStart w:id="178" w:name="_Toc5979"/>
      <w:bookmarkStart w:id="179" w:name="_Toc11410"/>
      <w:bookmarkStart w:id="180" w:name="_Toc14965"/>
      <w:bookmarkStart w:id="181" w:name="_Toc13462"/>
      <w:bookmarkStart w:id="182" w:name="_Toc21553"/>
      <w:r>
        <w:rPr>
          <w:rFonts w:hint="eastAsia"/>
          <w:color w:val="auto"/>
          <w:lang w:val="en-US" w:eastAsia="zh-CN"/>
        </w:rPr>
        <w:t>2.4.1 设计情况</w:t>
      </w:r>
      <w:bookmarkEnd w:id="177"/>
      <w:bookmarkEnd w:id="178"/>
      <w:bookmarkEnd w:id="179"/>
      <w:bookmarkEnd w:id="180"/>
      <w:bookmarkEnd w:id="181"/>
      <w:bookmarkEnd w:id="182"/>
    </w:p>
    <w:p w14:paraId="67725205">
      <w:pP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 xml:space="preserve">1. </w:t>
      </w:r>
      <w:r>
        <w:rPr>
          <w:rFonts w:hint="eastAsia" w:cs="Times New Roman"/>
          <w:color w:val="auto"/>
          <w:lang w:val="en-US" w:eastAsia="zh-CN"/>
        </w:rPr>
        <w:t>规模</w:t>
      </w:r>
    </w:p>
    <w:p w14:paraId="3CAB59B8">
      <w:pPr>
        <w:bidi w:val="0"/>
        <w:rPr>
          <w:rFonts w:hint="default" w:ascii="Times New Roman" w:hAnsi="Times New Roman" w:eastAsia="宋体" w:cs="Times New Roman"/>
          <w:color w:val="auto"/>
          <w:lang w:val="en-US" w:eastAsia="zh-CN"/>
        </w:rPr>
      </w:pPr>
      <w:r>
        <w:rPr>
          <w:rFonts w:hint="eastAsia" w:cs="Times New Roman"/>
          <w:color w:val="auto"/>
          <w:lang w:val="en-US" w:eastAsia="zh-CN"/>
        </w:rPr>
        <w:t>生产规模为35万t/a</w:t>
      </w:r>
      <w:r>
        <w:rPr>
          <w:rFonts w:hint="eastAsia" w:ascii="Times New Roman" w:hAnsi="Times New Roman" w:eastAsia="宋体" w:cs="Times New Roman"/>
          <w:color w:val="auto"/>
          <w:lang w:val="en-US" w:eastAsia="zh-CN"/>
        </w:rPr>
        <w:t>。</w:t>
      </w:r>
    </w:p>
    <w:p w14:paraId="44A5660A">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r>
        <w:rPr>
          <w:rFonts w:hint="eastAsia"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val="en-US" w:eastAsia="zh-CN"/>
        </w:rPr>
        <w:t>服务年限及工作制度</w:t>
      </w:r>
    </w:p>
    <w:p w14:paraId="27D1539D">
      <w:pPr>
        <w:rPr>
          <w:rFonts w:hint="default" w:ascii="Times New Roman" w:hAnsi="Times New Roman" w:eastAsia="宋体" w:cs="Times New Roman"/>
          <w:color w:val="auto"/>
          <w:lang w:val="en-US" w:eastAsia="zh-CN"/>
        </w:rPr>
      </w:pPr>
      <w:r>
        <w:rPr>
          <w:rFonts w:hint="eastAsia" w:cs="Times New Roman"/>
          <w:color w:val="auto"/>
          <w:lang w:val="en-US" w:eastAsia="zh-CN"/>
        </w:rPr>
        <w:t>矿山服务年限为9.8年；采用间断工作制，年工作250天，每天1班，每班8小时</w:t>
      </w:r>
      <w:r>
        <w:rPr>
          <w:rFonts w:hint="default" w:ascii="Times New Roman" w:hAnsi="Times New Roman" w:eastAsia="宋体" w:cs="Times New Roman"/>
          <w:color w:val="auto"/>
          <w:lang w:val="en-US" w:eastAsia="zh-CN"/>
        </w:rPr>
        <w:t>。</w:t>
      </w:r>
    </w:p>
    <w:p w14:paraId="22F44B1E">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w:t>
      </w:r>
      <w:r>
        <w:rPr>
          <w:rFonts w:hint="eastAsia" w:ascii="Times New Roman" w:hAnsi="Times New Roman" w:eastAsia="宋体" w:cs="Times New Roman"/>
          <w:color w:val="auto"/>
          <w:lang w:val="en-US" w:eastAsia="zh-CN"/>
        </w:rPr>
        <w:t xml:space="preserve">. </w:t>
      </w:r>
      <w:r>
        <w:rPr>
          <w:rFonts w:hint="eastAsia" w:cs="Times New Roman"/>
          <w:color w:val="auto"/>
          <w:lang w:val="en-US" w:eastAsia="zh-CN"/>
        </w:rPr>
        <w:t>开采范围</w:t>
      </w:r>
    </w:p>
    <w:p w14:paraId="260B7F17">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平面范围为表2.1-2坐标拐点圈定的范围，高程范围为</w:t>
      </w:r>
      <w:r>
        <w:rPr>
          <w:rFonts w:hint="eastAsia" w:cs="Times New Roman"/>
          <w:color w:val="auto"/>
          <w:lang w:val="en-US" w:eastAsia="zh-CN"/>
        </w:rPr>
        <w:t>+</w:t>
      </w:r>
      <w:r>
        <w:rPr>
          <w:rFonts w:hint="default" w:ascii="Times New Roman" w:hAnsi="Times New Roman" w:eastAsia="宋体" w:cs="Times New Roman"/>
          <w:color w:val="auto"/>
          <w:lang w:val="en-US" w:eastAsia="zh-CN"/>
        </w:rPr>
        <w:t>230m～</w:t>
      </w:r>
      <w:r>
        <w:rPr>
          <w:rFonts w:hint="eastAsia" w:cs="Times New Roman"/>
          <w:color w:val="auto"/>
          <w:lang w:val="en-US" w:eastAsia="zh-CN"/>
        </w:rPr>
        <w:t>+</w:t>
      </w:r>
      <w:r>
        <w:rPr>
          <w:rFonts w:hint="default" w:ascii="Times New Roman" w:hAnsi="Times New Roman" w:eastAsia="宋体" w:cs="Times New Roman"/>
          <w:color w:val="auto"/>
          <w:lang w:val="en-US" w:eastAsia="zh-CN"/>
        </w:rPr>
        <w:t>110m。</w:t>
      </w:r>
    </w:p>
    <w:p w14:paraId="0F6E3374">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w:t>
      </w:r>
      <w:r>
        <w:rPr>
          <w:rFonts w:hint="eastAsia"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val="en-US" w:eastAsia="zh-CN"/>
        </w:rPr>
        <w:t>开拓</w:t>
      </w:r>
      <w:r>
        <w:rPr>
          <w:rFonts w:hint="eastAsia" w:ascii="Times New Roman" w:hAnsi="Times New Roman" w:eastAsia="宋体" w:cs="Times New Roman"/>
          <w:color w:val="auto"/>
          <w:lang w:val="en-US" w:eastAsia="zh-CN"/>
        </w:rPr>
        <w:t>运输</w:t>
      </w:r>
      <w:r>
        <w:rPr>
          <w:rFonts w:hint="default" w:ascii="Times New Roman" w:hAnsi="Times New Roman" w:eastAsia="宋体" w:cs="Times New Roman"/>
          <w:color w:val="auto"/>
          <w:lang w:val="en-US" w:eastAsia="zh-CN"/>
        </w:rPr>
        <w:t>方案</w:t>
      </w:r>
    </w:p>
    <w:p w14:paraId="3D174091">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采用公路开拓</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汽车运输的开拓运输方式。采用泥结碎石结构路面</w:t>
      </w:r>
      <w:r>
        <w:rPr>
          <w:rFonts w:hint="eastAsia" w:asciiTheme="minorEastAsia" w:hAnsiTheme="minorEastAsia" w:eastAsiaTheme="minorEastAsia" w:cstheme="minorEastAsia"/>
          <w:color w:val="auto"/>
          <w:lang w:val="en-US" w:eastAsia="zh-CN"/>
        </w:rPr>
        <w:t>-</w:t>
      </w:r>
      <w:r>
        <w:rPr>
          <w:rFonts w:hint="default" w:ascii="Times New Roman" w:hAnsi="Times New Roman" w:eastAsia="宋体" w:cs="Times New Roman"/>
          <w:color w:val="auto"/>
          <w:lang w:val="en-US" w:eastAsia="zh-CN"/>
        </w:rPr>
        <w:t>单车道三级道路标准</w:t>
      </w:r>
      <w:r>
        <w:rPr>
          <w:rFonts w:hint="eastAsia" w:ascii="Times New Roman" w:hAnsi="Times New Roman" w:eastAsia="宋体" w:cs="Times New Roman"/>
          <w:color w:val="auto"/>
          <w:lang w:val="en-US" w:eastAsia="zh-CN"/>
        </w:rPr>
        <w:t>，道路宽度6m，平均坡度8.33%。</w:t>
      </w:r>
    </w:p>
    <w:p w14:paraId="5877FE7A">
      <w:pPr>
        <w:rPr>
          <w:rFonts w:hint="eastAsia" w:cs="Times New Roman"/>
          <w:color w:val="auto"/>
          <w:lang w:val="en-US" w:eastAsia="zh-CN"/>
        </w:rPr>
      </w:pPr>
      <w:r>
        <w:rPr>
          <w:rFonts w:hint="eastAsia" w:cs="Times New Roman"/>
          <w:color w:val="auto"/>
          <w:lang w:val="en-US" w:eastAsia="zh-CN"/>
        </w:rPr>
        <w:t>5. 开采方式及采剥工艺</w:t>
      </w:r>
    </w:p>
    <w:p w14:paraId="3F743ABC">
      <w:pPr>
        <w:rPr>
          <w:rFonts w:hint="default" w:cs="Times New Roman"/>
          <w:color w:val="auto"/>
          <w:lang w:val="en-US" w:eastAsia="zh-CN"/>
        </w:rPr>
      </w:pPr>
      <w:r>
        <w:rPr>
          <w:rFonts w:hint="default" w:cs="Times New Roman"/>
          <w:color w:val="auto"/>
          <w:lang w:val="en-US" w:eastAsia="zh-CN"/>
        </w:rPr>
        <w:t>采用自上而下分台阶开采法，依次形成</w:t>
      </w:r>
      <w:r>
        <w:rPr>
          <w:rFonts w:hint="eastAsia" w:cs="Times New Roman"/>
          <w:color w:val="auto"/>
          <w:lang w:val="en-US" w:eastAsia="zh-CN"/>
        </w:rPr>
        <w:t>+</w:t>
      </w:r>
      <w:r>
        <w:rPr>
          <w:rFonts w:hint="default" w:cs="Times New Roman"/>
          <w:color w:val="auto"/>
          <w:lang w:val="en-US" w:eastAsia="zh-CN"/>
        </w:rPr>
        <w:t>220m、</w:t>
      </w:r>
      <w:r>
        <w:rPr>
          <w:rFonts w:hint="eastAsia" w:cs="Times New Roman"/>
          <w:color w:val="auto"/>
          <w:lang w:val="en-US" w:eastAsia="zh-CN"/>
        </w:rPr>
        <w:t>+</w:t>
      </w:r>
      <w:r>
        <w:rPr>
          <w:rFonts w:hint="default" w:cs="Times New Roman"/>
          <w:color w:val="auto"/>
          <w:lang w:val="en-US" w:eastAsia="zh-CN"/>
        </w:rPr>
        <w:t>210m、</w:t>
      </w:r>
      <w:r>
        <w:rPr>
          <w:rFonts w:hint="eastAsia" w:cs="Times New Roman"/>
          <w:color w:val="auto"/>
          <w:lang w:val="en-US" w:eastAsia="zh-CN"/>
        </w:rPr>
        <w:t>+</w:t>
      </w:r>
      <w:r>
        <w:rPr>
          <w:rFonts w:hint="default" w:cs="Times New Roman"/>
          <w:color w:val="auto"/>
          <w:lang w:val="en-US" w:eastAsia="zh-CN"/>
        </w:rPr>
        <w:t>200m、</w:t>
      </w:r>
      <w:r>
        <w:rPr>
          <w:rFonts w:hint="eastAsia" w:cs="Times New Roman"/>
          <w:color w:val="auto"/>
          <w:lang w:val="en-US" w:eastAsia="zh-CN"/>
        </w:rPr>
        <w:t>+</w:t>
      </w:r>
      <w:r>
        <w:rPr>
          <w:rFonts w:hint="default" w:cs="Times New Roman"/>
          <w:color w:val="auto"/>
          <w:lang w:val="en-US" w:eastAsia="zh-CN"/>
        </w:rPr>
        <w:t>190m、</w:t>
      </w:r>
      <w:r>
        <w:rPr>
          <w:rFonts w:hint="eastAsia" w:cs="Times New Roman"/>
          <w:color w:val="auto"/>
          <w:lang w:val="en-US" w:eastAsia="zh-CN"/>
        </w:rPr>
        <w:t>+</w:t>
      </w:r>
      <w:r>
        <w:rPr>
          <w:rFonts w:hint="default" w:cs="Times New Roman"/>
          <w:color w:val="auto"/>
          <w:lang w:val="en-US" w:eastAsia="zh-CN"/>
        </w:rPr>
        <w:t>180m、</w:t>
      </w:r>
      <w:r>
        <w:rPr>
          <w:rFonts w:hint="eastAsia" w:cs="Times New Roman"/>
          <w:color w:val="auto"/>
          <w:lang w:val="en-US" w:eastAsia="zh-CN"/>
        </w:rPr>
        <w:t>+</w:t>
      </w:r>
      <w:r>
        <w:rPr>
          <w:rFonts w:hint="default" w:cs="Times New Roman"/>
          <w:color w:val="auto"/>
          <w:lang w:val="en-US" w:eastAsia="zh-CN"/>
        </w:rPr>
        <w:t>170m、</w:t>
      </w:r>
      <w:r>
        <w:rPr>
          <w:rFonts w:hint="eastAsia" w:cs="Times New Roman"/>
          <w:color w:val="auto"/>
          <w:lang w:val="en-US" w:eastAsia="zh-CN"/>
        </w:rPr>
        <w:t>+</w:t>
      </w:r>
      <w:r>
        <w:rPr>
          <w:rFonts w:hint="default" w:cs="Times New Roman"/>
          <w:color w:val="auto"/>
          <w:lang w:val="en-US" w:eastAsia="zh-CN"/>
        </w:rPr>
        <w:t>160m、</w:t>
      </w:r>
      <w:r>
        <w:rPr>
          <w:rFonts w:hint="eastAsia" w:cs="Times New Roman"/>
          <w:color w:val="auto"/>
          <w:lang w:val="en-US" w:eastAsia="zh-CN"/>
        </w:rPr>
        <w:t>+</w:t>
      </w:r>
      <w:r>
        <w:rPr>
          <w:rFonts w:hint="default" w:cs="Times New Roman"/>
          <w:color w:val="auto"/>
          <w:lang w:val="en-US" w:eastAsia="zh-CN"/>
        </w:rPr>
        <w:t>150m、</w:t>
      </w:r>
      <w:r>
        <w:rPr>
          <w:rFonts w:hint="eastAsia" w:cs="Times New Roman"/>
          <w:color w:val="auto"/>
          <w:lang w:val="en-US" w:eastAsia="zh-CN"/>
        </w:rPr>
        <w:t>+</w:t>
      </w:r>
      <w:r>
        <w:rPr>
          <w:rFonts w:hint="default" w:cs="Times New Roman"/>
          <w:color w:val="auto"/>
          <w:lang w:val="en-US" w:eastAsia="zh-CN"/>
        </w:rPr>
        <w:t>140m、</w:t>
      </w:r>
      <w:r>
        <w:rPr>
          <w:rFonts w:hint="eastAsia" w:cs="Times New Roman"/>
          <w:color w:val="auto"/>
          <w:lang w:val="en-US" w:eastAsia="zh-CN"/>
        </w:rPr>
        <w:t>+</w:t>
      </w:r>
      <w:r>
        <w:rPr>
          <w:rFonts w:hint="default" w:cs="Times New Roman"/>
          <w:color w:val="auto"/>
          <w:lang w:val="en-US" w:eastAsia="zh-CN"/>
        </w:rPr>
        <w:t>130m、</w:t>
      </w:r>
      <w:r>
        <w:rPr>
          <w:rFonts w:hint="eastAsia" w:cs="Times New Roman"/>
          <w:color w:val="auto"/>
          <w:lang w:val="en-US" w:eastAsia="zh-CN"/>
        </w:rPr>
        <w:t>+</w:t>
      </w:r>
      <w:r>
        <w:rPr>
          <w:rFonts w:hint="default" w:cs="Times New Roman"/>
          <w:color w:val="auto"/>
          <w:lang w:val="en-US" w:eastAsia="zh-CN"/>
        </w:rPr>
        <w:t>120m、</w:t>
      </w:r>
      <w:r>
        <w:rPr>
          <w:rFonts w:hint="eastAsia" w:cs="Times New Roman"/>
          <w:color w:val="auto"/>
          <w:lang w:val="en-US" w:eastAsia="zh-CN"/>
        </w:rPr>
        <w:t>+</w:t>
      </w:r>
      <w:r>
        <w:rPr>
          <w:rFonts w:hint="default" w:cs="Times New Roman"/>
          <w:color w:val="auto"/>
          <w:lang w:val="en-US" w:eastAsia="zh-CN"/>
        </w:rPr>
        <w:t>110m等12个台阶，并段终了后形成</w:t>
      </w:r>
      <w:r>
        <w:rPr>
          <w:rFonts w:hint="eastAsia" w:cs="Times New Roman"/>
          <w:color w:val="auto"/>
          <w:lang w:val="en-US" w:eastAsia="zh-CN"/>
        </w:rPr>
        <w:t>+</w:t>
      </w:r>
      <w:r>
        <w:rPr>
          <w:rFonts w:hint="default" w:cs="Times New Roman"/>
          <w:color w:val="auto"/>
          <w:lang w:val="en-US" w:eastAsia="zh-CN"/>
        </w:rPr>
        <w:t>210m、</w:t>
      </w:r>
      <w:r>
        <w:rPr>
          <w:rFonts w:hint="eastAsia" w:cs="Times New Roman"/>
          <w:color w:val="auto"/>
          <w:lang w:val="en-US" w:eastAsia="zh-CN"/>
        </w:rPr>
        <w:t>+</w:t>
      </w:r>
      <w:r>
        <w:rPr>
          <w:rFonts w:hint="default" w:cs="Times New Roman"/>
          <w:color w:val="auto"/>
          <w:lang w:val="en-US" w:eastAsia="zh-CN"/>
        </w:rPr>
        <w:t>190m、</w:t>
      </w:r>
      <w:r>
        <w:rPr>
          <w:rFonts w:hint="eastAsia" w:cs="Times New Roman"/>
          <w:color w:val="auto"/>
          <w:lang w:val="en-US" w:eastAsia="zh-CN"/>
        </w:rPr>
        <w:t>+</w:t>
      </w:r>
      <w:r>
        <w:rPr>
          <w:rFonts w:hint="default" w:cs="Times New Roman"/>
          <w:color w:val="auto"/>
          <w:lang w:val="en-US" w:eastAsia="zh-CN"/>
        </w:rPr>
        <w:t>170m、</w:t>
      </w:r>
      <w:r>
        <w:rPr>
          <w:rFonts w:hint="eastAsia" w:cs="Times New Roman"/>
          <w:color w:val="auto"/>
          <w:lang w:val="en-US" w:eastAsia="zh-CN"/>
        </w:rPr>
        <w:t>+</w:t>
      </w:r>
      <w:r>
        <w:rPr>
          <w:rFonts w:hint="default" w:cs="Times New Roman"/>
          <w:color w:val="auto"/>
          <w:lang w:val="en-US" w:eastAsia="zh-CN"/>
        </w:rPr>
        <w:t>150m、</w:t>
      </w:r>
      <w:r>
        <w:rPr>
          <w:rFonts w:hint="eastAsia" w:cs="Times New Roman"/>
          <w:color w:val="auto"/>
          <w:lang w:val="en-US" w:eastAsia="zh-CN"/>
        </w:rPr>
        <w:t>+</w:t>
      </w:r>
      <w:r>
        <w:rPr>
          <w:rFonts w:hint="default" w:cs="Times New Roman"/>
          <w:color w:val="auto"/>
          <w:lang w:val="en-US" w:eastAsia="zh-CN"/>
        </w:rPr>
        <w:t>130m、</w:t>
      </w:r>
      <w:r>
        <w:rPr>
          <w:rFonts w:hint="eastAsia" w:cs="Times New Roman"/>
          <w:color w:val="auto"/>
          <w:lang w:val="en-US" w:eastAsia="zh-CN"/>
        </w:rPr>
        <w:t>+</w:t>
      </w:r>
      <w:r>
        <w:rPr>
          <w:rFonts w:hint="default" w:cs="Times New Roman"/>
          <w:color w:val="auto"/>
          <w:lang w:val="en-US" w:eastAsia="zh-CN"/>
        </w:rPr>
        <w:t>110m等6个台阶。</w:t>
      </w:r>
    </w:p>
    <w:p w14:paraId="310C964C">
      <w:pPr>
        <w:rPr>
          <w:rFonts w:hint="default" w:cs="Times New Roman"/>
          <w:color w:val="auto"/>
          <w:lang w:val="en-US" w:eastAsia="zh-CN"/>
        </w:rPr>
      </w:pPr>
      <w:r>
        <w:rPr>
          <w:rFonts w:hint="default" w:cs="Times New Roman"/>
          <w:color w:val="auto"/>
          <w:lang w:val="en-US" w:eastAsia="zh-CN"/>
        </w:rPr>
        <w:t>工艺流程：潜孔钻机穿孔→深孔松动爆破→破碎锤进行采场台阶根底破碎和大块石二次破碎→挖掘机装车→自卸式汽车运输出矿→破碎场或排土场。</w:t>
      </w:r>
    </w:p>
    <w:p w14:paraId="1D8AAB9A">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Times New Roman" w:hAnsi="宋体" w:eastAsia="宋体" w:cs="Times New Roman"/>
          <w:b w:val="0"/>
          <w:bCs/>
          <w:kern w:val="2"/>
          <w:sz w:val="28"/>
          <w:szCs w:val="28"/>
          <w:lang w:val="en-US" w:eastAsia="zh-CN" w:bidi="ar-SA"/>
        </w:rPr>
      </w:pPr>
      <w:r>
        <w:rPr>
          <w:rFonts w:hint="eastAsia" w:ascii="Times New Roman" w:hAnsi="宋体" w:eastAsia="宋体" w:cs="Times New Roman"/>
          <w:b w:val="0"/>
          <w:bCs/>
          <w:kern w:val="2"/>
          <w:sz w:val="28"/>
          <w:szCs w:val="28"/>
          <w:lang w:val="en-US" w:eastAsia="zh-CN" w:bidi="ar-SA"/>
        </w:rPr>
        <w:t>最高</w:t>
      </w:r>
      <w:r>
        <w:rPr>
          <w:rFonts w:hint="eastAsia" w:hAnsi="宋体" w:cs="Times New Roman"/>
          <w:b w:val="0"/>
          <w:bCs/>
          <w:kern w:val="2"/>
          <w:sz w:val="28"/>
          <w:szCs w:val="28"/>
          <w:lang w:val="en-US" w:eastAsia="zh-CN" w:bidi="ar-SA"/>
        </w:rPr>
        <w:t>开采</w:t>
      </w:r>
      <w:r>
        <w:rPr>
          <w:rFonts w:hint="eastAsia" w:ascii="Times New Roman" w:hAnsi="宋体" w:eastAsia="宋体" w:cs="Times New Roman"/>
          <w:b w:val="0"/>
          <w:bCs/>
          <w:kern w:val="2"/>
          <w:sz w:val="28"/>
          <w:szCs w:val="28"/>
          <w:lang w:val="en-US" w:eastAsia="zh-CN" w:bidi="ar-SA"/>
        </w:rPr>
        <w:t xml:space="preserve">标高          </w:t>
      </w:r>
      <w:r>
        <w:rPr>
          <w:rFonts w:hint="eastAsia" w:hAnsi="宋体" w:cs="Times New Roman"/>
          <w:b w:val="0"/>
          <w:bCs/>
          <w:kern w:val="2"/>
          <w:sz w:val="28"/>
          <w:szCs w:val="28"/>
          <w:lang w:val="en-US" w:eastAsia="zh-CN" w:bidi="ar-SA"/>
        </w:rPr>
        <w:t xml:space="preserve">  </w:t>
      </w:r>
      <w:r>
        <w:rPr>
          <w:rFonts w:hint="eastAsia" w:ascii="Times New Roman" w:hAnsi="宋体" w:eastAsia="宋体" w:cs="Times New Roman"/>
          <w:b w:val="0"/>
          <w:bCs/>
          <w:kern w:val="2"/>
          <w:sz w:val="28"/>
          <w:szCs w:val="28"/>
          <w:lang w:val="en-US" w:eastAsia="zh-CN" w:bidi="ar-SA"/>
        </w:rPr>
        <w:t xml:space="preserve">    +230m</w:t>
      </w:r>
    </w:p>
    <w:p w14:paraId="1D88C760">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Times New Roman" w:hAnsi="宋体" w:eastAsia="宋体" w:cs="Times New Roman"/>
          <w:b w:val="0"/>
          <w:bCs/>
          <w:kern w:val="2"/>
          <w:sz w:val="28"/>
          <w:szCs w:val="28"/>
          <w:lang w:val="en-US" w:eastAsia="zh-CN" w:bidi="ar-SA"/>
        </w:rPr>
      </w:pPr>
      <w:r>
        <w:rPr>
          <w:rFonts w:hint="eastAsia" w:ascii="Times New Roman" w:hAnsi="宋体" w:eastAsia="宋体" w:cs="Times New Roman"/>
          <w:b w:val="0"/>
          <w:bCs/>
          <w:kern w:val="2"/>
          <w:sz w:val="28"/>
          <w:szCs w:val="28"/>
          <w:lang w:val="en-US" w:eastAsia="zh-CN" w:bidi="ar-SA"/>
        </w:rPr>
        <w:t xml:space="preserve">最低开采标高          </w:t>
      </w:r>
      <w:r>
        <w:rPr>
          <w:rFonts w:hint="eastAsia" w:hAnsi="宋体" w:cs="Times New Roman"/>
          <w:b w:val="0"/>
          <w:bCs/>
          <w:kern w:val="2"/>
          <w:sz w:val="28"/>
          <w:szCs w:val="28"/>
          <w:lang w:val="en-US" w:eastAsia="zh-CN" w:bidi="ar-SA"/>
        </w:rPr>
        <w:t xml:space="preserve">  </w:t>
      </w:r>
      <w:r>
        <w:rPr>
          <w:rFonts w:hint="eastAsia" w:ascii="Times New Roman" w:hAnsi="宋体" w:eastAsia="宋体" w:cs="Times New Roman"/>
          <w:b w:val="0"/>
          <w:bCs/>
          <w:kern w:val="2"/>
          <w:sz w:val="28"/>
          <w:szCs w:val="28"/>
          <w:lang w:val="en-US" w:eastAsia="zh-CN" w:bidi="ar-SA"/>
        </w:rPr>
        <w:t xml:space="preserve">    +110m</w:t>
      </w:r>
    </w:p>
    <w:p w14:paraId="65E84C33">
      <w:pPr>
        <w:rPr>
          <w:rFonts w:hint="default" w:cs="Times New Roman"/>
          <w:color w:val="auto"/>
          <w:lang w:val="en-US" w:eastAsia="zh-CN"/>
        </w:rPr>
      </w:pPr>
      <w:r>
        <w:rPr>
          <w:rFonts w:hint="eastAsia" w:ascii="Times New Roman" w:hAnsi="宋体" w:eastAsia="宋体" w:cs="Times New Roman"/>
          <w:b w:val="0"/>
          <w:bCs/>
          <w:kern w:val="2"/>
          <w:sz w:val="28"/>
          <w:szCs w:val="28"/>
          <w:lang w:val="en-US" w:eastAsia="zh-CN" w:bidi="ar-SA"/>
        </w:rPr>
        <w:t xml:space="preserve">最大开采深度         </w:t>
      </w:r>
      <w:r>
        <w:rPr>
          <w:rFonts w:hint="eastAsia" w:hAnsi="宋体" w:cs="Times New Roman"/>
          <w:b w:val="0"/>
          <w:bCs/>
          <w:kern w:val="2"/>
          <w:sz w:val="28"/>
          <w:szCs w:val="28"/>
          <w:lang w:val="en-US" w:eastAsia="zh-CN" w:bidi="ar-SA"/>
        </w:rPr>
        <w:t xml:space="preserve">  </w:t>
      </w:r>
      <w:r>
        <w:rPr>
          <w:rFonts w:hint="eastAsia" w:ascii="Times New Roman" w:hAnsi="宋体" w:eastAsia="宋体" w:cs="Times New Roman"/>
          <w:b w:val="0"/>
          <w:bCs/>
          <w:kern w:val="2"/>
          <w:sz w:val="28"/>
          <w:szCs w:val="28"/>
          <w:lang w:val="en-US" w:eastAsia="zh-CN" w:bidi="ar-SA"/>
        </w:rPr>
        <w:t xml:space="preserve">     </w:t>
      </w:r>
      <w:r>
        <w:rPr>
          <w:rFonts w:hint="eastAsia" w:hAnsi="宋体" w:cs="Times New Roman"/>
          <w:b w:val="0"/>
          <w:bCs/>
          <w:kern w:val="2"/>
          <w:sz w:val="28"/>
          <w:szCs w:val="28"/>
          <w:lang w:val="en-US" w:eastAsia="zh-CN" w:bidi="ar-SA"/>
        </w:rPr>
        <w:t>1</w:t>
      </w:r>
      <w:r>
        <w:rPr>
          <w:rFonts w:hint="eastAsia" w:ascii="Times New Roman" w:hAnsi="宋体" w:eastAsia="宋体" w:cs="Times New Roman"/>
          <w:b w:val="0"/>
          <w:bCs/>
          <w:kern w:val="2"/>
          <w:sz w:val="28"/>
          <w:szCs w:val="28"/>
          <w:lang w:val="en-US" w:eastAsia="zh-CN" w:bidi="ar-SA"/>
        </w:rPr>
        <w:t>20m</w:t>
      </w:r>
    </w:p>
    <w:p w14:paraId="50041338">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Times New Roman" w:hAnsi="宋体" w:eastAsia="宋体" w:cs="Times New Roman"/>
          <w:b w:val="0"/>
          <w:bCs/>
          <w:kern w:val="2"/>
          <w:sz w:val="28"/>
          <w:szCs w:val="28"/>
          <w:lang w:val="en-US" w:eastAsia="zh-CN" w:bidi="ar-SA"/>
        </w:rPr>
      </w:pPr>
      <w:r>
        <w:rPr>
          <w:rFonts w:hint="eastAsia" w:ascii="Times New Roman" w:hAnsi="宋体" w:eastAsia="宋体" w:cs="Times New Roman"/>
          <w:b w:val="0"/>
          <w:bCs/>
          <w:kern w:val="2"/>
          <w:sz w:val="28"/>
          <w:szCs w:val="28"/>
          <w:lang w:val="en-US" w:eastAsia="zh-CN" w:bidi="ar-SA"/>
        </w:rPr>
        <w:t>工作台阶高度：              10m</w:t>
      </w:r>
    </w:p>
    <w:p w14:paraId="56C57AEC">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Times New Roman" w:hAnsi="宋体" w:eastAsia="宋体" w:cs="Times New Roman"/>
          <w:b w:val="0"/>
          <w:bCs/>
          <w:kern w:val="2"/>
          <w:sz w:val="28"/>
          <w:szCs w:val="28"/>
          <w:lang w:val="en-US" w:eastAsia="zh-CN" w:bidi="ar-SA"/>
        </w:rPr>
      </w:pPr>
      <w:r>
        <w:rPr>
          <w:rFonts w:hint="eastAsia" w:ascii="Times New Roman" w:hAnsi="宋体" w:eastAsia="宋体" w:cs="Times New Roman"/>
          <w:b w:val="0"/>
          <w:bCs/>
          <w:kern w:val="2"/>
          <w:sz w:val="28"/>
          <w:szCs w:val="28"/>
          <w:lang w:val="en-US" w:eastAsia="zh-CN" w:bidi="ar-SA"/>
        </w:rPr>
        <w:t xml:space="preserve">最终台阶高度          </w:t>
      </w:r>
      <w:r>
        <w:rPr>
          <w:rFonts w:hint="eastAsia" w:hAnsi="宋体" w:cs="Times New Roman"/>
          <w:b w:val="0"/>
          <w:bCs/>
          <w:kern w:val="2"/>
          <w:sz w:val="28"/>
          <w:szCs w:val="28"/>
          <w:lang w:val="en-US" w:eastAsia="zh-CN" w:bidi="ar-SA"/>
        </w:rPr>
        <w:t xml:space="preserve">  </w:t>
      </w:r>
      <w:r>
        <w:rPr>
          <w:rFonts w:hint="eastAsia" w:ascii="Times New Roman" w:hAnsi="宋体" w:eastAsia="宋体" w:cs="Times New Roman"/>
          <w:b w:val="0"/>
          <w:bCs/>
          <w:kern w:val="2"/>
          <w:sz w:val="28"/>
          <w:szCs w:val="28"/>
          <w:lang w:val="en-US" w:eastAsia="zh-CN" w:bidi="ar-SA"/>
        </w:rPr>
        <w:t xml:space="preserve">    20m（两个工作台阶合并）</w:t>
      </w:r>
    </w:p>
    <w:p w14:paraId="5B47B70A">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Times New Roman" w:hAnsi="宋体" w:eastAsia="宋体" w:cs="Times New Roman"/>
          <w:b w:val="0"/>
          <w:bCs/>
          <w:kern w:val="2"/>
          <w:sz w:val="28"/>
          <w:szCs w:val="28"/>
          <w:lang w:val="en-US" w:eastAsia="zh-CN" w:bidi="ar-SA"/>
        </w:rPr>
      </w:pPr>
      <w:r>
        <w:rPr>
          <w:rFonts w:hint="eastAsia" w:ascii="Times New Roman" w:hAnsi="宋体" w:eastAsia="宋体" w:cs="Times New Roman"/>
          <w:b w:val="0"/>
          <w:bCs/>
          <w:kern w:val="2"/>
          <w:sz w:val="28"/>
          <w:szCs w:val="28"/>
          <w:lang w:val="en-US" w:eastAsia="zh-CN" w:bidi="ar-SA"/>
        </w:rPr>
        <w:t>最小工作平台宽度：          30m</w:t>
      </w:r>
    </w:p>
    <w:p w14:paraId="06CD963A">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Times New Roman" w:hAnsi="宋体" w:eastAsia="宋体" w:cs="Times New Roman"/>
          <w:b w:val="0"/>
          <w:bCs/>
          <w:kern w:val="2"/>
          <w:sz w:val="28"/>
          <w:szCs w:val="28"/>
          <w:lang w:val="en-US" w:eastAsia="zh-CN" w:bidi="ar-SA"/>
        </w:rPr>
      </w:pPr>
      <w:r>
        <w:rPr>
          <w:rFonts w:hint="eastAsia" w:ascii="Times New Roman" w:hAnsi="宋体" w:eastAsia="宋体" w:cs="Times New Roman"/>
          <w:b w:val="0"/>
          <w:bCs/>
          <w:kern w:val="2"/>
          <w:sz w:val="28"/>
          <w:szCs w:val="28"/>
          <w:lang w:val="en-US" w:eastAsia="zh-CN" w:bidi="ar-SA"/>
        </w:rPr>
        <w:t>安全平台宽度：              4m</w:t>
      </w:r>
    </w:p>
    <w:p w14:paraId="54B78C61">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Times New Roman" w:hAnsi="宋体" w:eastAsia="宋体" w:cs="Times New Roman"/>
          <w:b w:val="0"/>
          <w:bCs/>
          <w:kern w:val="2"/>
          <w:sz w:val="28"/>
          <w:szCs w:val="28"/>
          <w:lang w:val="en-US" w:eastAsia="zh-CN" w:bidi="ar-SA"/>
        </w:rPr>
      </w:pPr>
      <w:r>
        <w:rPr>
          <w:rFonts w:hint="eastAsia" w:ascii="Times New Roman" w:hAnsi="宋体" w:eastAsia="宋体" w:cs="Times New Roman"/>
          <w:b w:val="0"/>
          <w:bCs/>
          <w:kern w:val="2"/>
          <w:sz w:val="28"/>
          <w:szCs w:val="28"/>
          <w:lang w:val="en-US" w:eastAsia="zh-CN" w:bidi="ar-SA"/>
        </w:rPr>
        <w:t>清扫平台宽：                6m</w:t>
      </w:r>
    </w:p>
    <w:p w14:paraId="6DA126ED">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Times New Roman" w:hAnsi="宋体" w:eastAsia="宋体" w:cs="Times New Roman"/>
          <w:b w:val="0"/>
          <w:bCs/>
          <w:kern w:val="2"/>
          <w:sz w:val="28"/>
          <w:szCs w:val="28"/>
          <w:lang w:val="en-US" w:eastAsia="zh-CN" w:bidi="ar-SA"/>
        </w:rPr>
      </w:pPr>
      <w:r>
        <w:rPr>
          <w:rFonts w:hint="eastAsia" w:ascii="Times New Roman" w:hAnsi="宋体" w:eastAsia="宋体" w:cs="Times New Roman"/>
          <w:b w:val="0"/>
          <w:bCs/>
          <w:kern w:val="2"/>
          <w:sz w:val="28"/>
          <w:szCs w:val="28"/>
          <w:lang w:val="en-US" w:eastAsia="zh-CN" w:bidi="ar-SA"/>
        </w:rPr>
        <w:t>接滚石平台宽宽：            20m（设在</w:t>
      </w:r>
      <w:r>
        <w:rPr>
          <w:rFonts w:hint="eastAsia" w:hAnsi="宋体" w:cs="Times New Roman"/>
          <w:b w:val="0"/>
          <w:bCs/>
          <w:kern w:val="2"/>
          <w:sz w:val="28"/>
          <w:szCs w:val="28"/>
          <w:lang w:val="en-US" w:eastAsia="zh-CN" w:bidi="ar-SA"/>
        </w:rPr>
        <w:t>+</w:t>
      </w:r>
      <w:r>
        <w:rPr>
          <w:rFonts w:hint="eastAsia" w:ascii="Times New Roman" w:hAnsi="宋体" w:eastAsia="宋体" w:cs="Times New Roman"/>
          <w:b w:val="0"/>
          <w:bCs/>
          <w:kern w:val="2"/>
          <w:sz w:val="28"/>
          <w:szCs w:val="28"/>
          <w:lang w:val="en-US" w:eastAsia="zh-CN" w:bidi="ar-SA"/>
        </w:rPr>
        <w:t>170m</w:t>
      </w:r>
      <w:r>
        <w:rPr>
          <w:rFonts w:hint="eastAsia" w:hAnsi="宋体" w:cs="Times New Roman"/>
          <w:b w:val="0"/>
          <w:bCs/>
          <w:kern w:val="2"/>
          <w:sz w:val="28"/>
          <w:szCs w:val="28"/>
          <w:lang w:val="en-US" w:eastAsia="zh-CN" w:bidi="ar-SA"/>
        </w:rPr>
        <w:t>平台</w:t>
      </w:r>
      <w:r>
        <w:rPr>
          <w:rFonts w:hint="eastAsia" w:ascii="Times New Roman" w:hAnsi="宋体" w:eastAsia="宋体" w:cs="Times New Roman"/>
          <w:b w:val="0"/>
          <w:bCs/>
          <w:kern w:val="2"/>
          <w:sz w:val="28"/>
          <w:szCs w:val="28"/>
          <w:lang w:val="en-US" w:eastAsia="zh-CN" w:bidi="ar-SA"/>
        </w:rPr>
        <w:t>）</w:t>
      </w:r>
    </w:p>
    <w:p w14:paraId="7A718536">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Times New Roman" w:hAnsi="宋体" w:eastAsia="宋体" w:cs="Times New Roman"/>
          <w:b w:val="0"/>
          <w:bCs/>
          <w:kern w:val="2"/>
          <w:sz w:val="28"/>
          <w:szCs w:val="28"/>
          <w:lang w:val="en-US" w:eastAsia="zh-CN" w:bidi="ar-SA"/>
        </w:rPr>
      </w:pPr>
      <w:r>
        <w:rPr>
          <w:rFonts w:hint="eastAsia" w:ascii="Times New Roman" w:hAnsi="宋体" w:eastAsia="宋体" w:cs="Times New Roman"/>
          <w:b w:val="0"/>
          <w:bCs/>
          <w:kern w:val="2"/>
          <w:sz w:val="28"/>
          <w:szCs w:val="28"/>
          <w:lang w:val="en-US" w:eastAsia="zh-CN" w:bidi="ar-SA"/>
        </w:rPr>
        <w:t xml:space="preserve">台阶坡面角：    </w:t>
      </w:r>
      <w:r>
        <w:rPr>
          <w:rFonts w:hint="eastAsia" w:hAnsi="宋体" w:cs="Times New Roman"/>
          <w:b w:val="0"/>
          <w:bCs/>
          <w:kern w:val="2"/>
          <w:sz w:val="28"/>
          <w:szCs w:val="28"/>
          <w:lang w:val="en-US" w:eastAsia="zh-CN" w:bidi="ar-SA"/>
        </w:rPr>
        <w:t xml:space="preserve">    </w:t>
      </w:r>
      <w:r>
        <w:rPr>
          <w:rFonts w:hint="eastAsia" w:ascii="Times New Roman" w:hAnsi="宋体" w:eastAsia="宋体" w:cs="Times New Roman"/>
          <w:b w:val="0"/>
          <w:bCs/>
          <w:kern w:val="2"/>
          <w:sz w:val="28"/>
          <w:szCs w:val="28"/>
          <w:lang w:val="en-US" w:eastAsia="zh-CN" w:bidi="ar-SA"/>
        </w:rPr>
        <w:t xml:space="preserve">        65°</w:t>
      </w:r>
    </w:p>
    <w:p w14:paraId="14FF856B">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Times New Roman" w:hAnsi="宋体" w:eastAsia="宋体" w:cs="Times New Roman"/>
          <w:b w:val="0"/>
          <w:bCs/>
          <w:kern w:val="2"/>
          <w:sz w:val="28"/>
          <w:szCs w:val="28"/>
          <w:lang w:val="en-US" w:eastAsia="zh-CN" w:bidi="ar-SA"/>
        </w:rPr>
      </w:pPr>
      <w:r>
        <w:rPr>
          <w:rFonts w:hint="eastAsia" w:hAnsi="宋体" w:cs="Times New Roman"/>
          <w:b w:val="0"/>
          <w:bCs/>
          <w:kern w:val="2"/>
          <w:sz w:val="28"/>
          <w:szCs w:val="28"/>
          <w:lang w:val="en-US" w:eastAsia="zh-CN" w:bidi="ar-SA"/>
        </w:rPr>
        <w:t>最终边坡</w:t>
      </w:r>
      <w:r>
        <w:rPr>
          <w:rFonts w:hint="eastAsia" w:ascii="Times New Roman" w:hAnsi="宋体" w:eastAsia="宋体" w:cs="Times New Roman"/>
          <w:b w:val="0"/>
          <w:bCs/>
          <w:kern w:val="2"/>
          <w:sz w:val="28"/>
          <w:szCs w:val="28"/>
          <w:lang w:val="en-US" w:eastAsia="zh-CN" w:bidi="ar-SA"/>
        </w:rPr>
        <w:t>角</w:t>
      </w:r>
      <w:r>
        <w:rPr>
          <w:rFonts w:hint="eastAsia" w:hAnsi="宋体" w:cs="Times New Roman"/>
          <w:b w:val="0"/>
          <w:bCs/>
          <w:kern w:val="2"/>
          <w:sz w:val="28"/>
          <w:szCs w:val="28"/>
          <w:lang w:val="en-US" w:eastAsia="zh-CN" w:bidi="ar-SA"/>
        </w:rPr>
        <w:t>（最大）</w:t>
      </w:r>
      <w:r>
        <w:rPr>
          <w:rFonts w:hint="eastAsia" w:ascii="Times New Roman" w:hAnsi="宋体" w:eastAsia="宋体" w:cs="Times New Roman"/>
          <w:b w:val="0"/>
          <w:bCs/>
          <w:kern w:val="2"/>
          <w:sz w:val="28"/>
          <w:szCs w:val="28"/>
          <w:lang w:val="en-US" w:eastAsia="zh-CN" w:bidi="ar-SA"/>
        </w:rPr>
        <w:t>：        50°</w:t>
      </w:r>
    </w:p>
    <w:p w14:paraId="23B47A88">
      <w:pPr>
        <w:bidi w:val="0"/>
        <w:rPr>
          <w:rFonts w:hint="eastAsia" w:cs="Times New Roman"/>
          <w:color w:val="auto"/>
          <w:lang w:val="en-US" w:eastAsia="zh-CN"/>
        </w:rPr>
      </w:pPr>
      <w:r>
        <w:rPr>
          <w:rFonts w:hint="eastAsia" w:cs="Times New Roman"/>
          <w:color w:val="auto"/>
          <w:lang w:val="en-US" w:eastAsia="zh-CN"/>
        </w:rPr>
        <w:t>6. 矿山供、排水</w:t>
      </w:r>
    </w:p>
    <w:p w14:paraId="75F9CBDE">
      <w:pPr>
        <w:bidi w:val="0"/>
        <w:rPr>
          <w:rFonts w:hint="eastAsia" w:cs="Times New Roman"/>
          <w:color w:val="auto"/>
          <w:lang w:val="en-US" w:eastAsia="zh-CN"/>
        </w:rPr>
      </w:pPr>
      <w:r>
        <w:rPr>
          <w:rFonts w:hint="eastAsia" w:cs="Times New Roman"/>
          <w:color w:val="auto"/>
          <w:lang w:val="en-US" w:eastAsia="zh-CN"/>
        </w:rPr>
        <w:t>供水：在采场西侧+240m标高设置一高位水池，水池容积为120m</w:t>
      </w:r>
      <w:r>
        <w:rPr>
          <w:rFonts w:hint="eastAsia" w:cs="Times New Roman"/>
          <w:color w:val="auto"/>
          <w:vertAlign w:val="superscript"/>
          <w:lang w:val="en-US" w:eastAsia="zh-CN"/>
        </w:rPr>
        <w:t>3</w:t>
      </w:r>
      <w:r>
        <w:rPr>
          <w:rFonts w:hint="eastAsia" w:cs="Times New Roman"/>
          <w:color w:val="auto"/>
          <w:lang w:val="en-US" w:eastAsia="zh-CN"/>
        </w:rPr>
        <w:t>，取水点至高位水池采用DN80普通焊接管。高位水池至采场、运输公路等用水点采用DN80普通焊接管。</w:t>
      </w:r>
    </w:p>
    <w:p w14:paraId="09D2AE1C">
      <w:pPr>
        <w:bidi w:val="0"/>
        <w:rPr>
          <w:rFonts w:hint="eastAsia" w:cs="Times New Roman"/>
          <w:color w:val="auto"/>
          <w:lang w:val="en-US" w:eastAsia="zh-CN"/>
        </w:rPr>
      </w:pPr>
      <w:r>
        <w:rPr>
          <w:rFonts w:hint="eastAsia" w:cs="Times New Roman"/>
          <w:color w:val="auto"/>
          <w:lang w:val="en-US" w:eastAsia="zh-CN"/>
        </w:rPr>
        <w:t>排水：山坡型露天矿山，未形成封闭圈，可利用地形实现自流排水。</w:t>
      </w:r>
    </w:p>
    <w:p w14:paraId="12353658">
      <w:pPr>
        <w:bidi w:val="0"/>
        <w:rPr>
          <w:rFonts w:hint="eastAsia" w:cs="Times New Roman"/>
          <w:color w:val="auto"/>
          <w:lang w:val="en-US" w:eastAsia="zh-CN"/>
        </w:rPr>
      </w:pPr>
      <w:r>
        <w:rPr>
          <w:rFonts w:hint="eastAsia" w:cs="Times New Roman"/>
          <w:color w:val="auto"/>
          <w:lang w:val="en-US" w:eastAsia="zh-CN"/>
        </w:rPr>
        <w:t>7. 供电</w:t>
      </w:r>
    </w:p>
    <w:p w14:paraId="207F1BCC">
      <w:pPr>
        <w:bidi w:val="0"/>
        <w:rPr>
          <w:rFonts w:hint="eastAsia" w:cs="Times New Roman"/>
          <w:color w:val="auto"/>
          <w:lang w:val="en-US" w:eastAsia="zh-CN"/>
        </w:rPr>
      </w:pPr>
      <w:r>
        <w:rPr>
          <w:rFonts w:hint="eastAsia" w:cs="Times New Roman"/>
          <w:color w:val="auto"/>
          <w:lang w:val="en-US" w:eastAsia="zh-CN"/>
        </w:rPr>
        <w:t>电源来自响水滩乡变电所，LGJ-25架空进线至矿山低压变电所，距离1km，电压等级10kV。矿区低压变电所内设1台型号为S11-80/10kV/0.4kV/0.23kV变压器。</w:t>
      </w:r>
    </w:p>
    <w:p w14:paraId="6B2F48BC">
      <w:pPr>
        <w:bidi w:val="0"/>
        <w:rPr>
          <w:rFonts w:hint="eastAsia" w:cs="Times New Roman"/>
          <w:color w:val="auto"/>
          <w:lang w:val="en-US" w:eastAsia="zh-CN"/>
        </w:rPr>
      </w:pPr>
      <w:r>
        <w:rPr>
          <w:rFonts w:hint="eastAsia" w:cs="Times New Roman"/>
          <w:color w:val="auto"/>
          <w:lang w:val="en-US" w:eastAsia="zh-CN"/>
        </w:rPr>
        <w:t>8. 通讯及监控</w:t>
      </w:r>
    </w:p>
    <w:p w14:paraId="08CBE482">
      <w:pPr>
        <w:bidi w:val="0"/>
        <w:rPr>
          <w:rFonts w:hint="eastAsia" w:cs="Times New Roman"/>
          <w:color w:val="auto"/>
          <w:lang w:val="en-US" w:eastAsia="zh-CN"/>
        </w:rPr>
      </w:pPr>
      <w:r>
        <w:rPr>
          <w:rFonts w:hint="eastAsia" w:cs="Times New Roman"/>
          <w:color w:val="auto"/>
          <w:lang w:val="en-US" w:eastAsia="zh-CN"/>
        </w:rPr>
        <w:t>安装内部程控交换固定电话4门。在矿区变电房、供水泵站和相关办公室等处皆应安装程控交换固定电话，并保证内外通话畅通。</w:t>
      </w:r>
    </w:p>
    <w:p w14:paraId="603093B1">
      <w:pPr>
        <w:pStyle w:val="4"/>
        <w:bidi w:val="0"/>
        <w:rPr>
          <w:rFonts w:hint="default"/>
          <w:color w:val="auto"/>
          <w:lang w:val="en-US" w:eastAsia="zh-CN"/>
        </w:rPr>
      </w:pPr>
      <w:bookmarkStart w:id="183" w:name="_Toc28823"/>
      <w:bookmarkStart w:id="184" w:name="_Toc17160"/>
      <w:bookmarkStart w:id="185" w:name="_Toc7050"/>
      <w:bookmarkStart w:id="186" w:name="_Toc19514"/>
      <w:bookmarkStart w:id="187" w:name="_Toc26322"/>
      <w:bookmarkStart w:id="188" w:name="_Toc32017"/>
      <w:r>
        <w:rPr>
          <w:rFonts w:hint="default"/>
          <w:color w:val="auto"/>
          <w:lang w:val="en-US" w:eastAsia="zh-CN"/>
        </w:rPr>
        <w:t>2.</w:t>
      </w:r>
      <w:r>
        <w:rPr>
          <w:rFonts w:hint="eastAsia"/>
          <w:color w:val="auto"/>
          <w:lang w:val="en-US" w:eastAsia="zh-CN"/>
        </w:rPr>
        <w:t>4</w:t>
      </w:r>
      <w:r>
        <w:rPr>
          <w:rFonts w:hint="default"/>
          <w:color w:val="auto"/>
          <w:lang w:val="en-US" w:eastAsia="zh-CN"/>
        </w:rPr>
        <w:t>.</w:t>
      </w:r>
      <w:r>
        <w:rPr>
          <w:rFonts w:hint="eastAsia"/>
          <w:color w:val="auto"/>
          <w:lang w:val="en-US" w:eastAsia="zh-CN"/>
        </w:rPr>
        <w:t>2</w:t>
      </w:r>
      <w:r>
        <w:rPr>
          <w:rFonts w:hint="default"/>
          <w:color w:val="auto"/>
          <w:lang w:val="en-US" w:eastAsia="zh-CN"/>
        </w:rPr>
        <w:t xml:space="preserve"> 矿山开采上轮许可状况</w:t>
      </w:r>
      <w:bookmarkEnd w:id="183"/>
      <w:bookmarkEnd w:id="184"/>
      <w:bookmarkEnd w:id="185"/>
      <w:bookmarkEnd w:id="186"/>
      <w:bookmarkEnd w:id="187"/>
      <w:bookmarkEnd w:id="188"/>
    </w:p>
    <w:p w14:paraId="5C417E0B">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矿山上一轮</w:t>
      </w:r>
      <w:r>
        <w:rPr>
          <w:rFonts w:hint="eastAsia" w:cs="Times New Roman"/>
          <w:color w:val="auto"/>
          <w:lang w:val="en-US" w:eastAsia="zh-CN"/>
        </w:rPr>
        <w:t>安全现状</w:t>
      </w:r>
      <w:r>
        <w:rPr>
          <w:rFonts w:hint="default" w:ascii="Times New Roman" w:hAnsi="Times New Roman" w:eastAsia="宋体" w:cs="Times New Roman"/>
          <w:color w:val="auto"/>
          <w:lang w:val="en-US" w:eastAsia="zh-CN"/>
        </w:rPr>
        <w:t>评价时间为202</w:t>
      </w:r>
      <w:r>
        <w:rPr>
          <w:rFonts w:hint="eastAsia" w:cs="Times New Roman"/>
          <w:color w:val="auto"/>
          <w:lang w:val="en-US" w:eastAsia="zh-CN"/>
        </w:rPr>
        <w:t>3</w:t>
      </w:r>
      <w:r>
        <w:rPr>
          <w:rFonts w:hint="default" w:ascii="Times New Roman" w:hAnsi="Times New Roman" w:eastAsia="宋体" w:cs="Times New Roman"/>
          <w:color w:val="auto"/>
          <w:lang w:val="en-US" w:eastAsia="zh-CN"/>
        </w:rPr>
        <w:t>年3月，评价单位为江西赣安安全生产科学技术咨询服务中心。</w:t>
      </w:r>
    </w:p>
    <w:p w14:paraId="0926311C">
      <w:pPr>
        <w:ind w:left="0" w:leftChars="0" w:firstLine="0" w:firstLineChars="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表2</w:t>
      </w:r>
      <w:r>
        <w:rPr>
          <w:rFonts w:hint="eastAsia" w:cs="Times New Roman"/>
          <w:color w:val="auto"/>
          <w:lang w:val="en-US" w:eastAsia="zh-CN"/>
        </w:rPr>
        <w:t>.4</w:t>
      </w:r>
      <w:r>
        <w:rPr>
          <w:rFonts w:hint="default" w:ascii="Times New Roman" w:hAnsi="Times New Roman" w:eastAsia="宋体" w:cs="Times New Roman"/>
          <w:color w:val="auto"/>
          <w:lang w:val="en-US" w:eastAsia="zh-CN"/>
        </w:rPr>
        <w:t>-</w:t>
      </w:r>
      <w:r>
        <w:rPr>
          <w:rFonts w:hint="eastAsia" w:cs="Times New Roman"/>
          <w:color w:val="auto"/>
          <w:lang w:val="en-US" w:eastAsia="zh-CN"/>
        </w:rPr>
        <w:t xml:space="preserve">1 </w:t>
      </w:r>
      <w:r>
        <w:rPr>
          <w:rFonts w:hint="default" w:ascii="Times New Roman" w:hAnsi="Times New Roman" w:eastAsia="宋体" w:cs="Times New Roman"/>
          <w:color w:val="auto"/>
          <w:lang w:val="en-US" w:eastAsia="zh-CN"/>
        </w:rPr>
        <w:t>与上次安全评价采场主要设施差异</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761"/>
        <w:gridCol w:w="3381"/>
        <w:gridCol w:w="3276"/>
        <w:gridCol w:w="1224"/>
      </w:tblGrid>
      <w:tr w14:paraId="3EDA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646" w:type="dxa"/>
            <w:vAlign w:val="center"/>
          </w:tcPr>
          <w:p w14:paraId="742A2F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序号</w:t>
            </w:r>
          </w:p>
        </w:tc>
        <w:tc>
          <w:tcPr>
            <w:tcW w:w="761" w:type="dxa"/>
            <w:vAlign w:val="center"/>
          </w:tcPr>
          <w:p w14:paraId="284825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内容</w:t>
            </w:r>
          </w:p>
        </w:tc>
        <w:tc>
          <w:tcPr>
            <w:tcW w:w="3381" w:type="dxa"/>
            <w:vAlign w:val="center"/>
          </w:tcPr>
          <w:p w14:paraId="1C7F7D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2023年评价情况</w:t>
            </w:r>
          </w:p>
        </w:tc>
        <w:tc>
          <w:tcPr>
            <w:tcW w:w="3276" w:type="dxa"/>
            <w:vAlign w:val="center"/>
          </w:tcPr>
          <w:p w14:paraId="02944C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2026年评价情况</w:t>
            </w:r>
          </w:p>
        </w:tc>
        <w:tc>
          <w:tcPr>
            <w:tcW w:w="1224" w:type="dxa"/>
            <w:vAlign w:val="center"/>
          </w:tcPr>
          <w:p w14:paraId="61678F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说明</w:t>
            </w:r>
          </w:p>
        </w:tc>
      </w:tr>
      <w:tr w14:paraId="54D7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646" w:type="dxa"/>
            <w:vAlign w:val="center"/>
          </w:tcPr>
          <w:p w14:paraId="37A7F0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1</w:t>
            </w:r>
          </w:p>
        </w:tc>
        <w:tc>
          <w:tcPr>
            <w:tcW w:w="761" w:type="dxa"/>
            <w:vAlign w:val="center"/>
          </w:tcPr>
          <w:p w14:paraId="5BCFDC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评价范围</w:t>
            </w:r>
          </w:p>
        </w:tc>
        <w:tc>
          <w:tcPr>
            <w:tcW w:w="3381" w:type="dxa"/>
            <w:vAlign w:val="center"/>
          </w:tcPr>
          <w:p w14:paraId="14632F1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eastAsia="宋体" w:cs="Times New Roman"/>
                <w:color w:val="auto"/>
                <w:sz w:val="21"/>
                <w:szCs w:val="21"/>
                <w:vertAlign w:val="baseline"/>
                <w:lang w:val="en-US" w:eastAsia="zh-CN"/>
              </w:rPr>
            </w:pPr>
            <w:r>
              <w:rPr>
                <w:rFonts w:hint="default" w:eastAsia="宋体" w:cs="Times New Roman"/>
                <w:color w:val="auto"/>
                <w:sz w:val="21"/>
                <w:szCs w:val="21"/>
                <w:vertAlign w:val="baseline"/>
                <w:lang w:val="en-US" w:eastAsia="zh-CN"/>
              </w:rPr>
              <w:t>采矿证范围内，</w:t>
            </w:r>
            <w:r>
              <w:rPr>
                <w:rFonts w:hint="eastAsia" w:eastAsia="宋体" w:cs="Times New Roman"/>
                <w:color w:val="auto"/>
                <w:sz w:val="21"/>
                <w:szCs w:val="21"/>
                <w:vertAlign w:val="baseline"/>
                <w:lang w:val="en-US" w:eastAsia="zh-CN"/>
              </w:rPr>
              <w:t>+</w:t>
            </w:r>
            <w:r>
              <w:rPr>
                <w:rFonts w:hint="default" w:eastAsia="宋体" w:cs="Times New Roman"/>
                <w:color w:val="auto"/>
                <w:sz w:val="21"/>
                <w:szCs w:val="21"/>
                <w:vertAlign w:val="baseline"/>
                <w:lang w:val="en-US" w:eastAsia="zh-CN"/>
              </w:rPr>
              <w:t>230m～</w:t>
            </w:r>
            <w:r>
              <w:rPr>
                <w:rFonts w:hint="eastAsia" w:eastAsia="宋体" w:cs="Times New Roman"/>
                <w:color w:val="auto"/>
                <w:sz w:val="21"/>
                <w:szCs w:val="21"/>
                <w:vertAlign w:val="baseline"/>
                <w:lang w:val="en-US" w:eastAsia="zh-CN"/>
              </w:rPr>
              <w:t>+</w:t>
            </w:r>
            <w:r>
              <w:rPr>
                <w:rFonts w:hint="default" w:eastAsia="宋体" w:cs="Times New Roman"/>
                <w:color w:val="auto"/>
                <w:sz w:val="21"/>
                <w:szCs w:val="21"/>
                <w:vertAlign w:val="baseline"/>
                <w:lang w:val="en-US" w:eastAsia="zh-CN"/>
              </w:rPr>
              <w:t>110m标高之间的矿体所涉及的安全设施</w:t>
            </w:r>
          </w:p>
        </w:tc>
        <w:tc>
          <w:tcPr>
            <w:tcW w:w="3276" w:type="dxa"/>
            <w:vAlign w:val="center"/>
          </w:tcPr>
          <w:p w14:paraId="0E7670F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eastAsia="宋体" w:cs="Times New Roman"/>
                <w:color w:val="auto"/>
                <w:sz w:val="21"/>
                <w:szCs w:val="21"/>
                <w:vertAlign w:val="baseline"/>
                <w:lang w:val="en-US" w:eastAsia="zh-CN"/>
              </w:rPr>
            </w:pPr>
            <w:r>
              <w:rPr>
                <w:rFonts w:hint="default" w:eastAsia="宋体" w:cs="Times New Roman"/>
                <w:color w:val="auto"/>
                <w:sz w:val="21"/>
                <w:szCs w:val="21"/>
                <w:vertAlign w:val="baseline"/>
                <w:lang w:val="en-US" w:eastAsia="zh-CN"/>
              </w:rPr>
              <w:t>采矿证范围内，</w:t>
            </w:r>
            <w:r>
              <w:rPr>
                <w:rFonts w:hint="eastAsia" w:eastAsia="宋体" w:cs="Times New Roman"/>
                <w:color w:val="auto"/>
                <w:sz w:val="21"/>
                <w:szCs w:val="21"/>
                <w:vertAlign w:val="baseline"/>
                <w:lang w:val="en-US" w:eastAsia="zh-CN"/>
              </w:rPr>
              <w:t>+</w:t>
            </w:r>
            <w:r>
              <w:rPr>
                <w:rFonts w:hint="default" w:eastAsia="宋体" w:cs="Times New Roman"/>
                <w:color w:val="auto"/>
                <w:sz w:val="21"/>
                <w:szCs w:val="21"/>
                <w:vertAlign w:val="baseline"/>
                <w:lang w:val="en-US" w:eastAsia="zh-CN"/>
              </w:rPr>
              <w:t>230m～</w:t>
            </w:r>
            <w:r>
              <w:rPr>
                <w:rFonts w:hint="eastAsia" w:eastAsia="宋体" w:cs="Times New Roman"/>
                <w:color w:val="auto"/>
                <w:sz w:val="21"/>
                <w:szCs w:val="21"/>
                <w:vertAlign w:val="baseline"/>
                <w:lang w:val="en-US" w:eastAsia="zh-CN"/>
              </w:rPr>
              <w:t>+</w:t>
            </w:r>
            <w:r>
              <w:rPr>
                <w:rFonts w:hint="default" w:eastAsia="宋体" w:cs="Times New Roman"/>
                <w:color w:val="auto"/>
                <w:sz w:val="21"/>
                <w:szCs w:val="21"/>
                <w:vertAlign w:val="baseline"/>
                <w:lang w:val="en-US" w:eastAsia="zh-CN"/>
              </w:rPr>
              <w:t>110m标高之间的矿体所涉及的安全设施</w:t>
            </w:r>
          </w:p>
        </w:tc>
        <w:tc>
          <w:tcPr>
            <w:tcW w:w="1224" w:type="dxa"/>
            <w:vAlign w:val="center"/>
          </w:tcPr>
          <w:p w14:paraId="42DF02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一致</w:t>
            </w:r>
          </w:p>
        </w:tc>
      </w:tr>
      <w:tr w14:paraId="4CF1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646" w:type="dxa"/>
            <w:vAlign w:val="center"/>
          </w:tcPr>
          <w:p w14:paraId="409D36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2</w:t>
            </w:r>
          </w:p>
        </w:tc>
        <w:tc>
          <w:tcPr>
            <w:tcW w:w="761" w:type="dxa"/>
            <w:vAlign w:val="center"/>
          </w:tcPr>
          <w:p w14:paraId="320809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开拓运输</w:t>
            </w:r>
          </w:p>
        </w:tc>
        <w:tc>
          <w:tcPr>
            <w:tcW w:w="3381" w:type="dxa"/>
            <w:vAlign w:val="center"/>
          </w:tcPr>
          <w:p w14:paraId="6EFB166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采用公路开拓汽车运输的开拓运输方式</w:t>
            </w:r>
          </w:p>
        </w:tc>
        <w:tc>
          <w:tcPr>
            <w:tcW w:w="3276" w:type="dxa"/>
            <w:vAlign w:val="center"/>
          </w:tcPr>
          <w:p w14:paraId="2C53385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采用公路开拓汽车运输的开拓运输方式</w:t>
            </w:r>
          </w:p>
        </w:tc>
        <w:tc>
          <w:tcPr>
            <w:tcW w:w="1224" w:type="dxa"/>
            <w:vAlign w:val="center"/>
          </w:tcPr>
          <w:p w14:paraId="3EB24E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一致</w:t>
            </w:r>
          </w:p>
        </w:tc>
      </w:tr>
      <w:tr w14:paraId="37E8A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646" w:type="dxa"/>
            <w:vAlign w:val="center"/>
          </w:tcPr>
          <w:p w14:paraId="6D2875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3</w:t>
            </w:r>
          </w:p>
        </w:tc>
        <w:tc>
          <w:tcPr>
            <w:tcW w:w="761" w:type="dxa"/>
            <w:vAlign w:val="center"/>
          </w:tcPr>
          <w:p w14:paraId="2BF191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vertAlign w:val="baseline"/>
                <w:lang w:val="en-US" w:eastAsia="zh-CN"/>
              </w:rPr>
            </w:pPr>
            <w:r>
              <w:rPr>
                <w:rFonts w:hint="eastAsia" w:ascii="宋体" w:hAnsi="宋体" w:eastAsia="宋体" w:cs="宋体"/>
                <w:color w:val="auto"/>
                <w:sz w:val="21"/>
                <w:szCs w:val="21"/>
                <w:lang w:val="en-US" w:eastAsia="zh-CN"/>
              </w:rPr>
              <w:t>采剥方法</w:t>
            </w:r>
          </w:p>
        </w:tc>
        <w:tc>
          <w:tcPr>
            <w:tcW w:w="3381" w:type="dxa"/>
            <w:vAlign w:val="center"/>
          </w:tcPr>
          <w:p w14:paraId="3EB5BB6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采用深孔凿岩、爆破作业的采剥方法。</w:t>
            </w:r>
          </w:p>
          <w:p w14:paraId="5A1BC72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vertAlign w:val="baseline"/>
                <w:lang w:val="en-US" w:eastAsia="zh-CN"/>
              </w:rPr>
            </w:pPr>
            <w:r>
              <w:rPr>
                <w:rFonts w:hint="eastAsia" w:ascii="宋体" w:hAnsi="宋体" w:eastAsia="宋体" w:cs="宋体"/>
                <w:color w:val="auto"/>
                <w:sz w:val="21"/>
                <w:szCs w:val="21"/>
              </w:rPr>
              <w:t>矿山开采的主要工艺流程为：潜孔钻机穿孔→深孔松动爆破→破碎锤进行采场台阶根底破碎和大块石二次破碎→挖掘机装车→自卸式汽车运输出矿→破碎场或排土场。</w:t>
            </w:r>
          </w:p>
        </w:tc>
        <w:tc>
          <w:tcPr>
            <w:tcW w:w="3276" w:type="dxa"/>
            <w:vAlign w:val="center"/>
          </w:tcPr>
          <w:p w14:paraId="11D907E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采用深孔凿岩、爆破作业的采剥方法。</w:t>
            </w:r>
          </w:p>
          <w:p w14:paraId="0B81C0A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vertAlign w:val="baseline"/>
                <w:lang w:val="en-US" w:eastAsia="zh-CN"/>
              </w:rPr>
            </w:pPr>
            <w:r>
              <w:rPr>
                <w:rFonts w:hint="eastAsia" w:ascii="宋体" w:hAnsi="宋体" w:eastAsia="宋体" w:cs="宋体"/>
                <w:color w:val="auto"/>
                <w:sz w:val="21"/>
                <w:szCs w:val="21"/>
              </w:rPr>
              <w:t>矿山开采的主要工艺流程为：潜孔钻机穿孔→深孔松动爆破→破碎锤进行采场台阶根底破碎和大块石二次破碎→挖掘机装车→自卸式汽车运输出矿→破碎场或排土场。</w:t>
            </w:r>
          </w:p>
        </w:tc>
        <w:tc>
          <w:tcPr>
            <w:tcW w:w="1224" w:type="dxa"/>
            <w:vAlign w:val="center"/>
          </w:tcPr>
          <w:p w14:paraId="265164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一致</w:t>
            </w:r>
          </w:p>
        </w:tc>
      </w:tr>
      <w:tr w14:paraId="25CE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46" w:type="dxa"/>
            <w:vAlign w:val="center"/>
          </w:tcPr>
          <w:p w14:paraId="138974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4</w:t>
            </w:r>
          </w:p>
        </w:tc>
        <w:tc>
          <w:tcPr>
            <w:tcW w:w="761" w:type="dxa"/>
            <w:vAlign w:val="center"/>
          </w:tcPr>
          <w:p w14:paraId="44A41A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作业台阶</w:t>
            </w:r>
          </w:p>
        </w:tc>
        <w:tc>
          <w:tcPr>
            <w:tcW w:w="3381" w:type="dxa"/>
            <w:vAlign w:val="center"/>
          </w:tcPr>
          <w:p w14:paraId="3D79B6E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+180m、+170m两个台阶</w:t>
            </w:r>
          </w:p>
        </w:tc>
        <w:tc>
          <w:tcPr>
            <w:tcW w:w="3276" w:type="dxa"/>
            <w:vAlign w:val="center"/>
          </w:tcPr>
          <w:p w14:paraId="5906D7C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+170m台阶</w:t>
            </w:r>
          </w:p>
        </w:tc>
        <w:tc>
          <w:tcPr>
            <w:tcW w:w="1224" w:type="dxa"/>
            <w:vAlign w:val="center"/>
          </w:tcPr>
          <w:p w14:paraId="7F3A98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w:t>
            </w:r>
            <w:r>
              <w:rPr>
                <w:rFonts w:hint="eastAsia" w:cs="Times New Roman"/>
                <w:color w:val="auto"/>
                <w:sz w:val="21"/>
                <w:szCs w:val="21"/>
                <w:vertAlign w:val="baseline"/>
                <w:lang w:val="en-US" w:eastAsia="zh-CN"/>
              </w:rPr>
              <w:t>9</w:t>
            </w:r>
            <w:r>
              <w:rPr>
                <w:rFonts w:hint="eastAsia" w:ascii="Times New Roman" w:hAnsi="Times New Roman" w:eastAsia="宋体" w:cs="Times New Roman"/>
                <w:color w:val="auto"/>
                <w:sz w:val="21"/>
                <w:szCs w:val="21"/>
                <w:vertAlign w:val="baseline"/>
                <w:lang w:val="en-US" w:eastAsia="zh-CN"/>
              </w:rPr>
              <w:t>0m</w:t>
            </w:r>
            <w:r>
              <w:rPr>
                <w:rFonts w:hint="default" w:ascii="Times New Roman" w:hAnsi="Times New Roman" w:eastAsia="宋体" w:cs="Times New Roman"/>
                <w:color w:val="auto"/>
                <w:sz w:val="21"/>
                <w:szCs w:val="21"/>
                <w:vertAlign w:val="baseline"/>
                <w:lang w:val="en-US" w:eastAsia="zh-CN"/>
              </w:rPr>
              <w:t>～</w:t>
            </w:r>
            <w:r>
              <w:rPr>
                <w:rFonts w:hint="eastAsia" w:ascii="Times New Roman" w:hAnsi="Times New Roman" w:eastAsia="宋体" w:cs="Times New Roman"/>
                <w:color w:val="auto"/>
                <w:sz w:val="21"/>
                <w:szCs w:val="21"/>
                <w:vertAlign w:val="baseline"/>
                <w:lang w:val="en-US" w:eastAsia="zh-CN"/>
              </w:rPr>
              <w:t>+180m</w:t>
            </w:r>
            <w:r>
              <w:rPr>
                <w:rFonts w:hint="eastAsia" w:eastAsia="宋体" w:cs="Times New Roman"/>
                <w:color w:val="auto"/>
                <w:sz w:val="21"/>
                <w:szCs w:val="21"/>
                <w:vertAlign w:val="baseline"/>
                <w:lang w:val="en-US" w:eastAsia="zh-CN"/>
              </w:rPr>
              <w:t>已采完</w:t>
            </w:r>
          </w:p>
        </w:tc>
      </w:tr>
      <w:tr w14:paraId="444D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vAlign w:val="center"/>
          </w:tcPr>
          <w:p w14:paraId="2362D5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5</w:t>
            </w:r>
          </w:p>
        </w:tc>
        <w:tc>
          <w:tcPr>
            <w:tcW w:w="761" w:type="dxa"/>
            <w:vAlign w:val="center"/>
          </w:tcPr>
          <w:p w14:paraId="4297C0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供、排水系统</w:t>
            </w:r>
          </w:p>
        </w:tc>
        <w:tc>
          <w:tcPr>
            <w:tcW w:w="3381" w:type="dxa"/>
            <w:vAlign w:val="center"/>
          </w:tcPr>
          <w:p w14:paraId="392FEC3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供水：矿山生产用水水源取自矿区东南侧水塘，2台90QJD2-112/26-1.5YDA供水泵。</w:t>
            </w:r>
          </w:p>
          <w:p w14:paraId="6D31F48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排水：利用地形实现自流排水</w:t>
            </w:r>
          </w:p>
        </w:tc>
        <w:tc>
          <w:tcPr>
            <w:tcW w:w="3276" w:type="dxa"/>
            <w:vAlign w:val="center"/>
          </w:tcPr>
          <w:p w14:paraId="1F58074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供水：矿山生产用水水源取自矿区东南侧水塘，2台90QJD2-112/26-1.5YDA供水泵。</w:t>
            </w:r>
          </w:p>
          <w:p w14:paraId="28BCCDA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排水：利用地形实现自流排水</w:t>
            </w:r>
          </w:p>
        </w:tc>
        <w:tc>
          <w:tcPr>
            <w:tcW w:w="1224" w:type="dxa"/>
            <w:vAlign w:val="center"/>
          </w:tcPr>
          <w:p w14:paraId="6CCBA1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一致</w:t>
            </w:r>
          </w:p>
        </w:tc>
      </w:tr>
      <w:tr w14:paraId="78ED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vAlign w:val="center"/>
          </w:tcPr>
          <w:p w14:paraId="658FBB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7</w:t>
            </w:r>
          </w:p>
        </w:tc>
        <w:tc>
          <w:tcPr>
            <w:tcW w:w="761" w:type="dxa"/>
            <w:vAlign w:val="center"/>
          </w:tcPr>
          <w:p w14:paraId="2148CF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供配电系统</w:t>
            </w:r>
          </w:p>
        </w:tc>
        <w:tc>
          <w:tcPr>
            <w:tcW w:w="3381" w:type="dxa"/>
            <w:vAlign w:val="center"/>
          </w:tcPr>
          <w:p w14:paraId="29C058B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电源来自响水滩乡变电所</w:t>
            </w:r>
            <w:r>
              <w:rPr>
                <w:rFonts w:hint="eastAsia" w:ascii="Times New Roman" w:hAnsi="Times New Roman" w:eastAsia="宋体"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LGJ-25架空进线至矿山低压变电所，距离1</w:t>
            </w:r>
            <w:r>
              <w:rPr>
                <w:rFonts w:hint="eastAsia" w:ascii="Times New Roman" w:hAnsi="Times New Roman" w:eastAsia="宋体" w:cs="Times New Roman"/>
                <w:color w:val="auto"/>
                <w:sz w:val="21"/>
                <w:szCs w:val="21"/>
                <w:vertAlign w:val="baseline"/>
                <w:lang w:val="en-US" w:eastAsia="zh-CN"/>
              </w:rPr>
              <w:t>k</w:t>
            </w:r>
            <w:r>
              <w:rPr>
                <w:rFonts w:hint="default" w:ascii="Times New Roman" w:hAnsi="Times New Roman" w:eastAsia="宋体" w:cs="Times New Roman"/>
                <w:color w:val="auto"/>
                <w:sz w:val="21"/>
                <w:szCs w:val="21"/>
                <w:vertAlign w:val="baseline"/>
                <w:lang w:val="en-US" w:eastAsia="zh-CN"/>
              </w:rPr>
              <w:t>m,电压等级10</w:t>
            </w:r>
            <w:r>
              <w:rPr>
                <w:rFonts w:hint="eastAsia" w:ascii="Times New Roman" w:hAnsi="Times New Roman" w:eastAsia="宋体" w:cs="Times New Roman"/>
                <w:color w:val="auto"/>
                <w:sz w:val="21"/>
                <w:szCs w:val="21"/>
                <w:vertAlign w:val="baseline"/>
                <w:lang w:val="en-US" w:eastAsia="zh-CN"/>
              </w:rPr>
              <w:t>k</w:t>
            </w:r>
            <w:r>
              <w:rPr>
                <w:rFonts w:hint="default" w:ascii="Times New Roman" w:hAnsi="Times New Roman" w:eastAsia="宋体" w:cs="Times New Roman"/>
                <w:color w:val="auto"/>
                <w:sz w:val="21"/>
                <w:szCs w:val="21"/>
                <w:vertAlign w:val="baseline"/>
                <w:lang w:val="en-US" w:eastAsia="zh-CN"/>
              </w:rPr>
              <w:t>V。矿区低压变电所内设：变压器型号：S11-100/10kV/0.4kV</w:t>
            </w:r>
            <w:r>
              <w:rPr>
                <w:rFonts w:hint="eastAsia" w:ascii="Times New Roman" w:hAnsi="Times New Roman" w:eastAsia="宋体"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S11-500/10kV/0.4kV</w:t>
            </w:r>
            <w:r>
              <w:rPr>
                <w:rFonts w:hint="eastAsia" w:ascii="Times New Roman" w:hAnsi="Times New Roman" w:eastAsia="宋体" w:cs="Times New Roman"/>
                <w:color w:val="auto"/>
                <w:sz w:val="21"/>
                <w:szCs w:val="21"/>
                <w:vertAlign w:val="baseline"/>
                <w:lang w:val="en-US" w:eastAsia="zh-CN"/>
              </w:rPr>
              <w:t>，</w:t>
            </w:r>
          </w:p>
          <w:p w14:paraId="6768D76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S11-1000/10kV/0.4kV各1台。变压器负责采区生产、破碎加工、输送机、水泵、维修、生活办公用电。</w:t>
            </w:r>
          </w:p>
        </w:tc>
        <w:tc>
          <w:tcPr>
            <w:tcW w:w="3276" w:type="dxa"/>
            <w:vAlign w:val="center"/>
          </w:tcPr>
          <w:p w14:paraId="5489172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电源来自响水滩乡变电所</w:t>
            </w:r>
            <w:r>
              <w:rPr>
                <w:rFonts w:hint="eastAsia" w:ascii="Times New Roman" w:hAnsi="Times New Roman" w:eastAsia="宋体"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LGJ-25架空进线至矿山低压变电所，距离1</w:t>
            </w:r>
            <w:r>
              <w:rPr>
                <w:rFonts w:hint="eastAsia" w:ascii="Times New Roman" w:hAnsi="Times New Roman" w:eastAsia="宋体" w:cs="Times New Roman"/>
                <w:color w:val="auto"/>
                <w:sz w:val="21"/>
                <w:szCs w:val="21"/>
                <w:vertAlign w:val="baseline"/>
                <w:lang w:val="en-US" w:eastAsia="zh-CN"/>
              </w:rPr>
              <w:t>k</w:t>
            </w:r>
            <w:r>
              <w:rPr>
                <w:rFonts w:hint="default" w:ascii="Times New Roman" w:hAnsi="Times New Roman" w:eastAsia="宋体" w:cs="Times New Roman"/>
                <w:color w:val="auto"/>
                <w:sz w:val="21"/>
                <w:szCs w:val="21"/>
                <w:vertAlign w:val="baseline"/>
                <w:lang w:val="en-US" w:eastAsia="zh-CN"/>
              </w:rPr>
              <w:t>m,电压等级10</w:t>
            </w:r>
            <w:r>
              <w:rPr>
                <w:rFonts w:hint="eastAsia" w:ascii="Times New Roman" w:hAnsi="Times New Roman" w:eastAsia="宋体" w:cs="Times New Roman"/>
                <w:color w:val="auto"/>
                <w:sz w:val="21"/>
                <w:szCs w:val="21"/>
                <w:vertAlign w:val="baseline"/>
                <w:lang w:val="en-US" w:eastAsia="zh-CN"/>
              </w:rPr>
              <w:t>k</w:t>
            </w:r>
            <w:r>
              <w:rPr>
                <w:rFonts w:hint="default" w:ascii="Times New Roman" w:hAnsi="Times New Roman" w:eastAsia="宋体" w:cs="Times New Roman"/>
                <w:color w:val="auto"/>
                <w:sz w:val="21"/>
                <w:szCs w:val="21"/>
                <w:vertAlign w:val="baseline"/>
                <w:lang w:val="en-US" w:eastAsia="zh-CN"/>
              </w:rPr>
              <w:t>V。矿区低压变电所内设：变压器型号：S11-100/10kV/0.4kV</w:t>
            </w:r>
            <w:r>
              <w:rPr>
                <w:rFonts w:hint="eastAsia" w:ascii="Times New Roman" w:hAnsi="Times New Roman" w:eastAsia="宋体"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S11-500/10kV/0.4kV</w:t>
            </w:r>
            <w:r>
              <w:rPr>
                <w:rFonts w:hint="eastAsia" w:ascii="Times New Roman" w:hAnsi="Times New Roman" w:eastAsia="宋体" w:cs="Times New Roman"/>
                <w:color w:val="auto"/>
                <w:sz w:val="21"/>
                <w:szCs w:val="21"/>
                <w:vertAlign w:val="baseline"/>
                <w:lang w:val="en-US" w:eastAsia="zh-CN"/>
              </w:rPr>
              <w:t>，</w:t>
            </w:r>
          </w:p>
          <w:p w14:paraId="7A479DB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S11-1000/10kV/0.4kV各1台。变压器负责采区生产、破碎加工、输送机、水泵、维修、生活办公用电。</w:t>
            </w:r>
          </w:p>
        </w:tc>
        <w:tc>
          <w:tcPr>
            <w:tcW w:w="1224" w:type="dxa"/>
            <w:vAlign w:val="center"/>
          </w:tcPr>
          <w:p w14:paraId="4D7BBE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一致</w:t>
            </w:r>
          </w:p>
        </w:tc>
      </w:tr>
    </w:tbl>
    <w:p w14:paraId="3ADBE286">
      <w:pPr>
        <w:pStyle w:val="4"/>
        <w:bidi w:val="0"/>
        <w:rPr>
          <w:rFonts w:hint="default"/>
          <w:color w:val="auto"/>
          <w:lang w:val="en-US" w:eastAsia="zh-CN"/>
        </w:rPr>
      </w:pPr>
      <w:bookmarkStart w:id="189" w:name="_Toc11347"/>
      <w:bookmarkStart w:id="190" w:name="_Toc25909"/>
      <w:bookmarkStart w:id="191" w:name="_Toc11962"/>
      <w:bookmarkStart w:id="192" w:name="_Toc13993"/>
      <w:bookmarkStart w:id="193" w:name="_Toc2807"/>
      <w:bookmarkStart w:id="194" w:name="_Toc4415"/>
      <w:r>
        <w:rPr>
          <w:rFonts w:hint="default"/>
          <w:color w:val="auto"/>
          <w:lang w:val="en-US" w:eastAsia="zh-CN"/>
        </w:rPr>
        <w:t>2.</w:t>
      </w:r>
      <w:r>
        <w:rPr>
          <w:rFonts w:hint="eastAsia"/>
          <w:color w:val="auto"/>
          <w:lang w:val="en-US" w:eastAsia="zh-CN"/>
        </w:rPr>
        <w:t>4</w:t>
      </w:r>
      <w:r>
        <w:rPr>
          <w:rFonts w:hint="default"/>
          <w:color w:val="auto"/>
          <w:lang w:val="en-US" w:eastAsia="zh-CN"/>
        </w:rPr>
        <w:t>.</w:t>
      </w:r>
      <w:r>
        <w:rPr>
          <w:rFonts w:hint="eastAsia"/>
          <w:color w:val="auto"/>
          <w:lang w:val="en-US" w:eastAsia="zh-CN"/>
        </w:rPr>
        <w:t>3</w:t>
      </w:r>
      <w:r>
        <w:rPr>
          <w:rFonts w:hint="default"/>
          <w:color w:val="auto"/>
          <w:lang w:val="en-US" w:eastAsia="zh-CN"/>
        </w:rPr>
        <w:t xml:space="preserve"> 生产规模及工作制度</w:t>
      </w:r>
      <w:bookmarkEnd w:id="189"/>
      <w:bookmarkEnd w:id="190"/>
      <w:bookmarkEnd w:id="191"/>
      <w:bookmarkEnd w:id="192"/>
      <w:bookmarkEnd w:id="193"/>
      <w:bookmarkEnd w:id="194"/>
    </w:p>
    <w:p w14:paraId="3F59FB63">
      <w:pPr>
        <w:rPr>
          <w:rFonts w:hint="default"/>
          <w:color w:val="auto"/>
          <w:lang w:val="en-US" w:eastAsia="zh-CN"/>
        </w:rPr>
      </w:pPr>
      <w:r>
        <w:rPr>
          <w:rFonts w:hint="default"/>
          <w:color w:val="auto"/>
          <w:lang w:val="en-US" w:eastAsia="zh-CN"/>
        </w:rPr>
        <w:t>1</w:t>
      </w:r>
      <w:r>
        <w:rPr>
          <w:rFonts w:hint="eastAsia"/>
          <w:color w:val="auto"/>
          <w:lang w:val="en-US" w:eastAsia="zh-CN"/>
        </w:rPr>
        <w:t xml:space="preserve">. </w:t>
      </w:r>
      <w:r>
        <w:rPr>
          <w:rFonts w:hint="default"/>
          <w:color w:val="auto"/>
          <w:lang w:val="en-US" w:eastAsia="zh-CN"/>
        </w:rPr>
        <w:t>生产规模</w:t>
      </w:r>
    </w:p>
    <w:p w14:paraId="0138E104">
      <w:pPr>
        <w:rPr>
          <w:rFonts w:hint="default"/>
          <w:color w:val="auto"/>
          <w:lang w:val="en-US" w:eastAsia="zh-CN"/>
        </w:rPr>
      </w:pPr>
      <w:r>
        <w:rPr>
          <w:rFonts w:hint="default"/>
          <w:color w:val="auto"/>
          <w:lang w:val="en-US" w:eastAsia="zh-CN"/>
        </w:rPr>
        <w:t>生产规模为</w:t>
      </w:r>
      <w:r>
        <w:rPr>
          <w:rFonts w:hint="eastAsia"/>
          <w:color w:val="auto"/>
          <w:lang w:val="en-US" w:eastAsia="zh-CN"/>
        </w:rPr>
        <w:t>35</w:t>
      </w:r>
      <w:r>
        <w:rPr>
          <w:rFonts w:hint="default"/>
          <w:color w:val="auto"/>
          <w:lang w:val="en-US" w:eastAsia="zh-CN"/>
        </w:rPr>
        <w:t>万t/a。</w:t>
      </w:r>
    </w:p>
    <w:p w14:paraId="418F1A5C">
      <w:pPr>
        <w:rPr>
          <w:rFonts w:hint="default"/>
          <w:color w:val="auto"/>
          <w:lang w:val="en-US" w:eastAsia="zh-CN"/>
        </w:rPr>
      </w:pPr>
      <w:r>
        <w:rPr>
          <w:rFonts w:hint="default"/>
          <w:color w:val="auto"/>
          <w:lang w:val="en-US" w:eastAsia="zh-CN"/>
        </w:rPr>
        <w:t>2</w:t>
      </w:r>
      <w:r>
        <w:rPr>
          <w:rFonts w:hint="eastAsia"/>
          <w:color w:val="auto"/>
          <w:lang w:val="en-US" w:eastAsia="zh-CN"/>
        </w:rPr>
        <w:t xml:space="preserve">. </w:t>
      </w:r>
      <w:r>
        <w:rPr>
          <w:rFonts w:hint="default"/>
          <w:color w:val="auto"/>
          <w:lang w:val="en-US" w:eastAsia="zh-CN"/>
        </w:rPr>
        <w:t>工作制度</w:t>
      </w:r>
    </w:p>
    <w:p w14:paraId="29491BB0">
      <w:pPr>
        <w:rPr>
          <w:rFonts w:hint="default"/>
          <w:color w:val="auto"/>
          <w:lang w:val="en-US" w:eastAsia="zh-CN"/>
        </w:rPr>
      </w:pPr>
      <w:r>
        <w:rPr>
          <w:rFonts w:hint="default"/>
          <w:color w:val="auto"/>
          <w:lang w:val="en-US" w:eastAsia="zh-CN"/>
        </w:rPr>
        <w:t>采用间断工作制，年工作250天，每天1班，每班8小时。爆破作业及维修</w:t>
      </w:r>
      <w:r>
        <w:rPr>
          <w:rFonts w:hint="eastAsia"/>
          <w:color w:val="auto"/>
          <w:lang w:val="en-US" w:eastAsia="zh-CN"/>
        </w:rPr>
        <w:t>作业</w:t>
      </w:r>
      <w:r>
        <w:rPr>
          <w:rFonts w:hint="default"/>
          <w:color w:val="auto"/>
          <w:lang w:val="en-US" w:eastAsia="zh-CN"/>
        </w:rPr>
        <w:t>在白天进行</w:t>
      </w:r>
      <w:r>
        <w:rPr>
          <w:rFonts w:hint="eastAsia"/>
          <w:color w:val="auto"/>
          <w:lang w:val="en-US" w:eastAsia="zh-CN"/>
        </w:rPr>
        <w:t>。</w:t>
      </w:r>
    </w:p>
    <w:p w14:paraId="1E628598">
      <w:pPr>
        <w:pStyle w:val="4"/>
        <w:bidi w:val="0"/>
        <w:rPr>
          <w:rFonts w:hint="default"/>
          <w:color w:val="auto"/>
          <w:lang w:val="en-US" w:eastAsia="zh-CN"/>
        </w:rPr>
      </w:pPr>
      <w:bookmarkStart w:id="195" w:name="_Toc29428"/>
      <w:bookmarkStart w:id="196" w:name="_Toc28640"/>
      <w:bookmarkStart w:id="197" w:name="_Toc29912"/>
      <w:bookmarkStart w:id="198" w:name="_Toc27558"/>
      <w:bookmarkStart w:id="199" w:name="_Toc27670"/>
      <w:bookmarkStart w:id="200" w:name="_Toc24423"/>
      <w:r>
        <w:rPr>
          <w:rFonts w:hint="default"/>
          <w:color w:val="auto"/>
          <w:lang w:val="en-US" w:eastAsia="zh-CN"/>
        </w:rPr>
        <w:t>2.</w:t>
      </w:r>
      <w:r>
        <w:rPr>
          <w:rFonts w:hint="eastAsia"/>
          <w:color w:val="auto"/>
          <w:lang w:val="en-US" w:eastAsia="zh-CN"/>
        </w:rPr>
        <w:t>4</w:t>
      </w:r>
      <w:r>
        <w:rPr>
          <w:rFonts w:hint="default"/>
          <w:color w:val="auto"/>
          <w:lang w:val="en-US" w:eastAsia="zh-CN"/>
        </w:rPr>
        <w:t>.</w:t>
      </w:r>
      <w:r>
        <w:rPr>
          <w:rFonts w:hint="eastAsia"/>
          <w:color w:val="auto"/>
          <w:lang w:val="en-US" w:eastAsia="zh-CN"/>
        </w:rPr>
        <w:t>4</w:t>
      </w:r>
      <w:r>
        <w:rPr>
          <w:rFonts w:hint="default"/>
          <w:color w:val="auto"/>
          <w:lang w:val="en-US" w:eastAsia="zh-CN"/>
        </w:rPr>
        <w:t xml:space="preserve"> </w:t>
      </w:r>
      <w:bookmarkEnd w:id="195"/>
      <w:bookmarkEnd w:id="196"/>
      <w:bookmarkEnd w:id="197"/>
      <w:bookmarkEnd w:id="198"/>
      <w:r>
        <w:rPr>
          <w:rFonts w:hint="eastAsia"/>
          <w:color w:val="auto"/>
          <w:lang w:val="en-US" w:eastAsia="zh-CN"/>
        </w:rPr>
        <w:t>总平面布置</w:t>
      </w:r>
      <w:bookmarkEnd w:id="199"/>
      <w:bookmarkEnd w:id="200"/>
    </w:p>
    <w:p w14:paraId="7E933F9B">
      <w:pPr>
        <w:rPr>
          <w:rFonts w:hint="eastAsia"/>
          <w:color w:val="auto"/>
          <w:lang w:val="en-US" w:eastAsia="zh-CN"/>
        </w:rPr>
      </w:pPr>
      <w:r>
        <w:rPr>
          <w:rFonts w:hint="default"/>
          <w:color w:val="auto"/>
          <w:lang w:val="en-US" w:eastAsia="zh-CN"/>
        </w:rPr>
        <w:t>1</w:t>
      </w:r>
      <w:r>
        <w:rPr>
          <w:rFonts w:hint="eastAsia"/>
          <w:color w:val="auto"/>
          <w:lang w:val="en-US" w:eastAsia="zh-CN"/>
        </w:rPr>
        <w:t xml:space="preserve">. </w:t>
      </w:r>
      <w:r>
        <w:rPr>
          <w:rFonts w:hint="default" w:ascii="Times New Roman" w:hAnsi="Times New Roman" w:eastAsia="宋体" w:cs="Times New Roman"/>
          <w:color w:val="auto"/>
          <w:lang w:val="en-US" w:eastAsia="zh-CN"/>
        </w:rPr>
        <w:t>露天采场</w:t>
      </w:r>
    </w:p>
    <w:p w14:paraId="026B8842">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露天采场位于矿山采矿权范围内，最高</w:t>
      </w:r>
      <w:r>
        <w:rPr>
          <w:rFonts w:hint="eastAsia" w:cs="Times New Roman"/>
          <w:color w:val="auto"/>
          <w:lang w:val="en-US" w:eastAsia="zh-CN"/>
        </w:rPr>
        <w:t>台段</w:t>
      </w:r>
      <w:r>
        <w:rPr>
          <w:rFonts w:hint="eastAsia" w:ascii="Times New Roman" w:hAnsi="Times New Roman" w:eastAsia="宋体" w:cs="Times New Roman"/>
          <w:color w:val="auto"/>
          <w:lang w:val="en-US" w:eastAsia="zh-CN"/>
        </w:rPr>
        <w:t>标高：+2</w:t>
      </w:r>
      <w:r>
        <w:rPr>
          <w:rFonts w:hint="eastAsia" w:cs="Times New Roman"/>
          <w:color w:val="auto"/>
          <w:lang w:val="en-US" w:eastAsia="zh-CN"/>
        </w:rPr>
        <w:t>3</w:t>
      </w:r>
      <w:r>
        <w:rPr>
          <w:rFonts w:hint="eastAsia" w:ascii="Times New Roman" w:hAnsi="Times New Roman" w:eastAsia="宋体" w:cs="Times New Roman"/>
          <w:color w:val="auto"/>
          <w:lang w:val="en-US" w:eastAsia="zh-CN"/>
        </w:rPr>
        <w:t>0m，最低开采标高：+1</w:t>
      </w:r>
      <w:r>
        <w:rPr>
          <w:rFonts w:hint="eastAsia" w:cs="Times New Roman"/>
          <w:color w:val="auto"/>
          <w:lang w:val="en-US" w:eastAsia="zh-CN"/>
        </w:rPr>
        <w:t>1</w:t>
      </w:r>
      <w:r>
        <w:rPr>
          <w:rFonts w:hint="eastAsia" w:ascii="Times New Roman" w:hAnsi="Times New Roman" w:eastAsia="宋体" w:cs="Times New Roman"/>
          <w:color w:val="auto"/>
          <w:lang w:val="en-US" w:eastAsia="zh-CN"/>
        </w:rPr>
        <w:t>0m。</w:t>
      </w:r>
    </w:p>
    <w:p w14:paraId="689FA532">
      <w:pPr>
        <w:rPr>
          <w:rFonts w:hint="default"/>
          <w:color w:val="auto"/>
          <w:lang w:val="en-US" w:eastAsia="zh-CN"/>
        </w:rPr>
      </w:pPr>
      <w:r>
        <w:rPr>
          <w:rFonts w:hint="eastAsia"/>
          <w:color w:val="auto"/>
          <w:lang w:val="en-US" w:eastAsia="zh-CN"/>
        </w:rPr>
        <w:t xml:space="preserve">2. </w:t>
      </w:r>
      <w:r>
        <w:rPr>
          <w:rFonts w:hint="default" w:ascii="Times New Roman" w:hAnsi="Times New Roman" w:eastAsia="宋体" w:cs="Times New Roman"/>
          <w:color w:val="auto"/>
          <w:lang w:val="en-US" w:eastAsia="zh-CN"/>
        </w:rPr>
        <w:t>矿山运输</w:t>
      </w:r>
    </w:p>
    <w:p w14:paraId="74991C2F">
      <w:pPr>
        <w:rPr>
          <w:rFonts w:hint="default"/>
          <w:color w:val="auto"/>
          <w:lang w:val="en-US" w:eastAsia="zh-CN"/>
        </w:rPr>
      </w:pPr>
      <w:r>
        <w:rPr>
          <w:rFonts w:hint="eastAsia" w:ascii="Times New Roman" w:hAnsi="宋体" w:eastAsia="宋体" w:cs="Times New Roman"/>
          <w:b w:val="0"/>
          <w:bCs w:val="0"/>
          <w:szCs w:val="28"/>
          <w:lang w:val="en-US" w:eastAsia="zh-CN"/>
        </w:rPr>
        <w:t>矿山内、外部运输采用汽车运输，采场运输道路修建有2条。1条东南向由矿山公路修至+110m（矿区3号拐点）采坑（CK）入口前，另1条东向由矿山公路修至+170m铲装平台。再分别与运输平台入口，破碎厂、矿山公路相连。</w:t>
      </w:r>
    </w:p>
    <w:p w14:paraId="64672C6D">
      <w:pP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 xml:space="preserve">3. </w:t>
      </w:r>
      <w:r>
        <w:rPr>
          <w:rFonts w:hint="eastAsia" w:cs="Times New Roman"/>
          <w:color w:val="auto"/>
          <w:lang w:val="en-US" w:eastAsia="zh-CN"/>
        </w:rPr>
        <w:t>高位水池</w:t>
      </w:r>
    </w:p>
    <w:p w14:paraId="0934EDD5">
      <w:pPr>
        <w:rPr>
          <w:rFonts w:hint="default" w:ascii="Times New Roman" w:hAnsi="Times New Roman" w:eastAsia="宋体" w:cs="Times New Roman"/>
          <w:color w:val="auto"/>
          <w:lang w:val="en-US" w:eastAsia="zh-CN"/>
        </w:rPr>
      </w:pPr>
      <w:bookmarkStart w:id="201" w:name="_Toc7232"/>
      <w:bookmarkStart w:id="202" w:name="_Toc20708"/>
      <w:bookmarkStart w:id="203" w:name="_Toc19061"/>
      <w:r>
        <w:rPr>
          <w:rFonts w:hint="eastAsia" w:cs="Times New Roman"/>
          <w:color w:val="auto"/>
          <w:lang w:val="en-US" w:eastAsia="zh-CN"/>
        </w:rPr>
        <w:t>高位</w:t>
      </w:r>
      <w:r>
        <w:rPr>
          <w:rFonts w:hint="default" w:ascii="Times New Roman" w:hAnsi="Times New Roman" w:eastAsia="宋体" w:cs="Times New Roman"/>
          <w:color w:val="auto"/>
          <w:lang w:val="en-US" w:eastAsia="zh-CN"/>
        </w:rPr>
        <w:t>水池容积</w:t>
      </w:r>
      <w:r>
        <w:rPr>
          <w:rFonts w:hint="eastAsia" w:ascii="Times New Roman" w:hAnsi="Times New Roman" w:eastAsia="宋体" w:cs="Times New Roman"/>
          <w:color w:val="auto"/>
          <w:lang w:val="en-US" w:eastAsia="zh-CN"/>
        </w:rPr>
        <w:t>1</w:t>
      </w:r>
      <w:r>
        <w:rPr>
          <w:rFonts w:hint="default" w:ascii="Times New Roman" w:hAnsi="Times New Roman" w:eastAsia="宋体" w:cs="Times New Roman"/>
          <w:color w:val="auto"/>
          <w:lang w:val="en-US" w:eastAsia="zh-CN"/>
        </w:rPr>
        <w:t>20m</w:t>
      </w:r>
      <w:r>
        <w:rPr>
          <w:rFonts w:hint="eastAsia" w:cs="Times New Roman"/>
          <w:color w:val="auto"/>
          <w:vertAlign w:val="superscript"/>
          <w:lang w:val="en-US" w:eastAsia="zh-CN"/>
        </w:rPr>
        <w:t>3</w:t>
      </w:r>
      <w:r>
        <w:rPr>
          <w:rFonts w:hint="default" w:ascii="Times New Roman" w:hAnsi="Times New Roman" w:eastAsia="宋体" w:cs="Times New Roman"/>
          <w:color w:val="auto"/>
          <w:lang w:val="en-US" w:eastAsia="zh-CN"/>
        </w:rPr>
        <w:t>，设置在露天采场东南侧。</w:t>
      </w:r>
    </w:p>
    <w:p w14:paraId="35284E93">
      <w:pPr>
        <w:bidi w:val="0"/>
        <w:rPr>
          <w:rFonts w:hint="default"/>
          <w:color w:val="auto"/>
          <w:lang w:val="en-US" w:eastAsia="zh-CN"/>
        </w:rPr>
      </w:pPr>
      <w:r>
        <w:rPr>
          <w:rFonts w:hint="eastAsia"/>
          <w:color w:val="auto"/>
          <w:lang w:val="en-US" w:eastAsia="zh-CN"/>
        </w:rPr>
        <w:t>4. 水泵房</w:t>
      </w:r>
    </w:p>
    <w:p w14:paraId="46A488E8">
      <w:pPr>
        <w:bidi w:val="0"/>
        <w:rPr>
          <w:rFonts w:hint="default"/>
          <w:color w:val="auto"/>
          <w:lang w:val="en-US" w:eastAsia="zh-CN"/>
        </w:rPr>
      </w:pPr>
      <w:r>
        <w:rPr>
          <w:rFonts w:hint="default"/>
          <w:color w:val="auto"/>
          <w:lang w:val="en-US" w:eastAsia="zh-CN"/>
        </w:rPr>
        <w:t>布置在采区东南侧水塘处。</w:t>
      </w:r>
    </w:p>
    <w:p w14:paraId="65265ECA">
      <w:pPr>
        <w:bidi w:val="0"/>
        <w:rPr>
          <w:rFonts w:hint="default"/>
          <w:lang w:val="en-US" w:eastAsia="zh-CN"/>
        </w:rPr>
      </w:pPr>
      <w:r>
        <w:rPr>
          <w:rFonts w:hint="default"/>
          <w:lang w:val="en-US" w:eastAsia="zh-CN"/>
        </w:rPr>
        <w:t>5．矿部及生活区</w:t>
      </w:r>
    </w:p>
    <w:p w14:paraId="1076E837">
      <w:pPr>
        <w:bidi w:val="0"/>
        <w:rPr>
          <w:rFonts w:hint="default"/>
          <w:lang w:val="en-US" w:eastAsia="zh-CN"/>
        </w:rPr>
      </w:pPr>
      <w:r>
        <w:rPr>
          <w:rFonts w:hint="default"/>
          <w:lang w:val="en-US" w:eastAsia="zh-CN"/>
        </w:rPr>
        <w:t>位于露天采场东侧公路边，</w:t>
      </w:r>
      <w:r>
        <w:rPr>
          <w:rFonts w:hint="eastAsia"/>
          <w:lang w:val="en-US" w:eastAsia="zh-CN"/>
        </w:rPr>
        <w:t>位于</w:t>
      </w:r>
      <w:r>
        <w:rPr>
          <w:rFonts w:hint="default"/>
          <w:lang w:val="en-US" w:eastAsia="zh-CN"/>
        </w:rPr>
        <w:t>爆破警戒线外。</w:t>
      </w:r>
    </w:p>
    <w:p w14:paraId="24EA7A99">
      <w:pPr>
        <w:bidi w:val="0"/>
        <w:rPr>
          <w:rFonts w:hint="default"/>
          <w:lang w:val="en-US" w:eastAsia="zh-CN"/>
        </w:rPr>
      </w:pPr>
      <w:r>
        <w:rPr>
          <w:rFonts w:hint="eastAsia"/>
          <w:lang w:val="en-US" w:eastAsia="zh-CN"/>
        </w:rPr>
        <w:t>6</w:t>
      </w:r>
      <w:r>
        <w:rPr>
          <w:rFonts w:hint="default"/>
          <w:lang w:val="en-US" w:eastAsia="zh-CN"/>
        </w:rPr>
        <w:t>．</w:t>
      </w:r>
      <w:r>
        <w:rPr>
          <w:rFonts w:hint="eastAsia"/>
          <w:lang w:val="en-US" w:eastAsia="zh-CN"/>
        </w:rPr>
        <w:t>变压器</w:t>
      </w:r>
    </w:p>
    <w:p w14:paraId="64B4DBC6">
      <w:pPr>
        <w:bidi w:val="0"/>
        <w:rPr>
          <w:rFonts w:hint="default"/>
          <w:lang w:val="en-US" w:eastAsia="zh-CN"/>
        </w:rPr>
      </w:pPr>
      <w:r>
        <w:rPr>
          <w:rFonts w:hint="default"/>
          <w:lang w:val="en-US" w:eastAsia="zh-CN"/>
        </w:rPr>
        <w:t>变压器安装在破碎加工线西侧。</w:t>
      </w:r>
    </w:p>
    <w:p w14:paraId="60793C7B">
      <w:pPr>
        <w:pStyle w:val="4"/>
        <w:bidi w:val="0"/>
        <w:rPr>
          <w:rFonts w:hint="default"/>
          <w:color w:val="auto"/>
          <w:lang w:val="en-US" w:eastAsia="zh-CN"/>
        </w:rPr>
      </w:pPr>
      <w:bookmarkStart w:id="204" w:name="_Toc8266"/>
      <w:bookmarkStart w:id="205" w:name="_Toc13552"/>
      <w:bookmarkStart w:id="206" w:name="_Toc8856"/>
      <w:r>
        <w:rPr>
          <w:rFonts w:hint="default"/>
          <w:color w:val="auto"/>
          <w:lang w:val="en-US" w:eastAsia="zh-CN"/>
        </w:rPr>
        <w:t>2.</w:t>
      </w:r>
      <w:r>
        <w:rPr>
          <w:rFonts w:hint="eastAsia"/>
          <w:color w:val="auto"/>
          <w:lang w:val="en-US" w:eastAsia="zh-CN"/>
        </w:rPr>
        <w:t>4</w:t>
      </w:r>
      <w:r>
        <w:rPr>
          <w:rFonts w:hint="default"/>
          <w:color w:val="auto"/>
          <w:lang w:val="en-US" w:eastAsia="zh-CN"/>
        </w:rPr>
        <w:t>.</w:t>
      </w:r>
      <w:r>
        <w:rPr>
          <w:rFonts w:hint="eastAsia"/>
          <w:color w:val="auto"/>
          <w:lang w:val="en-US" w:eastAsia="zh-CN"/>
        </w:rPr>
        <w:t>5</w:t>
      </w:r>
      <w:r>
        <w:rPr>
          <w:rFonts w:hint="default"/>
          <w:color w:val="auto"/>
          <w:lang w:val="en-US" w:eastAsia="zh-CN"/>
        </w:rPr>
        <w:t xml:space="preserve"> 开采范围</w:t>
      </w:r>
      <w:bookmarkEnd w:id="201"/>
      <w:bookmarkEnd w:id="202"/>
      <w:bookmarkEnd w:id="203"/>
      <w:bookmarkEnd w:id="204"/>
      <w:bookmarkEnd w:id="205"/>
      <w:bookmarkEnd w:id="206"/>
    </w:p>
    <w:p w14:paraId="6B71EF68">
      <w:pPr>
        <w:rPr>
          <w:rFonts w:hint="default"/>
          <w:color w:val="auto"/>
          <w:lang w:val="en-US" w:eastAsia="zh-CN"/>
        </w:rPr>
      </w:pPr>
      <w:r>
        <w:rPr>
          <w:rFonts w:hint="default"/>
          <w:color w:val="auto"/>
          <w:lang w:val="en-US" w:eastAsia="zh-CN"/>
        </w:rPr>
        <w:t>开采范围</w:t>
      </w:r>
      <w:r>
        <w:rPr>
          <w:rFonts w:hint="eastAsia"/>
          <w:color w:val="auto"/>
          <w:lang w:val="en-US" w:eastAsia="zh-CN"/>
        </w:rPr>
        <w:t>：</w:t>
      </w:r>
      <w:r>
        <w:rPr>
          <w:rFonts w:hint="default"/>
          <w:color w:val="auto"/>
          <w:lang w:val="en-US" w:eastAsia="zh-CN"/>
        </w:rPr>
        <w:t>《采矿许可证》划定的</w:t>
      </w:r>
      <w:r>
        <w:rPr>
          <w:rFonts w:hint="eastAsia"/>
          <w:color w:val="auto"/>
          <w:lang w:val="en-US" w:eastAsia="zh-CN"/>
        </w:rPr>
        <w:t>6</w:t>
      </w:r>
      <w:r>
        <w:rPr>
          <w:rFonts w:hint="default"/>
          <w:color w:val="auto"/>
          <w:lang w:val="en-US" w:eastAsia="zh-CN"/>
        </w:rPr>
        <w:t>个拐点圈定，矿区面积为0.</w:t>
      </w:r>
      <w:r>
        <w:rPr>
          <w:rFonts w:hint="eastAsia"/>
          <w:color w:val="auto"/>
          <w:lang w:val="en-US" w:eastAsia="zh-CN"/>
        </w:rPr>
        <w:t>0422</w:t>
      </w:r>
      <w:r>
        <w:rPr>
          <w:rFonts w:hint="default"/>
          <w:color w:val="auto"/>
          <w:lang w:val="en-US" w:eastAsia="zh-CN"/>
        </w:rPr>
        <w:t>km</w:t>
      </w:r>
      <w:r>
        <w:rPr>
          <w:rFonts w:hint="eastAsia"/>
          <w:color w:val="auto"/>
          <w:vertAlign w:val="superscript"/>
          <w:lang w:val="en-US" w:eastAsia="zh-CN"/>
        </w:rPr>
        <w:t>2</w:t>
      </w:r>
      <w:r>
        <w:rPr>
          <w:rFonts w:hint="default"/>
          <w:color w:val="auto"/>
          <w:lang w:val="en-US" w:eastAsia="zh-CN"/>
        </w:rPr>
        <w:t>，开采深度+</w:t>
      </w:r>
      <w:r>
        <w:rPr>
          <w:rFonts w:hint="eastAsia"/>
          <w:color w:val="auto"/>
          <w:lang w:val="en-US" w:eastAsia="zh-CN"/>
        </w:rPr>
        <w:t>230</w:t>
      </w:r>
      <w:r>
        <w:rPr>
          <w:rFonts w:hint="default"/>
          <w:color w:val="auto"/>
          <w:lang w:val="en-US" w:eastAsia="zh-CN"/>
        </w:rPr>
        <w:t>m</w:t>
      </w:r>
      <w:r>
        <w:rPr>
          <w:rFonts w:hint="default" w:ascii="Times New Roman" w:hAnsi="Times New Roman" w:eastAsia="宋体" w:cs="Times New Roman"/>
          <w:color w:val="auto"/>
          <w:lang w:val="en-US" w:eastAsia="zh-CN"/>
        </w:rPr>
        <w:t>～</w:t>
      </w:r>
      <w:r>
        <w:rPr>
          <w:rFonts w:hint="default"/>
          <w:color w:val="auto"/>
          <w:lang w:val="en-US" w:eastAsia="zh-CN"/>
        </w:rPr>
        <w:t>+</w:t>
      </w:r>
      <w:r>
        <w:rPr>
          <w:rFonts w:hint="eastAsia"/>
          <w:color w:val="auto"/>
          <w:lang w:val="en-US" w:eastAsia="zh-CN"/>
        </w:rPr>
        <w:t>110</w:t>
      </w:r>
      <w:r>
        <w:rPr>
          <w:rFonts w:hint="default"/>
          <w:color w:val="auto"/>
          <w:lang w:val="en-US" w:eastAsia="zh-CN"/>
        </w:rPr>
        <w:t>m。</w:t>
      </w:r>
    </w:p>
    <w:p w14:paraId="18831CB0">
      <w:pPr>
        <w:pStyle w:val="4"/>
        <w:bidi w:val="0"/>
        <w:rPr>
          <w:rFonts w:hint="default"/>
          <w:color w:val="auto"/>
          <w:lang w:val="en-US" w:eastAsia="zh-CN"/>
        </w:rPr>
      </w:pPr>
      <w:bookmarkStart w:id="207" w:name="_Toc28665"/>
      <w:bookmarkStart w:id="208" w:name="_Toc3405"/>
      <w:bookmarkStart w:id="209" w:name="_Toc23200"/>
      <w:bookmarkStart w:id="210" w:name="_Toc27545"/>
      <w:bookmarkStart w:id="211" w:name="_Toc7139"/>
      <w:bookmarkStart w:id="212" w:name="_Toc1833"/>
      <w:r>
        <w:rPr>
          <w:rFonts w:hint="default"/>
          <w:color w:val="auto"/>
          <w:lang w:val="en-US" w:eastAsia="zh-CN"/>
        </w:rPr>
        <w:t>2.</w:t>
      </w:r>
      <w:r>
        <w:rPr>
          <w:rFonts w:hint="eastAsia"/>
          <w:color w:val="auto"/>
          <w:lang w:val="en-US" w:eastAsia="zh-CN"/>
        </w:rPr>
        <w:t>4</w:t>
      </w:r>
      <w:r>
        <w:rPr>
          <w:rFonts w:hint="default"/>
          <w:color w:val="auto"/>
          <w:lang w:val="en-US" w:eastAsia="zh-CN"/>
        </w:rPr>
        <w:t>.</w:t>
      </w:r>
      <w:r>
        <w:rPr>
          <w:rFonts w:hint="eastAsia"/>
          <w:color w:val="auto"/>
          <w:lang w:val="en-US" w:eastAsia="zh-CN"/>
        </w:rPr>
        <w:t>6</w:t>
      </w:r>
      <w:r>
        <w:rPr>
          <w:rFonts w:hint="default"/>
          <w:color w:val="auto"/>
          <w:lang w:val="en-US" w:eastAsia="zh-CN"/>
        </w:rPr>
        <w:t xml:space="preserve"> 开拓运输</w:t>
      </w:r>
      <w:bookmarkEnd w:id="207"/>
      <w:bookmarkEnd w:id="208"/>
      <w:bookmarkEnd w:id="209"/>
      <w:bookmarkEnd w:id="210"/>
      <w:bookmarkEnd w:id="211"/>
      <w:bookmarkEnd w:id="212"/>
    </w:p>
    <w:p w14:paraId="791A4724">
      <w:pPr>
        <w:rPr>
          <w:rFonts w:hint="default"/>
          <w:color w:val="auto"/>
          <w:lang w:val="en-US" w:eastAsia="zh-CN"/>
        </w:rPr>
      </w:pPr>
      <w:r>
        <w:rPr>
          <w:rFonts w:hint="default"/>
          <w:color w:val="auto"/>
          <w:lang w:val="en-US" w:eastAsia="zh-CN"/>
        </w:rPr>
        <w:t>矿山的开拓运输方式为公路开拓</w:t>
      </w:r>
      <w:r>
        <w:rPr>
          <w:rFonts w:hint="eastAsia"/>
          <w:color w:val="auto"/>
          <w:lang w:val="en-US" w:eastAsia="zh-CN"/>
        </w:rPr>
        <w:t>、</w:t>
      </w:r>
      <w:r>
        <w:rPr>
          <w:rFonts w:hint="default"/>
          <w:color w:val="auto"/>
          <w:lang w:val="en-US" w:eastAsia="zh-CN"/>
        </w:rPr>
        <w:t>汽车运输。</w:t>
      </w:r>
    </w:p>
    <w:p w14:paraId="0720B910">
      <w:pPr>
        <w:rPr>
          <w:rFonts w:hint="default"/>
          <w:color w:val="auto"/>
          <w:lang w:val="en-US" w:eastAsia="zh-CN"/>
        </w:rPr>
      </w:pPr>
      <w:r>
        <w:rPr>
          <w:rFonts w:hint="default"/>
          <w:color w:val="auto"/>
          <w:lang w:val="en-US" w:eastAsia="zh-CN"/>
        </w:rPr>
        <w:t>矿区修建</w:t>
      </w:r>
      <w:r>
        <w:rPr>
          <w:rFonts w:hint="eastAsia"/>
          <w:color w:val="auto"/>
          <w:lang w:val="en-US" w:eastAsia="zh-CN"/>
        </w:rPr>
        <w:t>了</w:t>
      </w:r>
      <w:r>
        <w:rPr>
          <w:rFonts w:hint="default"/>
          <w:color w:val="auto"/>
          <w:lang w:val="en-US" w:eastAsia="zh-CN"/>
        </w:rPr>
        <w:t>一条运输道，在拐点内+110m起点修筑至+180m平台</w:t>
      </w:r>
      <w:r>
        <w:rPr>
          <w:rFonts w:hint="eastAsia"/>
          <w:color w:val="auto"/>
          <w:lang w:val="en-US" w:eastAsia="zh-CN"/>
        </w:rPr>
        <w:t>和</w:t>
      </w:r>
      <w:r>
        <w:rPr>
          <w:rFonts w:hint="default"/>
          <w:color w:val="auto"/>
          <w:lang w:val="en-US" w:eastAsia="zh-CN"/>
        </w:rPr>
        <w:t>+170m平台。经现场勘察和对照图纸可知，矿山道路的路面结构为泥结碎石道路，其宽度约为</w:t>
      </w:r>
      <w:r>
        <w:rPr>
          <w:rFonts w:hint="eastAsia"/>
          <w:color w:val="auto"/>
          <w:lang w:val="en-US" w:eastAsia="zh-CN"/>
        </w:rPr>
        <w:t>6</w:t>
      </w:r>
      <w:r>
        <w:rPr>
          <w:rFonts w:hint="default"/>
          <w:color w:val="auto"/>
          <w:lang w:val="en-US" w:eastAsia="zh-CN"/>
        </w:rPr>
        <w:t>m。道路两旁设置有限速标志和</w:t>
      </w:r>
      <w:r>
        <w:rPr>
          <w:rFonts w:hint="eastAsia" w:asciiTheme="minorEastAsia" w:hAnsiTheme="minorEastAsia" w:eastAsiaTheme="minorEastAsia" w:cstheme="minorEastAsia"/>
          <w:color w:val="auto"/>
          <w:lang w:val="en-US" w:eastAsia="zh-CN"/>
        </w:rPr>
        <w:t>“</w:t>
      </w:r>
      <w:r>
        <w:rPr>
          <w:rFonts w:hint="default"/>
          <w:color w:val="auto"/>
          <w:lang w:val="en-US" w:eastAsia="zh-CN"/>
        </w:rPr>
        <w:t>减速慢行</w:t>
      </w:r>
      <w:r>
        <w:rPr>
          <w:rFonts w:hint="eastAsia" w:asciiTheme="minorEastAsia" w:hAnsiTheme="minorEastAsia" w:eastAsiaTheme="minorEastAsia" w:cstheme="minorEastAsia"/>
          <w:color w:val="auto"/>
          <w:lang w:val="en-US" w:eastAsia="zh-CN"/>
        </w:rPr>
        <w:t>”</w:t>
      </w:r>
      <w:r>
        <w:rPr>
          <w:rFonts w:hint="default"/>
          <w:color w:val="auto"/>
          <w:lang w:val="en-US" w:eastAsia="zh-CN"/>
        </w:rPr>
        <w:t>的安全警示标志，并有安全车挡。矿山运输道设有缓坡段和紧急避险道。</w:t>
      </w:r>
    </w:p>
    <w:p w14:paraId="2BC30CDC">
      <w:pPr>
        <w:rPr>
          <w:rFonts w:hint="default"/>
          <w:color w:val="auto"/>
          <w:lang w:val="en-US" w:eastAsia="zh-CN"/>
        </w:rPr>
      </w:pPr>
      <w:r>
        <w:rPr>
          <w:rFonts w:hint="default"/>
          <w:color w:val="auto"/>
          <w:lang w:val="en-US" w:eastAsia="zh-CN"/>
        </w:rPr>
        <w:t>矿岩装卸点设置有安全挡车设施，挡车设施的高度约60cm</w:t>
      </w:r>
      <w:r>
        <w:rPr>
          <w:rFonts w:hint="eastAsia"/>
          <w:color w:val="auto"/>
          <w:lang w:val="en-US" w:eastAsia="zh-CN"/>
        </w:rPr>
        <w:t>，</w:t>
      </w:r>
      <w:r>
        <w:rPr>
          <w:rFonts w:hint="default"/>
          <w:color w:val="auto"/>
          <w:lang w:val="en-US" w:eastAsia="zh-CN"/>
        </w:rPr>
        <w:t>不低于最大车轮直径的1/3，同时，卸载平台宽度能满足车辆的行驶要求，并在卸载点处设置有信号设施和相关的安全警示标志。</w:t>
      </w:r>
    </w:p>
    <w:p w14:paraId="023123EC">
      <w:pPr>
        <w:rPr>
          <w:rFonts w:hint="default"/>
          <w:color w:val="auto"/>
          <w:lang w:val="en-US" w:eastAsia="zh-CN"/>
        </w:rPr>
      </w:pPr>
      <w:r>
        <w:rPr>
          <w:rFonts w:hint="default"/>
          <w:color w:val="auto"/>
          <w:lang w:val="en-US" w:eastAsia="zh-CN"/>
        </w:rPr>
        <w:t>矿山现有委外5台荷载15t的运输汽车运输至卸矿仓。</w:t>
      </w:r>
    </w:p>
    <w:p w14:paraId="000082C6">
      <w:pPr>
        <w:rPr>
          <w:rFonts w:hint="default"/>
          <w:color w:val="auto"/>
          <w:lang w:val="en-US" w:eastAsia="zh-CN"/>
        </w:rPr>
      </w:pPr>
      <w:r>
        <w:rPr>
          <w:rFonts w:hint="default"/>
          <w:color w:val="auto"/>
          <w:lang w:val="en-US" w:eastAsia="zh-CN"/>
        </w:rPr>
        <w:t>矿山运输道路旁设置有排水沟，其宽度约0.3m，深约0.2m。</w:t>
      </w:r>
    </w:p>
    <w:p w14:paraId="1F4B7EBD">
      <w:pPr>
        <w:pStyle w:val="4"/>
        <w:bidi w:val="0"/>
        <w:rPr>
          <w:rFonts w:hint="default"/>
          <w:color w:val="auto"/>
          <w:lang w:val="en-US" w:eastAsia="zh-CN"/>
        </w:rPr>
      </w:pPr>
      <w:bookmarkStart w:id="213" w:name="_Toc31747"/>
      <w:bookmarkStart w:id="214" w:name="_Toc16084"/>
      <w:bookmarkStart w:id="215" w:name="_Toc7930"/>
      <w:bookmarkStart w:id="216" w:name="_Toc23589"/>
      <w:bookmarkStart w:id="217" w:name="_Toc843"/>
      <w:bookmarkStart w:id="218" w:name="_Toc16748"/>
      <w:r>
        <w:rPr>
          <w:rFonts w:hint="default"/>
          <w:color w:val="auto"/>
          <w:lang w:val="en-US" w:eastAsia="zh-CN"/>
        </w:rPr>
        <w:t>2.</w:t>
      </w:r>
      <w:r>
        <w:rPr>
          <w:rFonts w:hint="eastAsia"/>
          <w:color w:val="auto"/>
          <w:lang w:val="en-US" w:eastAsia="zh-CN"/>
        </w:rPr>
        <w:t>4</w:t>
      </w:r>
      <w:r>
        <w:rPr>
          <w:rFonts w:hint="default"/>
          <w:color w:val="auto"/>
          <w:lang w:val="en-US" w:eastAsia="zh-CN"/>
        </w:rPr>
        <w:t>.</w:t>
      </w:r>
      <w:r>
        <w:rPr>
          <w:rFonts w:hint="eastAsia"/>
          <w:color w:val="auto"/>
          <w:lang w:val="en-US" w:eastAsia="zh-CN"/>
        </w:rPr>
        <w:t>7</w:t>
      </w:r>
      <w:r>
        <w:rPr>
          <w:rFonts w:hint="default"/>
          <w:color w:val="auto"/>
          <w:lang w:val="en-US" w:eastAsia="zh-CN"/>
        </w:rPr>
        <w:t xml:space="preserve"> 采矿工艺</w:t>
      </w:r>
      <w:bookmarkEnd w:id="213"/>
      <w:bookmarkEnd w:id="214"/>
      <w:bookmarkEnd w:id="215"/>
      <w:bookmarkEnd w:id="216"/>
      <w:bookmarkEnd w:id="217"/>
      <w:bookmarkEnd w:id="218"/>
    </w:p>
    <w:p w14:paraId="26D825BB">
      <w:pPr>
        <w:rPr>
          <w:rFonts w:hint="default"/>
          <w:color w:val="auto"/>
          <w:lang w:val="en-US" w:eastAsia="zh-CN"/>
        </w:rPr>
      </w:pPr>
      <w:r>
        <w:rPr>
          <w:rFonts w:hint="default"/>
          <w:color w:val="auto"/>
          <w:lang w:val="en-US" w:eastAsia="zh-CN"/>
        </w:rPr>
        <w:t>1</w:t>
      </w:r>
      <w:r>
        <w:rPr>
          <w:rFonts w:hint="eastAsia"/>
          <w:color w:val="auto"/>
          <w:lang w:val="en-US" w:eastAsia="zh-CN"/>
        </w:rPr>
        <w:t xml:space="preserve">. </w:t>
      </w:r>
      <w:r>
        <w:rPr>
          <w:rFonts w:hint="default"/>
          <w:color w:val="auto"/>
          <w:lang w:val="en-US" w:eastAsia="zh-CN"/>
        </w:rPr>
        <w:t>开采方式</w:t>
      </w:r>
      <w:r>
        <w:rPr>
          <w:rFonts w:hint="eastAsia"/>
          <w:color w:val="auto"/>
          <w:lang w:val="en-US" w:eastAsia="zh-CN"/>
        </w:rPr>
        <w:t>：矿山</w:t>
      </w:r>
      <w:r>
        <w:rPr>
          <w:rFonts w:hint="eastAsia" w:ascii="Times New Roman" w:hAnsi="宋体" w:eastAsia="宋体" w:cs="Times New Roman"/>
          <w:b w:val="0"/>
          <w:bCs/>
          <w:kern w:val="2"/>
          <w:sz w:val="28"/>
          <w:szCs w:val="28"/>
          <w:lang w:val="zh-CN" w:eastAsia="zh-CN" w:bidi="ar-SA"/>
        </w:rPr>
        <w:t>自上而下水平分台阶开采法，采用深孔凿岩、爆破作业的采剥方法。</w:t>
      </w:r>
      <w:r>
        <w:rPr>
          <w:rFonts w:hint="default"/>
          <w:color w:val="auto"/>
          <w:lang w:val="en-US" w:eastAsia="zh-CN"/>
        </w:rPr>
        <w:t>现开采方向总体为由西北往东南推进。</w:t>
      </w:r>
    </w:p>
    <w:p w14:paraId="3764A0EC">
      <w:pPr>
        <w:rPr>
          <w:rFonts w:hint="default"/>
          <w:color w:val="auto"/>
          <w:lang w:val="en-US" w:eastAsia="zh-CN"/>
        </w:rPr>
      </w:pPr>
      <w:r>
        <w:rPr>
          <w:rFonts w:hint="eastAsia"/>
          <w:color w:val="auto"/>
          <w:lang w:val="en-US" w:eastAsia="zh-CN"/>
        </w:rPr>
        <w:t>2. 露天开采工艺</w:t>
      </w:r>
    </w:p>
    <w:p w14:paraId="6E5A5692">
      <w:pPr>
        <w:rPr>
          <w:rFonts w:hint="default"/>
          <w:color w:val="auto"/>
          <w:lang w:val="en-US" w:eastAsia="zh-CN"/>
        </w:rPr>
      </w:pPr>
      <w:r>
        <w:rPr>
          <w:rFonts w:hint="default"/>
          <w:color w:val="auto"/>
          <w:lang w:val="en-US" w:eastAsia="zh-CN"/>
        </w:rPr>
        <w:t>潜孔钻机穿孔→深孔松动爆破→破碎锤进行采场台阶根底破碎和大块石二次破碎→挖掘机装车→自卸式汽车运输出矿。</w:t>
      </w:r>
    </w:p>
    <w:p w14:paraId="5FD212B2">
      <w:pPr>
        <w:rPr>
          <w:rFonts w:hint="default"/>
          <w:color w:val="auto"/>
          <w:lang w:val="en-US" w:eastAsia="zh-CN"/>
        </w:rPr>
      </w:pPr>
      <w:r>
        <w:rPr>
          <w:rFonts w:hint="eastAsia"/>
          <w:color w:val="auto"/>
          <w:lang w:val="en-US" w:eastAsia="zh-CN"/>
        </w:rPr>
        <w:t xml:space="preserve">3. </w:t>
      </w:r>
      <w:r>
        <w:rPr>
          <w:rFonts w:hint="default"/>
          <w:color w:val="auto"/>
          <w:lang w:val="en-US" w:eastAsia="zh-CN"/>
        </w:rPr>
        <w:t>露天采场工作台阶几何要素现状</w:t>
      </w:r>
    </w:p>
    <w:p w14:paraId="7AEA39BA">
      <w:pPr>
        <w:rPr>
          <w:rFonts w:hint="eastAsia"/>
          <w:color w:val="auto"/>
          <w:lang w:val="en-US" w:eastAsia="zh-CN"/>
        </w:rPr>
      </w:pPr>
      <w:r>
        <w:rPr>
          <w:rFonts w:hint="eastAsia"/>
          <w:color w:val="auto"/>
          <w:lang w:val="en-US" w:eastAsia="zh-CN"/>
        </w:rPr>
        <w:t>近年来，由于建筑用石料市场持续低迷、产品价格低位运行，企业长期处于非连续/间歇性生产状态。</w:t>
      </w:r>
    </w:p>
    <w:p w14:paraId="683D2C77">
      <w:pPr>
        <w:rPr>
          <w:rFonts w:hint="default"/>
          <w:color w:val="auto"/>
          <w:lang w:val="en-US" w:eastAsia="zh-CN"/>
        </w:rPr>
      </w:pPr>
      <w:r>
        <w:rPr>
          <w:rFonts w:hint="default"/>
          <w:color w:val="auto"/>
          <w:lang w:val="en-US" w:eastAsia="zh-CN"/>
        </w:rPr>
        <w:t>根据</w:t>
      </w:r>
      <w:r>
        <w:rPr>
          <w:rFonts w:hint="default"/>
          <w:b w:val="0"/>
          <w:bCs w:val="0"/>
          <w:color w:val="auto"/>
          <w:lang w:val="en-US" w:eastAsia="zh-CN"/>
        </w:rPr>
        <w:t>企业</w:t>
      </w:r>
      <w:r>
        <w:rPr>
          <w:rFonts w:hint="default"/>
          <w:b w:val="0"/>
          <w:bCs w:val="0"/>
          <w:color w:val="auto"/>
          <w:lang w:val="en-US" w:eastAsia="zh-CN"/>
        </w:rPr>
        <w:t>202</w:t>
      </w:r>
      <w:r>
        <w:rPr>
          <w:rFonts w:hint="eastAsia"/>
          <w:b w:val="0"/>
          <w:bCs w:val="0"/>
          <w:color w:val="auto"/>
          <w:lang w:val="en-US" w:eastAsia="zh-CN"/>
        </w:rPr>
        <w:t>6</w:t>
      </w:r>
      <w:r>
        <w:rPr>
          <w:rFonts w:hint="default"/>
          <w:b w:val="0"/>
          <w:bCs w:val="0"/>
          <w:color w:val="auto"/>
          <w:lang w:val="en-US" w:eastAsia="zh-CN"/>
        </w:rPr>
        <w:t>年</w:t>
      </w:r>
      <w:r>
        <w:rPr>
          <w:rFonts w:hint="eastAsia"/>
          <w:b w:val="0"/>
          <w:bCs w:val="0"/>
          <w:color w:val="auto"/>
          <w:lang w:val="en-US" w:eastAsia="zh-CN"/>
        </w:rPr>
        <w:t>5</w:t>
      </w:r>
      <w:r>
        <w:rPr>
          <w:rFonts w:hint="default"/>
          <w:b w:val="0"/>
          <w:bCs w:val="0"/>
          <w:color w:val="auto"/>
          <w:lang w:val="en-US" w:eastAsia="zh-CN"/>
        </w:rPr>
        <w:t>月</w:t>
      </w:r>
      <w:r>
        <w:rPr>
          <w:rFonts w:hint="default"/>
          <w:b w:val="0"/>
          <w:bCs w:val="0"/>
          <w:color w:val="auto"/>
          <w:lang w:val="en-US" w:eastAsia="zh-CN"/>
        </w:rPr>
        <w:t>提供的</w:t>
      </w:r>
      <w:r>
        <w:rPr>
          <w:rFonts w:hint="default"/>
          <w:color w:val="auto"/>
          <w:lang w:val="en-US" w:eastAsia="zh-CN"/>
        </w:rPr>
        <w:t>开采现状图及现场勘察</w:t>
      </w:r>
      <w:r>
        <w:rPr>
          <w:rFonts w:hint="eastAsia"/>
          <w:color w:val="auto"/>
          <w:lang w:val="en-US" w:eastAsia="zh-CN"/>
        </w:rPr>
        <w:t>情况</w:t>
      </w:r>
      <w:r>
        <w:rPr>
          <w:rFonts w:hint="default"/>
          <w:color w:val="auto"/>
          <w:lang w:val="en-US" w:eastAsia="zh-CN"/>
        </w:rPr>
        <w:t>，目前矿山按照设计已开采至+</w:t>
      </w:r>
      <w:r>
        <w:rPr>
          <w:rFonts w:hint="eastAsia"/>
          <w:color w:val="auto"/>
          <w:lang w:val="en-US" w:eastAsia="zh-CN"/>
        </w:rPr>
        <w:t>170</w:t>
      </w:r>
      <w:r>
        <w:rPr>
          <w:rFonts w:hint="default"/>
          <w:color w:val="auto"/>
          <w:lang w:val="en-US" w:eastAsia="zh-CN"/>
        </w:rPr>
        <w:t>m平台，其中+180m为穿孔平台、+170m为铲装平台，+</w:t>
      </w:r>
      <w:r>
        <w:rPr>
          <w:rFonts w:hint="eastAsia"/>
          <w:color w:val="auto"/>
          <w:lang w:val="en-US" w:eastAsia="zh-CN"/>
        </w:rPr>
        <w:t>180</w:t>
      </w:r>
      <w:r>
        <w:rPr>
          <w:rFonts w:hint="default"/>
          <w:color w:val="auto"/>
          <w:lang w:val="en-US" w:eastAsia="zh-CN"/>
        </w:rPr>
        <w:t>m平台以上已靠帮。各平台参数如下：</w:t>
      </w:r>
    </w:p>
    <w:p w14:paraId="160FAF49">
      <w:pPr>
        <w:rPr>
          <w:rFonts w:hint="default" w:cs="Times New Roman"/>
          <w:color w:val="auto"/>
          <w:sz w:val="28"/>
          <w:szCs w:val="28"/>
          <w:lang w:val="en-US" w:eastAsia="zh-CN"/>
        </w:rPr>
      </w:pPr>
      <w:r>
        <w:rPr>
          <w:rFonts w:hint="default"/>
          <w:color w:val="auto"/>
          <w:lang w:val="en-US" w:eastAsia="zh-CN"/>
        </w:rPr>
        <w:t>第一级平台为</w:t>
      </w:r>
      <w:r>
        <w:rPr>
          <w:rFonts w:hint="eastAsia"/>
          <w:color w:val="auto"/>
          <w:lang w:val="en-US" w:eastAsia="zh-CN"/>
        </w:rPr>
        <w:t>+210</w:t>
      </w:r>
      <w:r>
        <w:rPr>
          <w:rFonts w:hint="default"/>
          <w:color w:val="auto"/>
          <w:lang w:val="en-US" w:eastAsia="zh-CN"/>
        </w:rPr>
        <w:t>m平台，平台长约</w:t>
      </w:r>
      <w:r>
        <w:rPr>
          <w:rFonts w:hint="eastAsia"/>
          <w:color w:val="auto"/>
          <w:lang w:val="en-US" w:eastAsia="zh-CN"/>
        </w:rPr>
        <w:t>45</w:t>
      </w:r>
      <w:r>
        <w:rPr>
          <w:rFonts w:hint="default"/>
          <w:color w:val="auto"/>
          <w:lang w:val="en-US" w:eastAsia="zh-CN"/>
        </w:rPr>
        <w:t>m，平均宽约</w:t>
      </w:r>
      <w:r>
        <w:rPr>
          <w:rFonts w:hint="eastAsia"/>
          <w:color w:val="auto"/>
          <w:lang w:val="en-US" w:eastAsia="zh-CN"/>
        </w:rPr>
        <w:t>4</w:t>
      </w:r>
      <w:r>
        <w:rPr>
          <w:rFonts w:hint="default"/>
          <w:color w:val="auto"/>
          <w:lang w:val="en-US" w:eastAsia="zh-CN"/>
        </w:rPr>
        <w:t>m，坡面角约为</w:t>
      </w:r>
      <w:r>
        <w:rPr>
          <w:rFonts w:hint="eastAsia"/>
          <w:color w:val="auto"/>
          <w:lang w:val="en-US" w:eastAsia="zh-CN"/>
        </w:rPr>
        <w:t>65</w:t>
      </w:r>
      <w:r>
        <w:rPr>
          <w:rFonts w:hint="eastAsia" w:ascii="宋体" w:hAnsi="宋体" w:eastAsia="宋体" w:cs="宋体"/>
          <w:color w:val="auto"/>
          <w:lang w:val="en-US" w:eastAsia="zh-CN"/>
        </w:rPr>
        <w:t>°</w:t>
      </w:r>
      <w:r>
        <w:rPr>
          <w:rFonts w:hint="eastAsia"/>
          <w:color w:val="auto"/>
          <w:lang w:val="en-US" w:eastAsia="zh-CN"/>
        </w:rPr>
        <w:t>；</w:t>
      </w:r>
      <w:r>
        <w:rPr>
          <w:rFonts w:hint="default"/>
          <w:color w:val="auto"/>
          <w:lang w:val="en-US" w:eastAsia="zh-CN"/>
        </w:rPr>
        <w:t>第二级平台为</w:t>
      </w:r>
      <w:r>
        <w:rPr>
          <w:rFonts w:hint="eastAsia"/>
          <w:color w:val="auto"/>
          <w:lang w:val="en-US" w:eastAsia="zh-CN"/>
        </w:rPr>
        <w:t>+190</w:t>
      </w:r>
      <w:r>
        <w:rPr>
          <w:rFonts w:hint="default"/>
          <w:color w:val="auto"/>
          <w:lang w:val="en-US" w:eastAsia="zh-CN"/>
        </w:rPr>
        <w:t>m平台，平台长约</w:t>
      </w:r>
      <w:r>
        <w:rPr>
          <w:rFonts w:hint="eastAsia"/>
          <w:color w:val="auto"/>
          <w:lang w:val="en-US" w:eastAsia="zh-CN"/>
        </w:rPr>
        <w:t>78</w:t>
      </w:r>
      <w:r>
        <w:rPr>
          <w:rFonts w:hint="default"/>
          <w:color w:val="auto"/>
          <w:lang w:val="en-US" w:eastAsia="zh-CN"/>
        </w:rPr>
        <w:t>m，平均宽约</w:t>
      </w:r>
      <w:r>
        <w:rPr>
          <w:rFonts w:hint="eastAsia"/>
          <w:color w:val="auto"/>
          <w:lang w:val="en-US" w:eastAsia="zh-CN"/>
        </w:rPr>
        <w:t>6</w:t>
      </w:r>
      <w:r>
        <w:rPr>
          <w:rFonts w:hint="default"/>
          <w:color w:val="auto"/>
          <w:lang w:val="en-US" w:eastAsia="zh-CN"/>
        </w:rPr>
        <w:t>m，至上部平台高度约为</w:t>
      </w:r>
      <w:r>
        <w:rPr>
          <w:rFonts w:hint="eastAsia"/>
          <w:color w:val="auto"/>
          <w:lang w:val="en-US" w:eastAsia="zh-CN"/>
        </w:rPr>
        <w:t>20</w:t>
      </w:r>
      <w:r>
        <w:rPr>
          <w:rFonts w:hint="default"/>
          <w:color w:val="auto"/>
          <w:lang w:val="en-US" w:eastAsia="zh-CN"/>
        </w:rPr>
        <w:t>m，坡面角约为</w:t>
      </w:r>
      <w:r>
        <w:rPr>
          <w:rFonts w:hint="eastAsia"/>
          <w:color w:val="auto"/>
          <w:lang w:val="en-US" w:eastAsia="zh-CN"/>
        </w:rPr>
        <w:t>65</w:t>
      </w:r>
      <w:r>
        <w:rPr>
          <w:rFonts w:hint="eastAsia" w:ascii="宋体" w:hAnsi="宋体" w:eastAsia="宋体" w:cs="宋体"/>
          <w:color w:val="auto"/>
          <w:lang w:val="en-US" w:eastAsia="zh-CN"/>
        </w:rPr>
        <w:t>°</w:t>
      </w:r>
      <w:r>
        <w:rPr>
          <w:rFonts w:hint="eastAsia"/>
          <w:color w:val="auto"/>
          <w:lang w:val="en-US" w:eastAsia="zh-CN"/>
        </w:rPr>
        <w:t>；</w:t>
      </w:r>
      <w:r>
        <w:rPr>
          <w:rFonts w:hint="eastAsia" w:ascii="Times New Roman" w:hAnsi="Times New Roman" w:eastAsia="宋体" w:cs="Times New Roman"/>
          <w:color w:val="auto"/>
          <w:sz w:val="28"/>
          <w:szCs w:val="28"/>
          <w:lang w:val="en-US" w:eastAsia="zh-CN"/>
        </w:rPr>
        <w:t>以上平台均已并段、靠帮</w:t>
      </w:r>
      <w:r>
        <w:rPr>
          <w:rFonts w:hint="eastAsia" w:cs="Times New Roman"/>
          <w:color w:val="auto"/>
          <w:sz w:val="28"/>
          <w:szCs w:val="28"/>
          <w:lang w:val="en-US" w:eastAsia="zh-CN"/>
        </w:rPr>
        <w:t>，</w:t>
      </w:r>
      <w:r>
        <w:rPr>
          <w:rFonts w:hint="eastAsia" w:ascii="Times New Roman" w:hAnsi="Times New Roman" w:eastAsia="宋体" w:cs="Times New Roman"/>
          <w:color w:val="auto"/>
          <w:sz w:val="28"/>
          <w:szCs w:val="28"/>
          <w:lang w:val="en-US" w:eastAsia="zh-CN"/>
        </w:rPr>
        <w:t>其中：</w:t>
      </w:r>
      <w:r>
        <w:rPr>
          <w:rFonts w:hint="eastAsia" w:cs="Times New Roman"/>
          <w:color w:val="auto"/>
          <w:sz w:val="28"/>
          <w:szCs w:val="28"/>
          <w:lang w:val="en-US" w:eastAsia="zh-CN"/>
        </w:rPr>
        <w:t>+</w:t>
      </w:r>
      <w:r>
        <w:rPr>
          <w:rFonts w:hint="eastAsia" w:ascii="Times New Roman" w:hAnsi="Times New Roman" w:eastAsia="宋体" w:cs="Times New Roman"/>
          <w:color w:val="auto"/>
          <w:sz w:val="28"/>
          <w:szCs w:val="28"/>
          <w:lang w:val="en-US" w:eastAsia="zh-CN"/>
        </w:rPr>
        <w:t>210m为安全平台，</w:t>
      </w:r>
      <w:r>
        <w:rPr>
          <w:rFonts w:hint="eastAsia" w:cs="Times New Roman"/>
          <w:color w:val="auto"/>
          <w:sz w:val="28"/>
          <w:szCs w:val="28"/>
          <w:lang w:val="en-US" w:eastAsia="zh-CN"/>
        </w:rPr>
        <w:t>+</w:t>
      </w:r>
      <w:r>
        <w:rPr>
          <w:rFonts w:hint="eastAsia" w:ascii="Times New Roman" w:hAnsi="Times New Roman" w:eastAsia="宋体" w:cs="Times New Roman"/>
          <w:color w:val="auto"/>
          <w:sz w:val="28"/>
          <w:szCs w:val="28"/>
          <w:lang w:val="en-US" w:eastAsia="zh-CN"/>
        </w:rPr>
        <w:t>190</w:t>
      </w:r>
      <w:r>
        <w:rPr>
          <w:rFonts w:hint="eastAsia" w:cs="Times New Roman"/>
          <w:color w:val="auto"/>
          <w:sz w:val="28"/>
          <w:szCs w:val="28"/>
          <w:lang w:val="en-US" w:eastAsia="zh-CN"/>
        </w:rPr>
        <w:t>m</w:t>
      </w:r>
      <w:r>
        <w:rPr>
          <w:rFonts w:hint="eastAsia" w:ascii="Times New Roman" w:hAnsi="Times New Roman" w:eastAsia="宋体" w:cs="Times New Roman"/>
          <w:color w:val="auto"/>
          <w:sz w:val="28"/>
          <w:szCs w:val="28"/>
          <w:lang w:val="en-US" w:eastAsia="zh-CN"/>
        </w:rPr>
        <w:t>为清扫平台</w:t>
      </w:r>
      <w:r>
        <w:rPr>
          <w:rFonts w:hint="eastAsia" w:cs="Times New Roman"/>
          <w:color w:val="auto"/>
          <w:sz w:val="28"/>
          <w:szCs w:val="28"/>
          <w:lang w:val="en-US" w:eastAsia="zh-CN"/>
        </w:rPr>
        <w:t>。</w:t>
      </w:r>
      <w:r>
        <w:rPr>
          <w:rFonts w:hint="eastAsia"/>
          <w:color w:val="auto"/>
          <w:lang w:val="en-US" w:eastAsia="zh-CN"/>
        </w:rPr>
        <w:t>+180</w:t>
      </w:r>
      <w:r>
        <w:rPr>
          <w:rFonts w:hint="default"/>
          <w:color w:val="auto"/>
          <w:lang w:val="en-US" w:eastAsia="zh-CN"/>
        </w:rPr>
        <w:t>m平台</w:t>
      </w:r>
      <w:r>
        <w:rPr>
          <w:rFonts w:hint="eastAsia"/>
          <w:color w:val="auto"/>
          <w:lang w:val="en-US" w:eastAsia="zh-CN"/>
        </w:rPr>
        <w:t>为</w:t>
      </w:r>
      <w:r>
        <w:rPr>
          <w:rFonts w:hint="default"/>
          <w:color w:val="auto"/>
          <w:lang w:val="en-US" w:eastAsia="zh-CN"/>
        </w:rPr>
        <w:t>穿孔平台</w:t>
      </w:r>
      <w:r>
        <w:rPr>
          <w:rFonts w:hint="eastAsia"/>
          <w:color w:val="auto"/>
          <w:lang w:val="en-US" w:eastAsia="zh-CN"/>
        </w:rPr>
        <w:t>，</w:t>
      </w:r>
      <w:r>
        <w:rPr>
          <w:rFonts w:hint="default"/>
          <w:color w:val="auto"/>
          <w:lang w:val="en-US" w:eastAsia="zh-CN"/>
        </w:rPr>
        <w:t>平台长约</w:t>
      </w:r>
      <w:r>
        <w:rPr>
          <w:rFonts w:hint="eastAsia"/>
          <w:color w:val="auto"/>
          <w:lang w:val="en-US" w:eastAsia="zh-CN"/>
        </w:rPr>
        <w:t>90</w:t>
      </w:r>
      <w:r>
        <w:rPr>
          <w:rFonts w:hint="default"/>
          <w:color w:val="auto"/>
          <w:lang w:val="en-US" w:eastAsia="zh-CN"/>
        </w:rPr>
        <w:t>m，宽约</w:t>
      </w:r>
      <w:r>
        <w:rPr>
          <w:rFonts w:hint="eastAsia"/>
          <w:color w:val="auto"/>
          <w:lang w:val="en-US" w:eastAsia="zh-CN"/>
        </w:rPr>
        <w:t>55</w:t>
      </w:r>
      <w:r>
        <w:rPr>
          <w:rFonts w:hint="default"/>
          <w:color w:val="auto"/>
          <w:lang w:val="en-US" w:eastAsia="zh-CN"/>
        </w:rPr>
        <w:t>m，至上部平台高度约为</w:t>
      </w:r>
      <w:r>
        <w:rPr>
          <w:rFonts w:hint="eastAsia"/>
          <w:color w:val="auto"/>
          <w:lang w:val="en-US" w:eastAsia="zh-CN"/>
        </w:rPr>
        <w:t>10</w:t>
      </w:r>
      <w:r>
        <w:rPr>
          <w:rFonts w:hint="default"/>
          <w:color w:val="auto"/>
          <w:lang w:val="en-US" w:eastAsia="zh-CN"/>
        </w:rPr>
        <w:t>m，坡面角约为</w:t>
      </w:r>
      <w:r>
        <w:rPr>
          <w:rFonts w:hint="eastAsia"/>
          <w:color w:val="auto"/>
          <w:lang w:val="en-US" w:eastAsia="zh-CN"/>
        </w:rPr>
        <w:t>65</w:t>
      </w:r>
      <w:r>
        <w:rPr>
          <w:rFonts w:hint="eastAsia" w:ascii="宋体" w:hAnsi="宋体" w:eastAsia="宋体" w:cs="宋体"/>
          <w:color w:val="auto"/>
          <w:lang w:val="en-US" w:eastAsia="zh-CN"/>
        </w:rPr>
        <w:t>°</w:t>
      </w:r>
      <w:r>
        <w:rPr>
          <w:rFonts w:hint="eastAsia"/>
          <w:color w:val="auto"/>
          <w:lang w:val="en-US" w:eastAsia="zh-CN"/>
        </w:rPr>
        <w:t>；</w:t>
      </w:r>
      <w:r>
        <w:rPr>
          <w:rFonts w:hint="eastAsia" w:ascii="Times New Roman" w:hAnsi="Times New Roman" w:eastAsia="宋体" w:cs="Times New Roman"/>
          <w:color w:val="auto"/>
          <w:sz w:val="28"/>
          <w:szCs w:val="28"/>
          <w:lang w:val="en-US" w:eastAsia="zh-CN"/>
        </w:rPr>
        <w:t>+170m平台为</w:t>
      </w:r>
      <w:r>
        <w:rPr>
          <w:rFonts w:hint="default"/>
          <w:color w:val="auto"/>
          <w:lang w:val="en-US" w:eastAsia="zh-CN"/>
        </w:rPr>
        <w:t>铲装平台</w:t>
      </w:r>
      <w:r>
        <w:rPr>
          <w:rFonts w:hint="eastAsia" w:ascii="Times New Roman" w:hAnsi="Times New Roman" w:eastAsia="宋体" w:cs="Times New Roman"/>
          <w:color w:val="auto"/>
          <w:sz w:val="28"/>
          <w:szCs w:val="28"/>
          <w:lang w:val="en-US" w:eastAsia="zh-CN"/>
        </w:rPr>
        <w:t>，平台长</w:t>
      </w:r>
      <w:r>
        <w:rPr>
          <w:rFonts w:hint="eastAsia" w:cs="Times New Roman"/>
          <w:color w:val="auto"/>
          <w:sz w:val="28"/>
          <w:szCs w:val="28"/>
          <w:lang w:val="en-US" w:eastAsia="zh-CN"/>
        </w:rPr>
        <w:t>约</w:t>
      </w:r>
      <w:r>
        <w:rPr>
          <w:rFonts w:hint="eastAsia" w:ascii="Times New Roman" w:hAnsi="Times New Roman" w:eastAsia="宋体" w:cs="Times New Roman"/>
          <w:color w:val="auto"/>
          <w:sz w:val="28"/>
          <w:szCs w:val="28"/>
          <w:lang w:val="en-US" w:eastAsia="zh-CN"/>
        </w:rPr>
        <w:t>100m，</w:t>
      </w:r>
      <w:r>
        <w:rPr>
          <w:rFonts w:hint="default"/>
          <w:color w:val="auto"/>
          <w:lang w:val="en-US" w:eastAsia="zh-CN"/>
        </w:rPr>
        <w:t>宽</w:t>
      </w:r>
      <w:r>
        <w:rPr>
          <w:rFonts w:hint="eastAsia" w:ascii="Times New Roman" w:hAnsi="Times New Roman" w:eastAsia="宋体" w:cs="Times New Roman"/>
          <w:color w:val="auto"/>
          <w:sz w:val="28"/>
          <w:szCs w:val="28"/>
          <w:lang w:val="en-US" w:eastAsia="zh-CN"/>
        </w:rPr>
        <w:t>约</w:t>
      </w:r>
      <w:r>
        <w:rPr>
          <w:rFonts w:hint="eastAsia" w:cs="Times New Roman"/>
          <w:color w:val="auto"/>
          <w:sz w:val="28"/>
          <w:szCs w:val="28"/>
          <w:lang w:val="en-US" w:eastAsia="zh-CN"/>
        </w:rPr>
        <w:t>63</w:t>
      </w:r>
      <w:r>
        <w:rPr>
          <w:rFonts w:hint="eastAsia" w:ascii="Times New Roman" w:hAnsi="Times New Roman" w:eastAsia="宋体" w:cs="Times New Roman"/>
          <w:color w:val="auto"/>
          <w:sz w:val="28"/>
          <w:szCs w:val="28"/>
          <w:lang w:val="en-US" w:eastAsia="zh-CN"/>
        </w:rPr>
        <w:t>m</w:t>
      </w:r>
      <w:r>
        <w:rPr>
          <w:rFonts w:hint="default"/>
          <w:color w:val="auto"/>
          <w:lang w:val="en-US" w:eastAsia="zh-CN"/>
        </w:rPr>
        <w:t>，坡面角约为</w:t>
      </w:r>
      <w:r>
        <w:rPr>
          <w:rFonts w:hint="eastAsia"/>
          <w:color w:val="auto"/>
          <w:lang w:val="en-US" w:eastAsia="zh-CN"/>
        </w:rPr>
        <w:t>65</w:t>
      </w:r>
      <w:r>
        <w:rPr>
          <w:rFonts w:hint="eastAsia" w:ascii="宋体" w:hAnsi="宋体" w:eastAsia="宋体" w:cs="宋体"/>
          <w:color w:val="auto"/>
          <w:lang w:val="en-US" w:eastAsia="zh-CN"/>
        </w:rPr>
        <w:t>°。</w:t>
      </w:r>
      <w:r>
        <w:rPr>
          <w:rFonts w:hint="default"/>
          <w:b w:val="0"/>
          <w:bCs w:val="0"/>
          <w:color w:val="auto"/>
          <w:lang w:val="en-US" w:eastAsia="zh-CN"/>
        </w:rPr>
        <w:t>企业</w:t>
      </w:r>
      <w:r>
        <w:rPr>
          <w:rFonts w:hint="eastAsia"/>
          <w:b w:val="0"/>
          <w:bCs w:val="0"/>
          <w:color w:val="auto"/>
          <w:lang w:val="en-US" w:eastAsia="zh-CN"/>
        </w:rPr>
        <w:t>在</w:t>
      </w:r>
      <w:r>
        <w:rPr>
          <w:rFonts w:hint="eastAsia" w:ascii="Times New Roman" w:hAnsi="Times New Roman" w:eastAsia="宋体" w:cs="Times New Roman"/>
          <w:color w:val="auto"/>
          <w:sz w:val="28"/>
          <w:szCs w:val="28"/>
          <w:lang w:val="en-US" w:eastAsia="zh-CN"/>
        </w:rPr>
        <w:t>生产平台</w:t>
      </w:r>
      <w:r>
        <w:rPr>
          <w:rFonts w:hint="eastAsia" w:cs="Times New Roman"/>
          <w:color w:val="auto"/>
          <w:sz w:val="28"/>
          <w:szCs w:val="28"/>
          <w:lang w:val="en-US" w:eastAsia="zh-CN"/>
        </w:rPr>
        <w:t>上设有</w:t>
      </w:r>
      <w:r>
        <w:rPr>
          <w:rFonts w:hint="default"/>
          <w:color w:val="auto"/>
          <w:lang w:val="en-US" w:eastAsia="zh-CN"/>
        </w:rPr>
        <w:t>土石混合</w:t>
      </w:r>
      <w:r>
        <w:rPr>
          <w:rFonts w:hint="eastAsia"/>
          <w:color w:val="auto"/>
          <w:lang w:val="en-US" w:eastAsia="zh-CN"/>
        </w:rPr>
        <w:t>堆作为平台防护围栏，</w:t>
      </w:r>
      <w:r>
        <w:rPr>
          <w:rFonts w:hint="eastAsia" w:ascii="Times New Roman" w:hAnsi="Times New Roman" w:eastAsia="宋体" w:cs="Times New Roman"/>
          <w:color w:val="auto"/>
          <w:sz w:val="28"/>
          <w:szCs w:val="28"/>
          <w:lang w:val="en-US" w:eastAsia="zh-CN"/>
        </w:rPr>
        <w:t>矿山现状各边坡稳定性较好。</w:t>
      </w:r>
    </w:p>
    <w:p w14:paraId="29122798">
      <w:pPr>
        <w:rPr>
          <w:rFonts w:hint="default"/>
          <w:color w:val="auto"/>
          <w:lang w:val="en-US" w:eastAsia="zh-CN"/>
        </w:rPr>
      </w:pPr>
      <w:r>
        <w:rPr>
          <w:rFonts w:hint="eastAsia"/>
          <w:color w:val="auto"/>
          <w:lang w:val="en-US" w:eastAsia="zh-CN"/>
        </w:rPr>
        <w:t>4. 穿孔爆破</w:t>
      </w:r>
    </w:p>
    <w:p w14:paraId="50F8CF4A">
      <w:pPr>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穿孔作业</w:t>
      </w:r>
    </w:p>
    <w:p w14:paraId="4EA05D18">
      <w:pPr>
        <w:rPr>
          <w:rFonts w:hint="default"/>
          <w:color w:val="auto"/>
          <w:lang w:val="en-US" w:eastAsia="zh-CN"/>
        </w:rPr>
      </w:pPr>
      <w:r>
        <w:rPr>
          <w:rFonts w:hint="default"/>
          <w:color w:val="auto"/>
          <w:lang w:val="en-US" w:eastAsia="zh-CN"/>
        </w:rPr>
        <w:t>矿山现采用穿孔设备为</w:t>
      </w:r>
      <w:r>
        <w:rPr>
          <w:rFonts w:hint="eastAsia"/>
          <w:color w:val="auto"/>
          <w:lang w:val="en-US" w:eastAsia="zh-CN"/>
        </w:rPr>
        <w:t>2台</w:t>
      </w:r>
      <w:r>
        <w:rPr>
          <w:rFonts w:hint="default"/>
          <w:color w:val="auto"/>
          <w:lang w:val="en-US" w:eastAsia="zh-CN"/>
        </w:rPr>
        <w:t>红五环HC420履带式露天潜孔钻车，其自带压风及除尘设备。穿孔设备设置有消防器材。</w:t>
      </w:r>
    </w:p>
    <w:p w14:paraId="2C72BE54">
      <w:pPr>
        <w:rPr>
          <w:rFonts w:hint="default"/>
          <w:color w:val="auto"/>
          <w:lang w:val="en-US" w:eastAsia="zh-CN"/>
        </w:rPr>
      </w:pPr>
      <w:r>
        <w:rPr>
          <w:rFonts w:hint="eastAsia"/>
          <w:color w:val="auto"/>
          <w:lang w:val="en-US" w:eastAsia="zh-CN"/>
        </w:rPr>
        <w:t>（2）</w:t>
      </w:r>
      <w:r>
        <w:rPr>
          <w:rFonts w:hint="default"/>
          <w:color w:val="auto"/>
          <w:lang w:val="en-US" w:eastAsia="zh-CN"/>
        </w:rPr>
        <w:t>爆破作业</w:t>
      </w:r>
    </w:p>
    <w:p w14:paraId="327C62D0">
      <w:pPr>
        <w:bidi w:val="0"/>
        <w:rPr>
          <w:rFonts w:hint="default"/>
          <w:color w:val="auto"/>
          <w:lang w:val="en-US" w:eastAsia="zh-CN"/>
        </w:rPr>
      </w:pPr>
      <w:r>
        <w:rPr>
          <w:rFonts w:hint="default"/>
          <w:color w:val="auto"/>
          <w:lang w:val="en-US" w:eastAsia="zh-CN"/>
        </w:rPr>
        <w:t>矿山爆破委外至江西鑫安理德爆破有限责任公司，由爆破公司根据实际情况</w:t>
      </w:r>
      <w:r>
        <w:rPr>
          <w:rFonts w:hint="eastAsia"/>
          <w:color w:val="auto"/>
          <w:lang w:val="en-US" w:eastAsia="zh-CN"/>
        </w:rPr>
        <w:t>编制</w:t>
      </w:r>
      <w:r>
        <w:rPr>
          <w:rFonts w:hint="default"/>
          <w:color w:val="auto"/>
          <w:lang w:val="en-US" w:eastAsia="zh-CN"/>
        </w:rPr>
        <w:t>爆破说明书。矿山有1个钢板材质的移动式避炮棚，其距离开采作业面大于150m。矿区入口、进矿公路旁设置了爆破时间宣传告示牌，标明爆破时间及非工作人员及车辆不得入内的安全警示牌。</w:t>
      </w:r>
    </w:p>
    <w:p w14:paraId="03479FCF">
      <w:pPr>
        <w:rPr>
          <w:rFonts w:hint="default"/>
          <w:color w:val="auto"/>
          <w:lang w:val="en-US" w:eastAsia="zh-CN"/>
        </w:rPr>
      </w:pPr>
      <w:r>
        <w:rPr>
          <w:rFonts w:hint="eastAsia"/>
          <w:color w:val="auto"/>
          <w:lang w:val="en-US" w:eastAsia="zh-CN"/>
        </w:rPr>
        <w:t>5. 铲装作业</w:t>
      </w:r>
    </w:p>
    <w:p w14:paraId="4985AD8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宋体" w:eastAsia="宋体" w:cs="Times New Roman"/>
          <w:b w:val="0"/>
          <w:bCs/>
          <w:kern w:val="2"/>
          <w:sz w:val="28"/>
          <w:szCs w:val="28"/>
          <w:lang w:val="en-US" w:eastAsia="zh-CN" w:bidi="ar-SA"/>
        </w:rPr>
      </w:pPr>
      <w:bookmarkStart w:id="219" w:name="_Toc7109"/>
      <w:bookmarkStart w:id="220" w:name="_Toc8027"/>
      <w:bookmarkStart w:id="221" w:name="_Toc32576"/>
      <w:bookmarkStart w:id="222" w:name="_Toc6159"/>
      <w:r>
        <w:rPr>
          <w:rFonts w:hint="eastAsia" w:ascii="Times New Roman" w:hAnsi="宋体" w:eastAsia="宋体" w:cs="Times New Roman"/>
          <w:b w:val="0"/>
          <w:bCs/>
          <w:kern w:val="2"/>
          <w:sz w:val="28"/>
          <w:szCs w:val="28"/>
          <w:lang w:val="en-US" w:eastAsia="zh-CN" w:bidi="ar-SA"/>
        </w:rPr>
        <w:t>矿山铲装设备主要有柳工CLG933EHD挖掘机3台，50型装载机1台。</w:t>
      </w:r>
    </w:p>
    <w:p w14:paraId="426B913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宋体" w:eastAsia="宋体" w:cs="Times New Roman"/>
          <w:b w:val="0"/>
          <w:bCs/>
          <w:kern w:val="2"/>
          <w:sz w:val="28"/>
          <w:szCs w:val="28"/>
          <w:lang w:val="en-US" w:eastAsia="zh-CN" w:bidi="ar-SA"/>
        </w:rPr>
      </w:pPr>
      <w:r>
        <w:rPr>
          <w:rFonts w:hint="eastAsia" w:ascii="Times New Roman" w:hAnsi="宋体" w:eastAsia="宋体" w:cs="Times New Roman"/>
          <w:b w:val="0"/>
          <w:bCs/>
          <w:kern w:val="2"/>
          <w:sz w:val="28"/>
          <w:szCs w:val="28"/>
          <w:lang w:val="en-US" w:eastAsia="zh-CN" w:bidi="ar-SA"/>
        </w:rPr>
        <w:t>铲装矿岩选用平装车，即运输设备与装载机在同一水平上作业。每辆铲装设备配备了1个灭火器。挖掘机汽笛、信号、照明灯完好。</w:t>
      </w:r>
    </w:p>
    <w:p w14:paraId="740EACDC">
      <w:pPr>
        <w:pStyle w:val="4"/>
        <w:bidi w:val="0"/>
        <w:rPr>
          <w:rFonts w:hint="default"/>
          <w:color w:val="auto"/>
          <w:lang w:val="en-US" w:eastAsia="zh-CN"/>
        </w:rPr>
      </w:pPr>
      <w:bookmarkStart w:id="223" w:name="_Toc14461"/>
      <w:bookmarkStart w:id="224" w:name="_Toc31166"/>
      <w:r>
        <w:rPr>
          <w:rFonts w:hint="default"/>
          <w:color w:val="auto"/>
          <w:lang w:val="en-US" w:eastAsia="zh-CN"/>
        </w:rPr>
        <w:t>2.4.</w:t>
      </w:r>
      <w:r>
        <w:rPr>
          <w:rFonts w:hint="eastAsia"/>
          <w:color w:val="auto"/>
          <w:lang w:val="en-US" w:eastAsia="zh-CN"/>
        </w:rPr>
        <w:t>8</w:t>
      </w:r>
      <w:r>
        <w:rPr>
          <w:rFonts w:hint="default"/>
          <w:color w:val="auto"/>
          <w:lang w:val="en-US" w:eastAsia="zh-CN"/>
        </w:rPr>
        <w:t xml:space="preserve"> 矿山通风与防尘</w:t>
      </w:r>
      <w:bookmarkEnd w:id="219"/>
      <w:bookmarkEnd w:id="220"/>
      <w:bookmarkEnd w:id="221"/>
      <w:bookmarkEnd w:id="222"/>
      <w:bookmarkEnd w:id="223"/>
      <w:bookmarkEnd w:id="224"/>
    </w:p>
    <w:p w14:paraId="54A61DEB">
      <w:pPr>
        <w:rPr>
          <w:rFonts w:hint="default"/>
          <w:color w:val="auto"/>
          <w:lang w:val="en-US" w:eastAsia="zh-CN"/>
        </w:rPr>
      </w:pPr>
      <w:r>
        <w:rPr>
          <w:rFonts w:hint="default"/>
          <w:color w:val="auto"/>
          <w:lang w:val="en-US" w:eastAsia="zh-CN"/>
        </w:rPr>
        <w:t>1</w:t>
      </w:r>
      <w:r>
        <w:rPr>
          <w:rFonts w:hint="eastAsia"/>
          <w:color w:val="auto"/>
          <w:lang w:val="en-US" w:eastAsia="zh-CN"/>
        </w:rPr>
        <w:t xml:space="preserve">. </w:t>
      </w:r>
      <w:r>
        <w:rPr>
          <w:rFonts w:hint="default"/>
          <w:color w:val="auto"/>
          <w:lang w:val="en-US" w:eastAsia="zh-CN"/>
        </w:rPr>
        <w:t>矿山通风</w:t>
      </w:r>
    </w:p>
    <w:p w14:paraId="6D097538">
      <w:pPr>
        <w:rPr>
          <w:rFonts w:hint="default"/>
          <w:color w:val="auto"/>
          <w:lang w:val="en-US" w:eastAsia="zh-CN"/>
        </w:rPr>
      </w:pPr>
      <w:r>
        <w:rPr>
          <w:rFonts w:hint="eastAsia"/>
          <w:color w:val="auto"/>
          <w:lang w:val="en-US" w:eastAsia="zh-CN"/>
        </w:rPr>
        <w:t>本</w:t>
      </w:r>
      <w:r>
        <w:rPr>
          <w:rFonts w:hint="default"/>
          <w:color w:val="auto"/>
          <w:lang w:val="en-US" w:eastAsia="zh-CN"/>
        </w:rPr>
        <w:t>矿露天开采，采场布置场地开阔、自然通风条件良好。</w:t>
      </w:r>
    </w:p>
    <w:p w14:paraId="1D918C55">
      <w:pPr>
        <w:rPr>
          <w:rFonts w:hint="default"/>
          <w:color w:val="auto"/>
          <w:lang w:val="en-US" w:eastAsia="zh-CN"/>
        </w:rPr>
      </w:pPr>
      <w:r>
        <w:rPr>
          <w:rFonts w:hint="default"/>
          <w:color w:val="auto"/>
          <w:lang w:val="en-US" w:eastAsia="zh-CN"/>
        </w:rPr>
        <w:t>2</w:t>
      </w:r>
      <w:r>
        <w:rPr>
          <w:rFonts w:hint="eastAsia"/>
          <w:color w:val="auto"/>
          <w:lang w:val="en-US" w:eastAsia="zh-CN"/>
        </w:rPr>
        <w:t xml:space="preserve">. </w:t>
      </w:r>
      <w:r>
        <w:rPr>
          <w:rFonts w:hint="default"/>
          <w:color w:val="auto"/>
          <w:lang w:val="en-US" w:eastAsia="zh-CN"/>
        </w:rPr>
        <w:t>防尘</w:t>
      </w:r>
    </w:p>
    <w:p w14:paraId="51866E68">
      <w:pPr>
        <w:rPr>
          <w:rFonts w:hint="default"/>
          <w:color w:val="auto"/>
          <w:lang w:val="en-US" w:eastAsia="zh-CN"/>
        </w:rPr>
      </w:pPr>
      <w:r>
        <w:rPr>
          <w:rFonts w:hint="default"/>
          <w:color w:val="auto"/>
          <w:lang w:val="en-US" w:eastAsia="zh-CN"/>
        </w:rPr>
        <w:t>矿山配备了</w:t>
      </w:r>
      <w:r>
        <w:rPr>
          <w:rFonts w:hint="eastAsia"/>
          <w:color w:val="auto"/>
          <w:lang w:val="en-US" w:eastAsia="zh-CN"/>
        </w:rPr>
        <w:t>1辆</w:t>
      </w:r>
      <w:r>
        <w:rPr>
          <w:rFonts w:hint="default"/>
          <w:color w:val="auto"/>
          <w:lang w:val="en-US" w:eastAsia="zh-CN"/>
        </w:rPr>
        <w:t>洒水车定期对采场和道路进行降尘。穿孔采用干式捕尘，钻机配备干式除尘装置</w:t>
      </w:r>
      <w:r>
        <w:rPr>
          <w:rFonts w:hint="eastAsia"/>
          <w:color w:val="auto"/>
          <w:lang w:val="en-US" w:eastAsia="zh-CN"/>
        </w:rPr>
        <w:t>能</w:t>
      </w:r>
      <w:r>
        <w:rPr>
          <w:rFonts w:hint="default"/>
          <w:color w:val="auto"/>
          <w:lang w:val="en-US" w:eastAsia="zh-CN"/>
        </w:rPr>
        <w:t>满足防尘要求。</w:t>
      </w:r>
    </w:p>
    <w:p w14:paraId="4A4BD432">
      <w:pPr>
        <w:bidi w:val="0"/>
        <w:rPr>
          <w:rFonts w:hint="default"/>
          <w:lang w:val="en-US" w:eastAsia="zh-CN"/>
        </w:rPr>
      </w:pPr>
      <w:r>
        <w:rPr>
          <w:rFonts w:hint="eastAsia" w:ascii="Times New Roman" w:hAnsi="Times New Roman" w:eastAsia="宋体" w:cs="Times New Roman"/>
          <w:lang w:val="en-US" w:eastAsia="zh-CN"/>
        </w:rPr>
        <w:t>矿山生产用水水源取自矿区东南侧水塘，</w:t>
      </w:r>
      <w:r>
        <w:rPr>
          <w:rFonts w:hint="eastAsia" w:cs="Times New Roman"/>
          <w:lang w:val="en-US" w:eastAsia="zh-CN"/>
        </w:rPr>
        <w:t>配备</w:t>
      </w:r>
      <w:r>
        <w:rPr>
          <w:rFonts w:hint="eastAsia" w:ascii="Times New Roman" w:hAnsi="Times New Roman" w:eastAsia="宋体" w:cs="Times New Roman"/>
          <w:lang w:val="en-US" w:eastAsia="zh-CN"/>
        </w:rPr>
        <w:t>2台90QJD2-112/26-1.5YDA供水泵</w:t>
      </w:r>
      <w:r>
        <w:rPr>
          <w:rFonts w:hint="default" w:ascii="Times New Roman" w:hAnsi="Times New Roman" w:eastAsia="宋体" w:cs="Times New Roman"/>
          <w:lang w:val="en-US" w:eastAsia="zh-CN"/>
        </w:rPr>
        <w:t>，用于</w:t>
      </w:r>
      <w:r>
        <w:rPr>
          <w:rFonts w:hint="eastAsia" w:cs="Times New Roman"/>
          <w:lang w:val="en-US" w:eastAsia="zh-CN"/>
        </w:rPr>
        <w:t>向</w:t>
      </w:r>
      <w:r>
        <w:rPr>
          <w:rFonts w:hint="default" w:ascii="Times New Roman" w:hAnsi="Times New Roman" w:eastAsia="宋体" w:cs="Times New Roman"/>
          <w:lang w:val="en-US" w:eastAsia="zh-CN"/>
        </w:rPr>
        <w:t>破碎设备的喷水除尘装置</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高位水池</w:t>
      </w:r>
      <w:r>
        <w:rPr>
          <w:rFonts w:hint="eastAsia" w:cs="Times New Roman"/>
          <w:lang w:val="en-US" w:eastAsia="zh-CN"/>
        </w:rPr>
        <w:t>供水</w:t>
      </w:r>
      <w:r>
        <w:rPr>
          <w:rFonts w:hint="default" w:ascii="Times New Roman" w:hAnsi="Times New Roman" w:eastAsia="宋体" w:cs="Times New Roman"/>
          <w:lang w:val="en-US" w:eastAsia="zh-CN"/>
        </w:rPr>
        <w:t>。矿山生活饮用水</w:t>
      </w:r>
      <w:r>
        <w:rPr>
          <w:rFonts w:hint="eastAsia" w:ascii="Times New Roman" w:hAnsi="Times New Roman" w:eastAsia="宋体" w:cs="Times New Roman"/>
          <w:lang w:val="en-US" w:eastAsia="zh-CN"/>
        </w:rPr>
        <w:t>为</w:t>
      </w:r>
      <w:r>
        <w:rPr>
          <w:rFonts w:hint="default" w:ascii="Times New Roman" w:hAnsi="Times New Roman" w:eastAsia="宋体" w:cs="Times New Roman"/>
          <w:lang w:val="en-US" w:eastAsia="zh-CN"/>
        </w:rPr>
        <w:t>生活区旁的自挖水</w:t>
      </w:r>
      <w:r>
        <w:rPr>
          <w:rFonts w:hint="default"/>
          <w:lang w:val="en-US" w:eastAsia="zh-CN"/>
        </w:rPr>
        <w:t>井，符合国家标准。</w:t>
      </w:r>
    </w:p>
    <w:p w14:paraId="20C887EF">
      <w:pPr>
        <w:pStyle w:val="4"/>
        <w:bidi w:val="0"/>
        <w:rPr>
          <w:rFonts w:hint="default"/>
          <w:color w:val="auto"/>
          <w:lang w:val="en-US" w:eastAsia="zh-CN"/>
        </w:rPr>
      </w:pPr>
      <w:bookmarkStart w:id="225" w:name="_Toc29837"/>
      <w:bookmarkStart w:id="226" w:name="_Toc28412"/>
      <w:bookmarkStart w:id="227" w:name="_Toc4800"/>
      <w:bookmarkStart w:id="228" w:name="_Toc16115"/>
      <w:bookmarkStart w:id="229" w:name="_Toc16470"/>
      <w:bookmarkStart w:id="230" w:name="_Toc17753"/>
      <w:r>
        <w:rPr>
          <w:rFonts w:hint="default"/>
          <w:color w:val="auto"/>
          <w:lang w:val="en-US" w:eastAsia="zh-CN"/>
        </w:rPr>
        <w:t>2.4.</w:t>
      </w:r>
      <w:r>
        <w:rPr>
          <w:rFonts w:hint="eastAsia"/>
          <w:color w:val="auto"/>
          <w:lang w:val="en-US" w:eastAsia="zh-CN"/>
        </w:rPr>
        <w:t>9</w:t>
      </w:r>
      <w:r>
        <w:rPr>
          <w:rFonts w:hint="default"/>
          <w:color w:val="auto"/>
          <w:lang w:val="en-US" w:eastAsia="zh-CN"/>
        </w:rPr>
        <w:t xml:space="preserve"> 防排水与防灭火</w:t>
      </w:r>
      <w:bookmarkEnd w:id="225"/>
      <w:bookmarkEnd w:id="226"/>
      <w:bookmarkEnd w:id="227"/>
      <w:bookmarkEnd w:id="228"/>
      <w:bookmarkEnd w:id="229"/>
      <w:bookmarkEnd w:id="230"/>
    </w:p>
    <w:p w14:paraId="69DEF56C">
      <w:pPr>
        <w:rPr>
          <w:rFonts w:hint="default"/>
          <w:color w:val="auto"/>
          <w:lang w:val="en-US" w:eastAsia="zh-CN"/>
        </w:rPr>
      </w:pPr>
      <w:r>
        <w:rPr>
          <w:rFonts w:hint="eastAsia"/>
          <w:color w:val="auto"/>
          <w:lang w:val="en-US" w:eastAsia="zh-CN"/>
        </w:rPr>
        <w:t>1. 防排水系统</w:t>
      </w:r>
    </w:p>
    <w:p w14:paraId="09064EEF">
      <w:pPr>
        <w:rPr>
          <w:rFonts w:hint="default"/>
          <w:color w:val="auto"/>
          <w:lang w:val="en-US" w:eastAsia="zh-CN"/>
        </w:rPr>
      </w:pPr>
      <w:r>
        <w:rPr>
          <w:rFonts w:hint="default"/>
          <w:color w:val="auto"/>
          <w:lang w:val="en-US" w:eastAsia="zh-CN"/>
        </w:rPr>
        <w:t>矿山</w:t>
      </w:r>
      <w:r>
        <w:rPr>
          <w:rFonts w:hint="eastAsia"/>
          <w:color w:val="auto"/>
          <w:lang w:val="en-US" w:eastAsia="zh-CN"/>
        </w:rPr>
        <w:t>为</w:t>
      </w:r>
      <w:r>
        <w:rPr>
          <w:rFonts w:hint="default"/>
          <w:color w:val="auto"/>
          <w:lang w:val="en-US" w:eastAsia="zh-CN"/>
        </w:rPr>
        <w:t>山坡露天开采，矿区内地表迳流条件较好，有利于自然排水。大气降水可顺矿山原地形自然坡度自流排放。矿山开采的边坡基本处于相对高处，边界处无外部水体，外界水对矿山开采及终了边坡无影响。</w:t>
      </w:r>
    </w:p>
    <w:p w14:paraId="0A03E906">
      <w:pPr>
        <w:rPr>
          <w:color w:val="auto"/>
        </w:rPr>
      </w:pPr>
      <w:r>
        <w:rPr>
          <w:rFonts w:hint="default"/>
          <w:color w:val="auto"/>
          <w:lang w:val="en-US" w:eastAsia="zh-CN"/>
        </w:rPr>
        <w:t>矿山的上山道路旁设置了排水沟；采场内排水依靠地形自流排水，平台上开挖了不规则的排水沟。开采境界外设置了截水沟及相应的沉淀池。</w:t>
      </w:r>
    </w:p>
    <w:p w14:paraId="3F428F64">
      <w:pPr>
        <w:rPr>
          <w:rFonts w:hint="eastAsia"/>
          <w:color w:val="auto"/>
          <w:lang w:val="en-US" w:eastAsia="zh-CN"/>
        </w:rPr>
      </w:pPr>
      <w:r>
        <w:rPr>
          <w:rFonts w:hint="eastAsia"/>
          <w:color w:val="auto"/>
          <w:lang w:val="en-US" w:eastAsia="zh-CN"/>
        </w:rPr>
        <w:t>2. 防灭火</w:t>
      </w:r>
    </w:p>
    <w:p w14:paraId="16417B0C">
      <w:pPr>
        <w:rPr>
          <w:rFonts w:hint="default"/>
          <w:color w:val="auto"/>
          <w:lang w:val="en-US" w:eastAsia="zh-CN"/>
        </w:rPr>
      </w:pPr>
      <w:r>
        <w:rPr>
          <w:rFonts w:hint="default"/>
          <w:color w:val="auto"/>
          <w:lang w:val="en-US" w:eastAsia="zh-CN"/>
        </w:rPr>
        <w:t>本矿山矿岩本身无可燃性，采场发生火灾的可能性较低</w:t>
      </w:r>
      <w:r>
        <w:rPr>
          <w:rFonts w:hint="eastAsia"/>
          <w:color w:val="auto"/>
          <w:lang w:val="en-US" w:eastAsia="zh-CN"/>
        </w:rPr>
        <w:t>。</w:t>
      </w:r>
    </w:p>
    <w:p w14:paraId="7749417C">
      <w:pPr>
        <w:rPr>
          <w:rFonts w:hint="default"/>
          <w:color w:val="auto"/>
          <w:lang w:val="en-US" w:eastAsia="zh-CN"/>
        </w:rPr>
      </w:pPr>
      <w:r>
        <w:rPr>
          <w:rFonts w:hint="eastAsia"/>
          <w:color w:val="auto"/>
          <w:lang w:val="en-US" w:eastAsia="zh-CN"/>
        </w:rPr>
        <w:t>矿山工业场地室外消防用水包括生活室和办公室的消防用水，消防用水量按消防规范采用10L/s，火灾延续时间按2h计算，共需72m</w:t>
      </w:r>
      <w:r>
        <w:rPr>
          <w:rFonts w:hint="eastAsia"/>
          <w:color w:val="auto"/>
          <w:vertAlign w:val="superscript"/>
          <w:lang w:val="en-US" w:eastAsia="zh-CN"/>
        </w:rPr>
        <w:t>3</w:t>
      </w:r>
      <w:r>
        <w:rPr>
          <w:rFonts w:hint="eastAsia"/>
          <w:color w:val="auto"/>
          <w:lang w:val="en-US" w:eastAsia="zh-CN"/>
        </w:rPr>
        <w:t>。矿山高位水池容积120m</w:t>
      </w:r>
      <w:r>
        <w:rPr>
          <w:rFonts w:hint="default"/>
          <w:color w:val="auto"/>
          <w:vertAlign w:val="superscript"/>
          <w:lang w:val="en-US" w:eastAsia="zh-CN"/>
        </w:rPr>
        <w:t>3</w:t>
      </w:r>
      <w:r>
        <w:rPr>
          <w:rFonts w:hint="eastAsia"/>
          <w:color w:val="auto"/>
          <w:vertAlign w:val="baseline"/>
          <w:lang w:val="en-US" w:eastAsia="zh-CN"/>
        </w:rPr>
        <w:t>，能满足</w:t>
      </w:r>
      <w:r>
        <w:rPr>
          <w:rFonts w:hint="default"/>
          <w:color w:val="auto"/>
          <w:lang w:val="en-US" w:eastAsia="zh-CN"/>
        </w:rPr>
        <w:t>消防用水</w:t>
      </w:r>
      <w:r>
        <w:rPr>
          <w:rFonts w:hint="eastAsia"/>
          <w:color w:val="auto"/>
          <w:lang w:val="en-US" w:eastAsia="zh-CN"/>
        </w:rPr>
        <w:t>需求</w:t>
      </w:r>
      <w:r>
        <w:rPr>
          <w:rFonts w:hint="eastAsia"/>
          <w:color w:val="auto"/>
          <w:vertAlign w:val="baseline"/>
          <w:lang w:val="en-US" w:eastAsia="zh-CN"/>
        </w:rPr>
        <w:t>。</w:t>
      </w:r>
      <w:r>
        <w:rPr>
          <w:rFonts w:hint="default"/>
          <w:color w:val="auto"/>
          <w:lang w:val="en-US" w:eastAsia="zh-CN"/>
        </w:rPr>
        <w:t>矿区办公场所、</w:t>
      </w:r>
      <w:r>
        <w:rPr>
          <w:rFonts w:hint="eastAsia"/>
          <w:color w:val="auto"/>
          <w:lang w:val="en-US" w:eastAsia="zh-CN"/>
        </w:rPr>
        <w:t>破碎场</w:t>
      </w:r>
      <w:r>
        <w:rPr>
          <w:rFonts w:hint="default"/>
          <w:color w:val="auto"/>
          <w:lang w:val="en-US" w:eastAsia="zh-CN"/>
        </w:rPr>
        <w:t>等场所</w:t>
      </w:r>
      <w:r>
        <w:rPr>
          <w:rFonts w:hint="eastAsia"/>
          <w:color w:val="auto"/>
          <w:lang w:val="en-US" w:eastAsia="zh-CN"/>
        </w:rPr>
        <w:t>均配有消防设施，备足消防器材。采场</w:t>
      </w:r>
      <w:r>
        <w:rPr>
          <w:rFonts w:hint="default"/>
          <w:color w:val="auto"/>
          <w:lang w:val="en-US" w:eastAsia="zh-CN"/>
        </w:rPr>
        <w:t>作业设备</w:t>
      </w:r>
      <w:r>
        <w:rPr>
          <w:rFonts w:hint="eastAsia"/>
          <w:color w:val="auto"/>
          <w:lang w:val="en-US" w:eastAsia="zh-CN"/>
        </w:rPr>
        <w:t>（如自卸车等）均</w:t>
      </w:r>
      <w:r>
        <w:rPr>
          <w:rFonts w:hint="default"/>
          <w:color w:val="auto"/>
          <w:lang w:val="en-US" w:eastAsia="zh-CN"/>
        </w:rPr>
        <w:t>配有灭火器。</w:t>
      </w:r>
    </w:p>
    <w:p w14:paraId="7A673E7A">
      <w:pPr>
        <w:pStyle w:val="4"/>
        <w:bidi w:val="0"/>
        <w:rPr>
          <w:rFonts w:hint="default"/>
          <w:color w:val="auto"/>
          <w:lang w:val="en-US" w:eastAsia="zh-CN"/>
        </w:rPr>
      </w:pPr>
      <w:bookmarkStart w:id="231" w:name="_Toc30934"/>
      <w:bookmarkStart w:id="232" w:name="_Toc11707"/>
      <w:bookmarkStart w:id="233" w:name="_Toc2049"/>
      <w:bookmarkStart w:id="234" w:name="_Toc28589"/>
      <w:bookmarkStart w:id="235" w:name="_Toc29532"/>
      <w:bookmarkStart w:id="236" w:name="_Toc5058"/>
      <w:r>
        <w:rPr>
          <w:rFonts w:hint="default"/>
          <w:color w:val="auto"/>
          <w:lang w:val="en-US" w:eastAsia="zh-CN"/>
        </w:rPr>
        <w:t>2.4.</w:t>
      </w:r>
      <w:r>
        <w:rPr>
          <w:rFonts w:hint="eastAsia"/>
          <w:color w:val="auto"/>
          <w:lang w:val="en-US" w:eastAsia="zh-CN"/>
        </w:rPr>
        <w:t xml:space="preserve">10 </w:t>
      </w:r>
      <w:r>
        <w:rPr>
          <w:rFonts w:hint="default"/>
          <w:color w:val="auto"/>
          <w:lang w:val="en-US" w:eastAsia="zh-CN"/>
        </w:rPr>
        <w:t>供电系统</w:t>
      </w:r>
      <w:bookmarkEnd w:id="231"/>
      <w:bookmarkEnd w:id="232"/>
      <w:bookmarkEnd w:id="233"/>
      <w:bookmarkEnd w:id="234"/>
      <w:bookmarkEnd w:id="235"/>
      <w:bookmarkEnd w:id="236"/>
    </w:p>
    <w:p w14:paraId="52B32AD1">
      <w:pPr>
        <w:rPr>
          <w:rFonts w:hint="eastAsia"/>
          <w:color w:val="auto"/>
          <w:lang w:val="en-US" w:eastAsia="zh-CN"/>
        </w:rPr>
      </w:pPr>
      <w:r>
        <w:rPr>
          <w:rFonts w:hint="eastAsia"/>
          <w:color w:val="auto"/>
          <w:lang w:val="en-US" w:eastAsia="zh-CN"/>
        </w:rPr>
        <w:t>矿山生产设备和辅助生产设备及照明均为三级负荷。电源来自响水滩乡变电所，LGJ</w:t>
      </w:r>
      <w:r>
        <w:rPr>
          <w:rFonts w:hint="eastAsia" w:asciiTheme="minorEastAsia" w:hAnsiTheme="minorEastAsia" w:eastAsiaTheme="minorEastAsia" w:cstheme="minorEastAsia"/>
          <w:color w:val="auto"/>
          <w:lang w:val="en-US" w:eastAsia="zh-CN"/>
        </w:rPr>
        <w:t>-</w:t>
      </w:r>
      <w:r>
        <w:rPr>
          <w:rFonts w:hint="eastAsia"/>
          <w:color w:val="auto"/>
          <w:lang w:val="en-US" w:eastAsia="zh-CN"/>
        </w:rPr>
        <w:t>25架空进线至矿山低压变电所，距离1km，电压等级10kV。矿区供电变压器型号为S</w:t>
      </w:r>
      <w:r>
        <w:rPr>
          <w:rFonts w:hint="eastAsia"/>
          <w:color w:val="auto"/>
          <w:vertAlign w:val="subscript"/>
          <w:lang w:val="en-US" w:eastAsia="zh-CN"/>
        </w:rPr>
        <w:t>11</w:t>
      </w:r>
      <w:r>
        <w:rPr>
          <w:rFonts w:hint="eastAsia"/>
          <w:color w:val="auto"/>
          <w:lang w:val="en-US" w:eastAsia="zh-CN"/>
        </w:rPr>
        <w:t>-100/10kV/0.4kV、S</w:t>
      </w:r>
      <w:r>
        <w:rPr>
          <w:rFonts w:hint="eastAsia"/>
          <w:color w:val="auto"/>
          <w:vertAlign w:val="subscript"/>
          <w:lang w:val="en-US" w:eastAsia="zh-CN"/>
        </w:rPr>
        <w:t>11</w:t>
      </w:r>
      <w:r>
        <w:rPr>
          <w:rFonts w:hint="eastAsia"/>
          <w:color w:val="auto"/>
          <w:lang w:val="en-US" w:eastAsia="zh-CN"/>
        </w:rPr>
        <w:t>-500/10kV/0.4kV、S</w:t>
      </w:r>
      <w:r>
        <w:rPr>
          <w:rFonts w:hint="eastAsia"/>
          <w:color w:val="auto"/>
          <w:vertAlign w:val="subscript"/>
          <w:lang w:val="en-US" w:eastAsia="zh-CN"/>
        </w:rPr>
        <w:t>11</w:t>
      </w:r>
      <w:r>
        <w:rPr>
          <w:rFonts w:hint="eastAsia"/>
          <w:color w:val="auto"/>
          <w:lang w:val="en-US" w:eastAsia="zh-CN"/>
        </w:rPr>
        <w:t>-1000/10kV/0.4kV变压器各1台。变压器分别负责提供破碎加工、水泵、维修、生活办公照明用电电源。</w:t>
      </w:r>
    </w:p>
    <w:p w14:paraId="0B02E4B0">
      <w:pPr>
        <w:rPr>
          <w:rFonts w:hint="eastAsia"/>
          <w:color w:val="auto"/>
          <w:lang w:val="en-US" w:eastAsia="zh-CN"/>
        </w:rPr>
      </w:pPr>
      <w:r>
        <w:rPr>
          <w:rFonts w:hint="eastAsia"/>
          <w:color w:val="auto"/>
          <w:lang w:val="en-US" w:eastAsia="zh-CN"/>
        </w:rPr>
        <w:t>供电系统采用三相四线制即TN</w:t>
      </w:r>
      <w:r>
        <w:rPr>
          <w:rFonts w:hint="eastAsia" w:asciiTheme="minorEastAsia" w:hAnsiTheme="minorEastAsia" w:eastAsiaTheme="minorEastAsia" w:cstheme="minorEastAsia"/>
          <w:color w:val="auto"/>
          <w:lang w:val="en-US" w:eastAsia="zh-CN"/>
        </w:rPr>
        <w:t>-</w:t>
      </w:r>
      <w:r>
        <w:rPr>
          <w:rFonts w:hint="eastAsia"/>
          <w:color w:val="auto"/>
          <w:lang w:val="en-US" w:eastAsia="zh-CN"/>
        </w:rPr>
        <w:t>C</w:t>
      </w:r>
      <w:r>
        <w:rPr>
          <w:rFonts w:hint="eastAsia" w:asciiTheme="minorEastAsia" w:hAnsiTheme="minorEastAsia" w:eastAsiaTheme="minorEastAsia" w:cstheme="minorEastAsia"/>
          <w:color w:val="auto"/>
          <w:lang w:val="en-US" w:eastAsia="zh-CN"/>
        </w:rPr>
        <w:t>-</w:t>
      </w:r>
      <w:r>
        <w:rPr>
          <w:rFonts w:hint="eastAsia"/>
          <w:color w:val="auto"/>
          <w:lang w:val="en-US" w:eastAsia="zh-CN"/>
        </w:rPr>
        <w:t>S系统，变压器中性点接地，高压侧采用跌开式熔断器和10kV避雷器保护，低压侧的总开关采用自动空气开关，各配电点选用有检漏功能空气开关控制。</w:t>
      </w:r>
    </w:p>
    <w:p w14:paraId="0384CA07">
      <w:pPr>
        <w:rPr>
          <w:rFonts w:hint="eastAsia"/>
          <w:color w:val="auto"/>
          <w:lang w:val="en-US" w:eastAsia="zh-CN"/>
        </w:rPr>
      </w:pPr>
      <w:r>
        <w:rPr>
          <w:rFonts w:hint="eastAsia"/>
          <w:color w:val="auto"/>
          <w:lang w:val="en-US" w:eastAsia="zh-CN"/>
        </w:rPr>
        <w:t>矿山采用1班作业，采场未设置照明设施且采掘运输设备均为柴油动力，故采场工作面无用电设备。</w:t>
      </w:r>
    </w:p>
    <w:p w14:paraId="0EC21A85">
      <w:pPr>
        <w:pStyle w:val="4"/>
        <w:bidi w:val="0"/>
        <w:rPr>
          <w:rFonts w:hint="default"/>
          <w:color w:val="auto"/>
          <w:lang w:val="en-US" w:eastAsia="zh-CN"/>
        </w:rPr>
      </w:pPr>
      <w:bookmarkStart w:id="237" w:name="_Toc13416"/>
      <w:bookmarkStart w:id="238" w:name="_Toc195"/>
      <w:bookmarkStart w:id="239" w:name="_Toc21158"/>
      <w:bookmarkStart w:id="240" w:name="_Toc31066"/>
      <w:bookmarkStart w:id="241" w:name="_Toc1384"/>
      <w:bookmarkStart w:id="242" w:name="_Toc6714"/>
      <w:r>
        <w:rPr>
          <w:rFonts w:hint="default"/>
          <w:color w:val="auto"/>
          <w:lang w:val="en-US" w:eastAsia="zh-CN"/>
        </w:rPr>
        <w:t>2.4.</w:t>
      </w:r>
      <w:r>
        <w:rPr>
          <w:rFonts w:hint="eastAsia"/>
          <w:color w:val="auto"/>
          <w:lang w:val="en-US" w:eastAsia="zh-CN"/>
        </w:rPr>
        <w:t>11 供风</w:t>
      </w:r>
      <w:r>
        <w:rPr>
          <w:rFonts w:hint="default"/>
          <w:color w:val="auto"/>
          <w:lang w:val="en-US" w:eastAsia="zh-CN"/>
        </w:rPr>
        <w:t>系统</w:t>
      </w:r>
      <w:bookmarkEnd w:id="237"/>
      <w:bookmarkEnd w:id="238"/>
      <w:bookmarkEnd w:id="239"/>
      <w:bookmarkEnd w:id="240"/>
      <w:bookmarkEnd w:id="241"/>
      <w:bookmarkEnd w:id="242"/>
    </w:p>
    <w:p w14:paraId="0BB4CAA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宋体" w:eastAsia="宋体" w:cs="Times New Roman"/>
          <w:b w:val="0"/>
          <w:bCs/>
          <w:kern w:val="2"/>
          <w:sz w:val="28"/>
          <w:szCs w:val="28"/>
          <w:lang w:val="en-US" w:eastAsia="zh-CN" w:bidi="ar-SA"/>
        </w:rPr>
      </w:pPr>
      <w:bookmarkStart w:id="243" w:name="_Toc11212"/>
      <w:r>
        <w:rPr>
          <w:rFonts w:hint="eastAsia" w:ascii="Times New Roman" w:hAnsi="宋体" w:eastAsia="宋体" w:cs="Times New Roman"/>
          <w:b w:val="0"/>
          <w:bCs/>
          <w:kern w:val="2"/>
          <w:sz w:val="28"/>
          <w:szCs w:val="28"/>
          <w:lang w:val="en-US" w:eastAsia="zh-CN" w:bidi="ar-SA"/>
        </w:rPr>
        <w:t>穿孔设备自带空压机可满足供气要求。潜孔钻车配用柴油动力的空压机及自带除尘装置。</w:t>
      </w:r>
    </w:p>
    <w:p w14:paraId="3661F62E">
      <w:pPr>
        <w:pStyle w:val="4"/>
        <w:bidi w:val="0"/>
        <w:rPr>
          <w:rFonts w:hint="default"/>
          <w:color w:val="auto"/>
          <w:lang w:val="en-US" w:eastAsia="zh-CN"/>
        </w:rPr>
      </w:pPr>
      <w:bookmarkStart w:id="244" w:name="_Toc29135"/>
      <w:bookmarkStart w:id="245" w:name="_Toc11859"/>
      <w:r>
        <w:rPr>
          <w:rFonts w:hint="default"/>
          <w:color w:val="auto"/>
          <w:lang w:val="en-US" w:eastAsia="zh-CN"/>
        </w:rPr>
        <w:t>2.4.1</w:t>
      </w:r>
      <w:r>
        <w:rPr>
          <w:rFonts w:hint="eastAsia"/>
          <w:color w:val="auto"/>
          <w:lang w:val="en-US" w:eastAsia="zh-CN"/>
        </w:rPr>
        <w:t>2</w:t>
      </w:r>
      <w:r>
        <w:rPr>
          <w:rFonts w:hint="default"/>
          <w:color w:val="auto"/>
          <w:lang w:val="en-US" w:eastAsia="zh-CN"/>
        </w:rPr>
        <w:t xml:space="preserve"> </w:t>
      </w:r>
      <w:r>
        <w:rPr>
          <w:rFonts w:hint="eastAsia"/>
          <w:color w:val="auto"/>
          <w:lang w:val="en-US" w:eastAsia="zh-CN"/>
        </w:rPr>
        <w:t>通讯系统</w:t>
      </w:r>
      <w:bookmarkEnd w:id="243"/>
      <w:bookmarkEnd w:id="244"/>
      <w:bookmarkEnd w:id="245"/>
    </w:p>
    <w:p w14:paraId="66AE5276">
      <w:pPr>
        <w:pStyle w:val="7"/>
        <w:snapToGrid w:val="0"/>
        <w:ind w:firstLine="560"/>
        <w:jc w:val="both"/>
        <w:rPr>
          <w:rFonts w:hint="default" w:ascii="Times New Roman" w:hAnsi="宋体" w:eastAsia="宋体" w:cs="Times New Roman"/>
          <w:b w:val="0"/>
          <w:bCs w:val="0"/>
          <w:szCs w:val="28"/>
          <w:lang w:val="en-US" w:eastAsia="zh-CN"/>
        </w:rPr>
      </w:pPr>
      <w:bookmarkStart w:id="246" w:name="_Toc31991"/>
      <w:r>
        <w:rPr>
          <w:rFonts w:hint="eastAsia" w:ascii="Times New Roman" w:hAnsi="宋体" w:eastAsia="宋体" w:cs="Times New Roman"/>
          <w:b w:val="0"/>
          <w:bCs w:val="0"/>
          <w:szCs w:val="28"/>
          <w:lang w:val="en-US" w:eastAsia="zh-CN"/>
        </w:rPr>
        <w:t>矿山内部通信采用移动电话和对讲机作为通信方式，外部通信采用手机作为主要的通信方式。矿山已在矿区入口处安装了视频监控设备。矿山安全管理人员人配备对讲机，共有5部对讲机。安全管理人员手机24小时开通。</w:t>
      </w:r>
    </w:p>
    <w:p w14:paraId="303177AF">
      <w:pPr>
        <w:pStyle w:val="4"/>
        <w:bidi w:val="0"/>
        <w:rPr>
          <w:rFonts w:hint="default"/>
          <w:color w:val="auto"/>
          <w:lang w:val="en-US" w:eastAsia="zh-CN"/>
        </w:rPr>
      </w:pPr>
      <w:bookmarkStart w:id="247" w:name="_Toc5753"/>
      <w:bookmarkStart w:id="248" w:name="_Toc26857"/>
      <w:r>
        <w:rPr>
          <w:rFonts w:hint="default"/>
          <w:color w:val="auto"/>
          <w:lang w:val="en-US" w:eastAsia="zh-CN"/>
        </w:rPr>
        <w:t>2.4.1</w:t>
      </w:r>
      <w:r>
        <w:rPr>
          <w:rFonts w:hint="eastAsia"/>
          <w:color w:val="auto"/>
          <w:lang w:val="en-US" w:eastAsia="zh-CN"/>
        </w:rPr>
        <w:t>3</w:t>
      </w:r>
      <w:r>
        <w:rPr>
          <w:rFonts w:hint="default"/>
          <w:color w:val="auto"/>
          <w:lang w:val="en-US" w:eastAsia="zh-CN"/>
        </w:rPr>
        <w:t xml:space="preserve"> </w:t>
      </w:r>
      <w:r>
        <w:rPr>
          <w:rFonts w:hint="eastAsia"/>
          <w:color w:val="auto"/>
          <w:lang w:val="en-US" w:eastAsia="zh-CN"/>
        </w:rPr>
        <w:t>个人安全防护</w:t>
      </w:r>
      <w:bookmarkEnd w:id="246"/>
      <w:bookmarkEnd w:id="247"/>
      <w:bookmarkEnd w:id="248"/>
    </w:p>
    <w:p w14:paraId="0CD66B57">
      <w:pP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矿山按规定为每一位员工配备了安全帽、工作服、防尘口罩、手套等个人防护用品。</w:t>
      </w:r>
    </w:p>
    <w:p w14:paraId="34277ADD">
      <w:pPr>
        <w:pStyle w:val="4"/>
        <w:bidi w:val="0"/>
        <w:rPr>
          <w:rFonts w:hint="default"/>
          <w:color w:val="auto"/>
          <w:lang w:val="en-US" w:eastAsia="zh-CN"/>
        </w:rPr>
      </w:pPr>
      <w:bookmarkStart w:id="249" w:name="_Toc19544"/>
      <w:bookmarkStart w:id="250" w:name="_Toc5794"/>
      <w:bookmarkStart w:id="251" w:name="_Toc25534"/>
      <w:r>
        <w:rPr>
          <w:rFonts w:hint="default"/>
          <w:color w:val="auto"/>
          <w:lang w:val="en-US" w:eastAsia="zh-CN"/>
        </w:rPr>
        <w:t>2.4.1</w:t>
      </w:r>
      <w:r>
        <w:rPr>
          <w:rFonts w:hint="eastAsia"/>
          <w:color w:val="auto"/>
          <w:lang w:val="en-US" w:eastAsia="zh-CN"/>
        </w:rPr>
        <w:t>4</w:t>
      </w:r>
      <w:r>
        <w:rPr>
          <w:rFonts w:hint="default"/>
          <w:color w:val="auto"/>
          <w:lang w:val="en-US" w:eastAsia="zh-CN"/>
        </w:rPr>
        <w:t xml:space="preserve"> </w:t>
      </w:r>
      <w:r>
        <w:rPr>
          <w:rFonts w:hint="eastAsia"/>
          <w:color w:val="auto"/>
          <w:lang w:val="en-US" w:eastAsia="zh-CN"/>
        </w:rPr>
        <w:t>安全标志</w:t>
      </w:r>
      <w:bookmarkEnd w:id="249"/>
      <w:bookmarkEnd w:id="250"/>
      <w:bookmarkEnd w:id="251"/>
    </w:p>
    <w:p w14:paraId="3C1575CB">
      <w:pP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矿山安全标志主要有</w:t>
      </w:r>
      <w:r>
        <w:rPr>
          <w:rFonts w:hint="eastAsia" w:ascii="宋体" w:hAnsi="宋体" w:cs="宋体"/>
          <w:color w:val="auto"/>
          <w:sz w:val="28"/>
          <w:szCs w:val="28"/>
          <w:lang w:val="en-US" w:eastAsia="zh-CN"/>
        </w:rPr>
        <w:t>平台名称、</w:t>
      </w:r>
      <w:r>
        <w:rPr>
          <w:rFonts w:hint="eastAsia" w:ascii="宋体" w:hAnsi="宋体" w:eastAsia="宋体" w:cs="宋体"/>
          <w:color w:val="auto"/>
          <w:sz w:val="28"/>
          <w:szCs w:val="28"/>
          <w:lang w:val="en-US" w:eastAsia="zh-CN"/>
        </w:rPr>
        <w:t>禁止标志、警告标志、指令性标志及路标、矿山交通安全标识桩等</w:t>
      </w:r>
      <w:r>
        <w:rPr>
          <w:rFonts w:hint="eastAsia" w:ascii="宋体" w:hAnsi="宋体" w:cs="宋体"/>
          <w:color w:val="auto"/>
          <w:sz w:val="28"/>
          <w:szCs w:val="28"/>
          <w:lang w:val="en-US" w:eastAsia="zh-CN"/>
        </w:rPr>
        <w:t>五</w:t>
      </w:r>
      <w:r>
        <w:rPr>
          <w:rFonts w:hint="eastAsia" w:ascii="宋体" w:hAnsi="宋体" w:eastAsia="宋体" w:cs="宋体"/>
          <w:color w:val="auto"/>
          <w:sz w:val="28"/>
          <w:szCs w:val="28"/>
          <w:lang w:val="en-US" w:eastAsia="zh-CN"/>
        </w:rPr>
        <w:t>种。</w:t>
      </w:r>
    </w:p>
    <w:p w14:paraId="3E2FF658">
      <w:pPr>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平台名称：各平台标高牌。</w:t>
      </w:r>
    </w:p>
    <w:p w14:paraId="74BD599A">
      <w:pP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禁止标志：严禁入内、禁止靠近等。</w:t>
      </w:r>
    </w:p>
    <w:p w14:paraId="402A259B">
      <w:pP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警告标志：注意落石、有地质风险、矿区危险等。</w:t>
      </w:r>
    </w:p>
    <w:p w14:paraId="6DF41D6C">
      <w:pP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指令性标志：限速标志、车辆避险平台等。</w:t>
      </w:r>
    </w:p>
    <w:p w14:paraId="1D0561D6">
      <w:pP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路标、矿山交通安全标识桩：避炮棚、运输公路弯道标志等。</w:t>
      </w:r>
    </w:p>
    <w:p w14:paraId="263008FC">
      <w:pPr>
        <w:pStyle w:val="4"/>
        <w:bidi w:val="0"/>
        <w:rPr>
          <w:rFonts w:hint="default"/>
          <w:color w:val="auto"/>
          <w:lang w:val="en-US" w:eastAsia="zh-CN"/>
        </w:rPr>
      </w:pPr>
      <w:bookmarkStart w:id="252" w:name="_Toc3602"/>
      <w:bookmarkStart w:id="253" w:name="_Toc25254"/>
      <w:bookmarkStart w:id="254" w:name="_Toc17688"/>
      <w:bookmarkStart w:id="255" w:name="_Toc1001"/>
      <w:bookmarkStart w:id="256" w:name="_Toc9890"/>
      <w:bookmarkStart w:id="257" w:name="_Toc478"/>
      <w:r>
        <w:rPr>
          <w:rFonts w:hint="default"/>
          <w:color w:val="auto"/>
          <w:lang w:val="en-US" w:eastAsia="zh-CN"/>
        </w:rPr>
        <w:t>2.4.1</w:t>
      </w:r>
      <w:r>
        <w:rPr>
          <w:rFonts w:hint="eastAsia"/>
          <w:color w:val="auto"/>
          <w:lang w:val="en-US" w:eastAsia="zh-CN"/>
        </w:rPr>
        <w:t>5</w:t>
      </w:r>
      <w:r>
        <w:rPr>
          <w:rFonts w:hint="default"/>
          <w:color w:val="auto"/>
          <w:lang w:val="en-US" w:eastAsia="zh-CN"/>
        </w:rPr>
        <w:t xml:space="preserve"> 排土场</w:t>
      </w:r>
      <w:bookmarkEnd w:id="252"/>
      <w:bookmarkEnd w:id="253"/>
      <w:bookmarkEnd w:id="254"/>
      <w:bookmarkEnd w:id="255"/>
      <w:bookmarkEnd w:id="256"/>
      <w:bookmarkEnd w:id="257"/>
    </w:p>
    <w:p w14:paraId="5B622563">
      <w:pPr>
        <w:rPr>
          <w:rFonts w:hint="eastAsia" w:ascii="宋体" w:hAnsi="宋体" w:eastAsia="宋体" w:cs="宋体"/>
          <w:color w:val="auto"/>
          <w:sz w:val="28"/>
          <w:szCs w:val="28"/>
          <w:lang w:val="en-US" w:eastAsia="zh-CN"/>
        </w:rPr>
      </w:pPr>
      <w:r>
        <w:rPr>
          <w:rFonts w:hint="default"/>
          <w:color w:val="auto"/>
          <w:lang w:val="en-US" w:eastAsia="zh-CN"/>
        </w:rPr>
        <w:t>矿山无排土场</w:t>
      </w:r>
      <w:r>
        <w:rPr>
          <w:rFonts w:hint="eastAsia" w:ascii="宋体" w:hAnsi="宋体" w:eastAsia="宋体" w:cs="宋体"/>
          <w:color w:val="auto"/>
          <w:sz w:val="28"/>
          <w:szCs w:val="28"/>
          <w:lang w:val="en-US" w:eastAsia="zh-CN"/>
        </w:rPr>
        <w:t>。</w:t>
      </w:r>
    </w:p>
    <w:p w14:paraId="5FB402A9">
      <w:pPr>
        <w:pStyle w:val="4"/>
        <w:bidi w:val="0"/>
        <w:rPr>
          <w:rFonts w:hint="default"/>
          <w:color w:val="auto"/>
          <w:lang w:val="en-US" w:eastAsia="zh-CN"/>
        </w:rPr>
      </w:pPr>
      <w:bookmarkStart w:id="258" w:name="_Toc200"/>
      <w:bookmarkStart w:id="259" w:name="_Toc22173"/>
      <w:bookmarkStart w:id="260" w:name="_Toc9544"/>
      <w:bookmarkStart w:id="261" w:name="_Toc5579"/>
      <w:bookmarkStart w:id="262" w:name="_Toc5307"/>
      <w:bookmarkStart w:id="263" w:name="_Toc5152"/>
      <w:r>
        <w:rPr>
          <w:rFonts w:hint="eastAsia"/>
          <w:color w:val="auto"/>
          <w:lang w:val="en-US" w:eastAsia="zh-CN"/>
        </w:rPr>
        <w:t>2.4.16 主要生产设备</w:t>
      </w:r>
      <w:bookmarkEnd w:id="258"/>
      <w:bookmarkEnd w:id="259"/>
      <w:bookmarkEnd w:id="260"/>
      <w:bookmarkEnd w:id="261"/>
      <w:bookmarkEnd w:id="262"/>
      <w:bookmarkEnd w:id="263"/>
    </w:p>
    <w:p w14:paraId="4003A770">
      <w:pPr>
        <w:bidi w:val="0"/>
        <w:rPr>
          <w:rFonts w:hint="eastAsia"/>
          <w:color w:val="auto"/>
          <w:lang w:val="en-US" w:eastAsia="zh-CN"/>
        </w:rPr>
      </w:pPr>
      <w:r>
        <w:rPr>
          <w:rFonts w:hint="default"/>
          <w:color w:val="auto"/>
          <w:lang w:val="en-US" w:eastAsia="zh-CN"/>
        </w:rPr>
        <w:t>矿山主要设备见表2</w:t>
      </w:r>
      <w:r>
        <w:rPr>
          <w:rFonts w:hint="eastAsia"/>
          <w:color w:val="auto"/>
          <w:lang w:val="en-US" w:eastAsia="zh-CN"/>
        </w:rPr>
        <w:t>.4-2。</w:t>
      </w:r>
    </w:p>
    <w:p w14:paraId="4FA51CF5">
      <w:pPr>
        <w:bidi w:val="0"/>
        <w:ind w:left="0" w:leftChars="0" w:firstLine="0" w:firstLineChars="0"/>
        <w:jc w:val="center"/>
        <w:rPr>
          <w:rFonts w:hint="eastAsia"/>
          <w:color w:val="auto"/>
          <w:lang w:val="en-US" w:eastAsia="zh-CN"/>
        </w:rPr>
      </w:pPr>
      <w:r>
        <w:rPr>
          <w:rFonts w:hint="default"/>
          <w:color w:val="auto"/>
          <w:lang w:val="en-US" w:eastAsia="zh-CN"/>
        </w:rPr>
        <w:t>表2</w:t>
      </w:r>
      <w:r>
        <w:rPr>
          <w:rFonts w:hint="eastAsia"/>
          <w:color w:val="auto"/>
          <w:lang w:val="en-US" w:eastAsia="zh-CN"/>
        </w:rPr>
        <w:t>.4-2 矿山主要设备表</w:t>
      </w:r>
    </w:p>
    <w:tbl>
      <w:tblPr>
        <w:tblStyle w:val="2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2370"/>
        <w:gridCol w:w="3151"/>
        <w:gridCol w:w="726"/>
        <w:gridCol w:w="726"/>
        <w:gridCol w:w="1565"/>
      </w:tblGrid>
      <w:tr w14:paraId="1991D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400" w:type="pct"/>
            <w:noWrap w:val="0"/>
            <w:vAlign w:val="center"/>
          </w:tcPr>
          <w:p w14:paraId="2326FF7D">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vertAlign w:val="baseline"/>
                <w:lang w:val="en-US" w:eastAsia="zh-CN" w:bidi="ar"/>
              </w:rPr>
            </w:pPr>
            <w:r>
              <w:rPr>
                <w:rFonts w:hint="eastAsia" w:ascii="Times New Roman" w:hAnsi="Times New Roman" w:cs="Times New Roman"/>
                <w:b/>
                <w:bCs/>
                <w:color w:val="auto"/>
                <w:kern w:val="2"/>
                <w:sz w:val="21"/>
                <w:szCs w:val="21"/>
                <w:vertAlign w:val="baseline"/>
                <w:lang w:val="en-US" w:eastAsia="zh-CN" w:bidi="ar"/>
              </w:rPr>
              <w:t>序号</w:t>
            </w:r>
          </w:p>
        </w:tc>
        <w:tc>
          <w:tcPr>
            <w:tcW w:w="1276" w:type="pct"/>
            <w:noWrap w:val="0"/>
            <w:vAlign w:val="center"/>
          </w:tcPr>
          <w:p w14:paraId="1B0F3E52">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vertAlign w:val="baseline"/>
                <w:lang w:val="en-US" w:eastAsia="zh-CN" w:bidi="ar"/>
              </w:rPr>
            </w:pPr>
            <w:r>
              <w:rPr>
                <w:rFonts w:hint="eastAsia" w:cs="Times New Roman"/>
                <w:b/>
                <w:bCs/>
                <w:color w:val="auto"/>
                <w:kern w:val="2"/>
                <w:sz w:val="21"/>
                <w:szCs w:val="21"/>
                <w:vertAlign w:val="baseline"/>
                <w:lang w:val="en-US" w:eastAsia="zh-CN" w:bidi="ar"/>
              </w:rPr>
              <w:t>设备</w:t>
            </w:r>
            <w:r>
              <w:rPr>
                <w:rFonts w:hint="eastAsia" w:ascii="Times New Roman" w:hAnsi="Times New Roman" w:eastAsia="宋体" w:cs="Times New Roman"/>
                <w:b/>
                <w:bCs/>
                <w:color w:val="auto"/>
                <w:kern w:val="2"/>
                <w:sz w:val="21"/>
                <w:szCs w:val="21"/>
                <w:vertAlign w:val="baseline"/>
                <w:lang w:val="en-US" w:eastAsia="zh-CN" w:bidi="ar"/>
              </w:rPr>
              <w:t>名称</w:t>
            </w:r>
          </w:p>
        </w:tc>
        <w:tc>
          <w:tcPr>
            <w:tcW w:w="1697" w:type="pct"/>
            <w:noWrap w:val="0"/>
            <w:vAlign w:val="center"/>
          </w:tcPr>
          <w:p w14:paraId="1504DFF6">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vertAlign w:val="baseline"/>
                <w:lang w:val="en-US" w:eastAsia="zh-CN" w:bidi="ar"/>
              </w:rPr>
            </w:pPr>
            <w:r>
              <w:rPr>
                <w:rFonts w:hint="eastAsia" w:cs="Times New Roman"/>
                <w:b/>
                <w:bCs/>
                <w:color w:val="auto"/>
                <w:kern w:val="2"/>
                <w:sz w:val="21"/>
                <w:szCs w:val="21"/>
                <w:vertAlign w:val="baseline"/>
                <w:lang w:val="en-US" w:eastAsia="zh-CN" w:bidi="ar"/>
              </w:rPr>
              <w:t>规格</w:t>
            </w:r>
            <w:r>
              <w:rPr>
                <w:rFonts w:hint="eastAsia" w:ascii="Times New Roman" w:hAnsi="Times New Roman" w:cs="Times New Roman"/>
                <w:b/>
                <w:bCs/>
                <w:color w:val="auto"/>
                <w:kern w:val="2"/>
                <w:sz w:val="21"/>
                <w:szCs w:val="21"/>
                <w:vertAlign w:val="baseline"/>
                <w:lang w:val="en-US" w:eastAsia="zh-CN" w:bidi="ar"/>
              </w:rPr>
              <w:t>型号</w:t>
            </w:r>
          </w:p>
        </w:tc>
        <w:tc>
          <w:tcPr>
            <w:tcW w:w="391" w:type="pct"/>
            <w:noWrap w:val="0"/>
            <w:vAlign w:val="center"/>
          </w:tcPr>
          <w:p w14:paraId="3370BAFC">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kern w:val="2"/>
                <w:sz w:val="21"/>
                <w:szCs w:val="21"/>
                <w:vertAlign w:val="baseline"/>
                <w:lang w:val="en-US" w:eastAsia="zh-CN" w:bidi="ar"/>
              </w:rPr>
            </w:pPr>
            <w:r>
              <w:rPr>
                <w:rFonts w:hint="eastAsia" w:cs="Times New Roman"/>
                <w:b/>
                <w:bCs/>
                <w:color w:val="auto"/>
                <w:kern w:val="2"/>
                <w:sz w:val="21"/>
                <w:szCs w:val="21"/>
                <w:vertAlign w:val="baseline"/>
                <w:lang w:val="en-US" w:eastAsia="zh-CN" w:bidi="ar"/>
              </w:rPr>
              <w:t>单位</w:t>
            </w:r>
          </w:p>
        </w:tc>
        <w:tc>
          <w:tcPr>
            <w:tcW w:w="391" w:type="pct"/>
            <w:noWrap w:val="0"/>
            <w:vAlign w:val="center"/>
          </w:tcPr>
          <w:p w14:paraId="6FC421BF">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kern w:val="2"/>
                <w:sz w:val="21"/>
                <w:szCs w:val="21"/>
                <w:vertAlign w:val="baseline"/>
                <w:lang w:val="en-US" w:eastAsia="zh-CN" w:bidi="ar"/>
              </w:rPr>
            </w:pPr>
            <w:r>
              <w:rPr>
                <w:rFonts w:hint="eastAsia" w:cs="Times New Roman"/>
                <w:b/>
                <w:bCs/>
                <w:color w:val="auto"/>
                <w:kern w:val="2"/>
                <w:sz w:val="21"/>
                <w:szCs w:val="21"/>
                <w:vertAlign w:val="baseline"/>
                <w:lang w:val="en-US" w:eastAsia="zh-CN" w:bidi="ar"/>
              </w:rPr>
              <w:t>数量</w:t>
            </w:r>
          </w:p>
        </w:tc>
        <w:tc>
          <w:tcPr>
            <w:tcW w:w="843" w:type="pct"/>
            <w:noWrap w:val="0"/>
            <w:vAlign w:val="center"/>
          </w:tcPr>
          <w:p w14:paraId="424DE951">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kern w:val="2"/>
                <w:sz w:val="21"/>
                <w:szCs w:val="21"/>
                <w:vertAlign w:val="baseline"/>
                <w:lang w:val="en-US" w:eastAsia="zh-CN" w:bidi="ar"/>
              </w:rPr>
            </w:pPr>
            <w:r>
              <w:rPr>
                <w:rFonts w:hint="eastAsia" w:cs="Times New Roman"/>
                <w:b/>
                <w:bCs/>
                <w:color w:val="auto"/>
                <w:kern w:val="2"/>
                <w:sz w:val="21"/>
                <w:szCs w:val="21"/>
                <w:vertAlign w:val="baseline"/>
                <w:lang w:val="en-US" w:eastAsia="zh-CN" w:bidi="ar"/>
              </w:rPr>
              <w:t>备注</w:t>
            </w:r>
          </w:p>
        </w:tc>
      </w:tr>
      <w:tr w14:paraId="1BE45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400" w:type="pct"/>
            <w:noWrap w:val="0"/>
            <w:vAlign w:val="center"/>
          </w:tcPr>
          <w:p w14:paraId="13B96A3D">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ascii="Times New Roman" w:hAnsi="Times New Roman" w:eastAsia="宋体" w:cs="Times New Roman"/>
                <w:color w:val="auto"/>
                <w:kern w:val="2"/>
                <w:sz w:val="21"/>
                <w:szCs w:val="21"/>
                <w:vertAlign w:val="baseline"/>
                <w:lang w:val="en-US" w:eastAsia="zh-CN" w:bidi="ar"/>
              </w:rPr>
              <w:t>1</w:t>
            </w:r>
          </w:p>
        </w:tc>
        <w:tc>
          <w:tcPr>
            <w:tcW w:w="1276" w:type="pct"/>
            <w:noWrap w:val="0"/>
            <w:vAlign w:val="center"/>
          </w:tcPr>
          <w:p w14:paraId="6E1A55DF">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ascii="Times New Roman" w:hAnsi="Times New Roman" w:eastAsia="宋体" w:cs="Times New Roman"/>
                <w:color w:val="auto"/>
                <w:kern w:val="2"/>
                <w:sz w:val="21"/>
                <w:szCs w:val="21"/>
                <w:vertAlign w:val="baseline"/>
                <w:lang w:val="en-US" w:eastAsia="zh-CN" w:bidi="ar"/>
              </w:rPr>
              <w:t>履带式露天潜孔钻车</w:t>
            </w:r>
          </w:p>
        </w:tc>
        <w:tc>
          <w:tcPr>
            <w:tcW w:w="1697" w:type="pct"/>
            <w:noWrap w:val="0"/>
            <w:vAlign w:val="center"/>
          </w:tcPr>
          <w:p w14:paraId="1030094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ascii="Times New Roman" w:hAnsi="Times New Roman" w:eastAsia="宋体" w:cs="Times New Roman"/>
                <w:color w:val="auto"/>
                <w:kern w:val="2"/>
                <w:sz w:val="21"/>
                <w:szCs w:val="21"/>
                <w:vertAlign w:val="baseline"/>
                <w:lang w:val="en-US" w:eastAsia="zh-CN" w:bidi="ar"/>
              </w:rPr>
              <w:t>HC420，自带柴油压风机</w:t>
            </w:r>
          </w:p>
        </w:tc>
        <w:tc>
          <w:tcPr>
            <w:tcW w:w="391" w:type="pct"/>
            <w:noWrap w:val="0"/>
            <w:vAlign w:val="center"/>
          </w:tcPr>
          <w:p w14:paraId="0E926C84">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台</w:t>
            </w:r>
          </w:p>
        </w:tc>
        <w:tc>
          <w:tcPr>
            <w:tcW w:w="391" w:type="pct"/>
            <w:noWrap w:val="0"/>
            <w:vAlign w:val="center"/>
          </w:tcPr>
          <w:p w14:paraId="5F861E15">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2</w:t>
            </w:r>
          </w:p>
        </w:tc>
        <w:tc>
          <w:tcPr>
            <w:tcW w:w="843" w:type="pct"/>
            <w:noWrap w:val="0"/>
            <w:vAlign w:val="center"/>
          </w:tcPr>
          <w:p w14:paraId="1D0BE6F8">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p>
        </w:tc>
      </w:tr>
      <w:tr w14:paraId="3FEA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400" w:type="pct"/>
            <w:noWrap w:val="0"/>
            <w:vAlign w:val="center"/>
          </w:tcPr>
          <w:p w14:paraId="1C901FD0">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ascii="Times New Roman" w:hAnsi="Times New Roman" w:eastAsia="宋体" w:cs="Times New Roman"/>
                <w:color w:val="auto"/>
                <w:kern w:val="2"/>
                <w:sz w:val="21"/>
                <w:szCs w:val="21"/>
                <w:vertAlign w:val="baseline"/>
                <w:lang w:val="en-US" w:eastAsia="zh-CN" w:bidi="ar"/>
              </w:rPr>
              <w:t>2</w:t>
            </w:r>
          </w:p>
        </w:tc>
        <w:tc>
          <w:tcPr>
            <w:tcW w:w="1276" w:type="pct"/>
            <w:noWrap w:val="0"/>
            <w:vAlign w:val="center"/>
          </w:tcPr>
          <w:p w14:paraId="56AD257B">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水泵（供水）</w:t>
            </w:r>
          </w:p>
        </w:tc>
        <w:tc>
          <w:tcPr>
            <w:tcW w:w="1697" w:type="pct"/>
            <w:noWrap w:val="0"/>
            <w:vAlign w:val="center"/>
          </w:tcPr>
          <w:p w14:paraId="4D26D6FC">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ascii="Times New Roman" w:hAnsi="Times New Roman" w:eastAsia="宋体" w:cs="Times New Roman"/>
                <w:color w:val="auto"/>
                <w:kern w:val="2"/>
                <w:sz w:val="21"/>
                <w:szCs w:val="21"/>
                <w:vertAlign w:val="baseline"/>
                <w:lang w:val="en-US" w:eastAsia="zh-CN" w:bidi="ar"/>
              </w:rPr>
              <w:t>90QJD2-112/26-1.5YDA</w:t>
            </w:r>
          </w:p>
        </w:tc>
        <w:tc>
          <w:tcPr>
            <w:tcW w:w="391" w:type="pct"/>
            <w:noWrap w:val="0"/>
            <w:vAlign w:val="center"/>
          </w:tcPr>
          <w:p w14:paraId="6140F1E6">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台</w:t>
            </w:r>
          </w:p>
        </w:tc>
        <w:tc>
          <w:tcPr>
            <w:tcW w:w="391" w:type="pct"/>
            <w:noWrap w:val="0"/>
            <w:vAlign w:val="center"/>
          </w:tcPr>
          <w:p w14:paraId="6A251EC3">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2</w:t>
            </w:r>
          </w:p>
        </w:tc>
        <w:tc>
          <w:tcPr>
            <w:tcW w:w="843" w:type="pct"/>
            <w:noWrap w:val="0"/>
            <w:vAlign w:val="center"/>
          </w:tcPr>
          <w:p w14:paraId="6DD4A0B6">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其中备用1台</w:t>
            </w:r>
          </w:p>
        </w:tc>
      </w:tr>
      <w:tr w14:paraId="6E03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00" w:type="pct"/>
            <w:noWrap w:val="0"/>
            <w:vAlign w:val="center"/>
          </w:tcPr>
          <w:p w14:paraId="5B239C60">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ascii="Times New Roman" w:hAnsi="Times New Roman" w:eastAsia="宋体" w:cs="Times New Roman"/>
                <w:color w:val="auto"/>
                <w:kern w:val="2"/>
                <w:sz w:val="21"/>
                <w:szCs w:val="21"/>
                <w:vertAlign w:val="baseline"/>
                <w:lang w:val="en-US" w:eastAsia="zh-CN" w:bidi="ar"/>
              </w:rPr>
              <w:t>3</w:t>
            </w:r>
          </w:p>
        </w:tc>
        <w:tc>
          <w:tcPr>
            <w:tcW w:w="1276" w:type="pct"/>
            <w:noWrap w:val="0"/>
            <w:vAlign w:val="center"/>
          </w:tcPr>
          <w:p w14:paraId="629565BF">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ascii="Times New Roman" w:hAnsi="Times New Roman" w:eastAsia="宋体" w:cs="Times New Roman"/>
                <w:color w:val="auto"/>
                <w:kern w:val="2"/>
                <w:sz w:val="21"/>
                <w:szCs w:val="21"/>
                <w:vertAlign w:val="baseline"/>
                <w:lang w:val="en-US" w:eastAsia="zh-CN" w:bidi="ar"/>
              </w:rPr>
              <w:t>液压</w:t>
            </w:r>
            <w:r>
              <w:rPr>
                <w:rFonts w:hint="default" w:ascii="Times New Roman" w:hAnsi="Times New Roman" w:eastAsia="宋体" w:cs="Times New Roman"/>
                <w:color w:val="auto"/>
                <w:kern w:val="2"/>
                <w:sz w:val="21"/>
                <w:szCs w:val="21"/>
                <w:vertAlign w:val="baseline"/>
                <w:lang w:val="en-US" w:eastAsia="zh-CN" w:bidi="ar"/>
              </w:rPr>
              <w:t>挖掘机</w:t>
            </w:r>
          </w:p>
        </w:tc>
        <w:tc>
          <w:tcPr>
            <w:tcW w:w="1697" w:type="pct"/>
            <w:noWrap w:val="0"/>
            <w:vAlign w:val="center"/>
          </w:tcPr>
          <w:p w14:paraId="338A83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ascii="Times New Roman" w:hAnsi="Times New Roman" w:eastAsia="宋体" w:cs="Times New Roman"/>
                <w:color w:val="auto"/>
                <w:kern w:val="2"/>
                <w:sz w:val="21"/>
                <w:szCs w:val="21"/>
                <w:vertAlign w:val="baseline"/>
                <w:lang w:val="en-US" w:eastAsia="zh-CN" w:bidi="ar"/>
              </w:rPr>
              <w:t>柳工CLG933EHD，1.88m</w:t>
            </w:r>
            <w:r>
              <w:rPr>
                <w:rFonts w:hint="eastAsia" w:ascii="Times New Roman" w:hAnsi="Times New Roman" w:eastAsia="宋体" w:cs="Times New Roman"/>
                <w:color w:val="auto"/>
                <w:kern w:val="2"/>
                <w:sz w:val="21"/>
                <w:szCs w:val="21"/>
                <w:vertAlign w:val="superscript"/>
                <w:lang w:val="en-US" w:eastAsia="zh-CN" w:bidi="ar"/>
              </w:rPr>
              <w:t>3</w:t>
            </w:r>
          </w:p>
        </w:tc>
        <w:tc>
          <w:tcPr>
            <w:tcW w:w="391" w:type="pct"/>
            <w:noWrap w:val="0"/>
            <w:vAlign w:val="center"/>
          </w:tcPr>
          <w:p w14:paraId="6F584A00">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台</w:t>
            </w:r>
          </w:p>
        </w:tc>
        <w:tc>
          <w:tcPr>
            <w:tcW w:w="391" w:type="pct"/>
            <w:noWrap w:val="0"/>
            <w:vAlign w:val="center"/>
          </w:tcPr>
          <w:p w14:paraId="1757CD9D">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3</w:t>
            </w:r>
          </w:p>
        </w:tc>
        <w:tc>
          <w:tcPr>
            <w:tcW w:w="843" w:type="pct"/>
            <w:noWrap w:val="0"/>
            <w:vAlign w:val="center"/>
          </w:tcPr>
          <w:p w14:paraId="46204C5E">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p>
        </w:tc>
      </w:tr>
      <w:tr w14:paraId="3105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400" w:type="pct"/>
            <w:noWrap w:val="0"/>
            <w:vAlign w:val="center"/>
          </w:tcPr>
          <w:p w14:paraId="66EAF805">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ascii="Times New Roman" w:hAnsi="Times New Roman" w:eastAsia="宋体" w:cs="Times New Roman"/>
                <w:color w:val="auto"/>
                <w:kern w:val="2"/>
                <w:sz w:val="21"/>
                <w:szCs w:val="21"/>
                <w:vertAlign w:val="baseline"/>
                <w:lang w:val="en-US" w:eastAsia="zh-CN" w:bidi="ar"/>
              </w:rPr>
              <w:t>4</w:t>
            </w:r>
          </w:p>
        </w:tc>
        <w:tc>
          <w:tcPr>
            <w:tcW w:w="1276" w:type="pct"/>
            <w:noWrap w:val="0"/>
            <w:vAlign w:val="center"/>
          </w:tcPr>
          <w:p w14:paraId="237551C1">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default" w:ascii="Times New Roman" w:hAnsi="Times New Roman" w:eastAsia="宋体" w:cs="Times New Roman"/>
                <w:color w:val="auto"/>
                <w:kern w:val="2"/>
                <w:sz w:val="21"/>
                <w:szCs w:val="21"/>
                <w:vertAlign w:val="baseline"/>
                <w:lang w:val="en-US" w:eastAsia="zh-CN" w:bidi="ar"/>
              </w:rPr>
              <w:t>装载机</w:t>
            </w:r>
          </w:p>
        </w:tc>
        <w:tc>
          <w:tcPr>
            <w:tcW w:w="1697" w:type="pct"/>
            <w:noWrap w:val="0"/>
            <w:vAlign w:val="center"/>
          </w:tcPr>
          <w:p w14:paraId="5B31FF45">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50型，3</w:t>
            </w:r>
            <w:r>
              <w:rPr>
                <w:rFonts w:hint="eastAsia" w:ascii="Times New Roman" w:hAnsi="Times New Roman" w:eastAsia="宋体" w:cs="Times New Roman"/>
                <w:color w:val="auto"/>
                <w:kern w:val="2"/>
                <w:sz w:val="21"/>
                <w:szCs w:val="21"/>
                <w:vertAlign w:val="baseline"/>
                <w:lang w:val="en-US" w:eastAsia="zh-CN" w:bidi="ar"/>
              </w:rPr>
              <w:t>m</w:t>
            </w:r>
            <w:r>
              <w:rPr>
                <w:rFonts w:hint="eastAsia" w:ascii="Times New Roman" w:hAnsi="Times New Roman" w:eastAsia="宋体" w:cs="Times New Roman"/>
                <w:color w:val="auto"/>
                <w:kern w:val="2"/>
                <w:sz w:val="21"/>
                <w:szCs w:val="21"/>
                <w:vertAlign w:val="superscript"/>
                <w:lang w:val="en-US" w:eastAsia="zh-CN" w:bidi="ar"/>
              </w:rPr>
              <w:t>3</w:t>
            </w:r>
          </w:p>
        </w:tc>
        <w:tc>
          <w:tcPr>
            <w:tcW w:w="391" w:type="pct"/>
            <w:noWrap w:val="0"/>
            <w:vAlign w:val="center"/>
          </w:tcPr>
          <w:p w14:paraId="1BC2DDAC">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台</w:t>
            </w:r>
          </w:p>
        </w:tc>
        <w:tc>
          <w:tcPr>
            <w:tcW w:w="391" w:type="pct"/>
            <w:noWrap w:val="0"/>
            <w:vAlign w:val="center"/>
          </w:tcPr>
          <w:p w14:paraId="55D82702">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1</w:t>
            </w:r>
          </w:p>
        </w:tc>
        <w:tc>
          <w:tcPr>
            <w:tcW w:w="843" w:type="pct"/>
            <w:noWrap w:val="0"/>
            <w:vAlign w:val="center"/>
          </w:tcPr>
          <w:p w14:paraId="16F10B31">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p>
        </w:tc>
      </w:tr>
      <w:tr w14:paraId="5355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0" w:type="pct"/>
            <w:noWrap w:val="0"/>
            <w:vAlign w:val="center"/>
          </w:tcPr>
          <w:p w14:paraId="7B851332">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ascii="Times New Roman" w:hAnsi="Times New Roman" w:eastAsia="宋体" w:cs="Times New Roman"/>
                <w:color w:val="auto"/>
                <w:kern w:val="2"/>
                <w:sz w:val="21"/>
                <w:szCs w:val="21"/>
                <w:vertAlign w:val="baseline"/>
                <w:lang w:val="en-US" w:eastAsia="zh-CN" w:bidi="ar"/>
              </w:rPr>
              <w:t>5</w:t>
            </w:r>
          </w:p>
        </w:tc>
        <w:tc>
          <w:tcPr>
            <w:tcW w:w="1276" w:type="pct"/>
            <w:noWrap w:val="0"/>
            <w:vAlign w:val="center"/>
          </w:tcPr>
          <w:p w14:paraId="20AC0E64">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default" w:ascii="Times New Roman" w:hAnsi="Times New Roman" w:eastAsia="宋体" w:cs="Times New Roman"/>
                <w:color w:val="auto"/>
                <w:kern w:val="2"/>
                <w:sz w:val="21"/>
                <w:szCs w:val="21"/>
                <w:vertAlign w:val="baseline"/>
                <w:lang w:val="en-US" w:eastAsia="zh-CN" w:bidi="ar"/>
              </w:rPr>
              <w:t>自卸</w:t>
            </w:r>
            <w:r>
              <w:rPr>
                <w:rFonts w:hint="eastAsia" w:ascii="Times New Roman" w:hAnsi="Times New Roman" w:eastAsia="宋体" w:cs="Times New Roman"/>
                <w:color w:val="auto"/>
                <w:kern w:val="2"/>
                <w:sz w:val="21"/>
                <w:szCs w:val="21"/>
                <w:vertAlign w:val="baseline"/>
                <w:lang w:val="en-US" w:eastAsia="zh-CN" w:bidi="ar"/>
              </w:rPr>
              <w:t>汽车</w:t>
            </w:r>
          </w:p>
        </w:tc>
        <w:tc>
          <w:tcPr>
            <w:tcW w:w="1697" w:type="pct"/>
            <w:noWrap w:val="0"/>
            <w:vAlign w:val="center"/>
          </w:tcPr>
          <w:p w14:paraId="1723258E">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载重量15t</w:t>
            </w:r>
          </w:p>
        </w:tc>
        <w:tc>
          <w:tcPr>
            <w:tcW w:w="391" w:type="pct"/>
            <w:noWrap w:val="0"/>
            <w:vAlign w:val="center"/>
          </w:tcPr>
          <w:p w14:paraId="373AF8A3">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辆</w:t>
            </w:r>
          </w:p>
        </w:tc>
        <w:tc>
          <w:tcPr>
            <w:tcW w:w="391" w:type="pct"/>
            <w:noWrap w:val="0"/>
            <w:vAlign w:val="center"/>
          </w:tcPr>
          <w:p w14:paraId="71F603BC">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5</w:t>
            </w:r>
          </w:p>
        </w:tc>
        <w:tc>
          <w:tcPr>
            <w:tcW w:w="843" w:type="pct"/>
            <w:noWrap w:val="0"/>
            <w:vAlign w:val="center"/>
          </w:tcPr>
          <w:p w14:paraId="188D5953">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外委社会运力运输</w:t>
            </w:r>
          </w:p>
        </w:tc>
      </w:tr>
      <w:tr w14:paraId="7D225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400" w:type="pct"/>
            <w:noWrap w:val="0"/>
            <w:vAlign w:val="center"/>
          </w:tcPr>
          <w:p w14:paraId="590E78B8">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ascii="Times New Roman" w:hAnsi="Times New Roman" w:eastAsia="宋体" w:cs="Times New Roman"/>
                <w:color w:val="auto"/>
                <w:kern w:val="2"/>
                <w:sz w:val="21"/>
                <w:szCs w:val="21"/>
                <w:vertAlign w:val="baseline"/>
                <w:lang w:val="en-US" w:eastAsia="zh-CN" w:bidi="ar"/>
              </w:rPr>
              <w:t>6</w:t>
            </w:r>
          </w:p>
        </w:tc>
        <w:tc>
          <w:tcPr>
            <w:tcW w:w="1276" w:type="pct"/>
            <w:noWrap w:val="0"/>
            <w:vAlign w:val="center"/>
          </w:tcPr>
          <w:p w14:paraId="731EBD4B">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default" w:ascii="Times New Roman" w:hAnsi="Times New Roman" w:eastAsia="宋体" w:cs="Times New Roman"/>
                <w:color w:val="auto"/>
                <w:kern w:val="2"/>
                <w:sz w:val="21"/>
                <w:szCs w:val="21"/>
                <w:vertAlign w:val="baseline"/>
                <w:lang w:val="en-US" w:eastAsia="zh-CN" w:bidi="ar"/>
              </w:rPr>
              <w:t>变压器</w:t>
            </w:r>
          </w:p>
        </w:tc>
        <w:tc>
          <w:tcPr>
            <w:tcW w:w="1697" w:type="pct"/>
            <w:noWrap w:val="0"/>
            <w:vAlign w:val="center"/>
          </w:tcPr>
          <w:p w14:paraId="4A465ABA">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olor w:val="auto"/>
                <w:lang w:val="en-US" w:eastAsia="zh-CN"/>
              </w:rPr>
              <w:t>S</w:t>
            </w:r>
            <w:r>
              <w:rPr>
                <w:rFonts w:hint="eastAsia"/>
                <w:color w:val="auto"/>
                <w:vertAlign w:val="subscript"/>
                <w:lang w:val="en-US" w:eastAsia="zh-CN"/>
              </w:rPr>
              <w:t>11</w:t>
            </w:r>
            <w:r>
              <w:rPr>
                <w:rFonts w:hint="eastAsia"/>
                <w:color w:val="auto"/>
                <w:lang w:val="en-US" w:eastAsia="zh-CN"/>
              </w:rPr>
              <w:t>-100/10kV/0.4kV</w:t>
            </w:r>
          </w:p>
        </w:tc>
        <w:tc>
          <w:tcPr>
            <w:tcW w:w="391" w:type="pct"/>
            <w:noWrap w:val="0"/>
            <w:vAlign w:val="center"/>
          </w:tcPr>
          <w:p w14:paraId="0FA6DF4B">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台</w:t>
            </w:r>
          </w:p>
        </w:tc>
        <w:tc>
          <w:tcPr>
            <w:tcW w:w="391" w:type="pct"/>
            <w:noWrap w:val="0"/>
            <w:vAlign w:val="center"/>
          </w:tcPr>
          <w:p w14:paraId="3BD9D5EE">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1</w:t>
            </w:r>
          </w:p>
        </w:tc>
        <w:tc>
          <w:tcPr>
            <w:tcW w:w="843" w:type="pct"/>
            <w:noWrap w:val="0"/>
            <w:vAlign w:val="center"/>
          </w:tcPr>
          <w:p w14:paraId="5EA60420">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p>
        </w:tc>
      </w:tr>
      <w:tr w14:paraId="5173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400" w:type="pct"/>
            <w:noWrap w:val="0"/>
            <w:vAlign w:val="center"/>
          </w:tcPr>
          <w:p w14:paraId="25EC248D">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ascii="Times New Roman" w:hAnsi="Times New Roman" w:eastAsia="宋体" w:cs="Times New Roman"/>
                <w:color w:val="auto"/>
                <w:kern w:val="2"/>
                <w:sz w:val="21"/>
                <w:szCs w:val="21"/>
                <w:vertAlign w:val="baseline"/>
                <w:lang w:val="en-US" w:eastAsia="zh-CN" w:bidi="ar"/>
              </w:rPr>
              <w:t>7</w:t>
            </w:r>
          </w:p>
        </w:tc>
        <w:tc>
          <w:tcPr>
            <w:tcW w:w="1276" w:type="pct"/>
            <w:noWrap w:val="0"/>
            <w:vAlign w:val="center"/>
          </w:tcPr>
          <w:p w14:paraId="00DC1433">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default" w:ascii="Times New Roman" w:hAnsi="Times New Roman" w:eastAsia="宋体" w:cs="Times New Roman"/>
                <w:color w:val="auto"/>
                <w:kern w:val="2"/>
                <w:sz w:val="21"/>
                <w:szCs w:val="21"/>
                <w:vertAlign w:val="baseline"/>
                <w:lang w:val="en-US" w:eastAsia="zh-CN" w:bidi="ar"/>
              </w:rPr>
              <w:t>变压器</w:t>
            </w:r>
          </w:p>
        </w:tc>
        <w:tc>
          <w:tcPr>
            <w:tcW w:w="1697" w:type="pct"/>
            <w:noWrap w:val="0"/>
            <w:vAlign w:val="center"/>
          </w:tcPr>
          <w:p w14:paraId="565EC7FB">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olor w:val="auto"/>
                <w:lang w:val="en-US" w:eastAsia="zh-CN"/>
              </w:rPr>
              <w:t>S</w:t>
            </w:r>
            <w:r>
              <w:rPr>
                <w:rFonts w:hint="eastAsia"/>
                <w:color w:val="auto"/>
                <w:vertAlign w:val="subscript"/>
                <w:lang w:val="en-US" w:eastAsia="zh-CN"/>
              </w:rPr>
              <w:t>11</w:t>
            </w:r>
            <w:r>
              <w:rPr>
                <w:rFonts w:hint="eastAsia"/>
                <w:color w:val="auto"/>
                <w:lang w:val="en-US" w:eastAsia="zh-CN"/>
              </w:rPr>
              <w:t>-500/10kV/0.4kV</w:t>
            </w:r>
          </w:p>
        </w:tc>
        <w:tc>
          <w:tcPr>
            <w:tcW w:w="391" w:type="pct"/>
            <w:noWrap w:val="0"/>
            <w:vAlign w:val="center"/>
          </w:tcPr>
          <w:p w14:paraId="7E79FD03">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台</w:t>
            </w:r>
          </w:p>
        </w:tc>
        <w:tc>
          <w:tcPr>
            <w:tcW w:w="391" w:type="pct"/>
            <w:noWrap w:val="0"/>
            <w:vAlign w:val="center"/>
          </w:tcPr>
          <w:p w14:paraId="596D12CA">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1</w:t>
            </w:r>
          </w:p>
        </w:tc>
        <w:tc>
          <w:tcPr>
            <w:tcW w:w="843" w:type="pct"/>
            <w:noWrap w:val="0"/>
            <w:vAlign w:val="center"/>
          </w:tcPr>
          <w:p w14:paraId="2100E87A">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p>
        </w:tc>
      </w:tr>
      <w:tr w14:paraId="3FEF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00" w:type="pct"/>
            <w:noWrap w:val="0"/>
            <w:vAlign w:val="center"/>
          </w:tcPr>
          <w:p w14:paraId="584B96EC">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ascii="Times New Roman" w:hAnsi="Times New Roman" w:eastAsia="宋体" w:cs="Times New Roman"/>
                <w:color w:val="auto"/>
                <w:kern w:val="2"/>
                <w:sz w:val="21"/>
                <w:szCs w:val="21"/>
                <w:vertAlign w:val="baseline"/>
                <w:lang w:val="en-US" w:eastAsia="zh-CN" w:bidi="ar"/>
              </w:rPr>
              <w:t>8</w:t>
            </w:r>
          </w:p>
        </w:tc>
        <w:tc>
          <w:tcPr>
            <w:tcW w:w="1276" w:type="pct"/>
            <w:noWrap w:val="0"/>
            <w:vAlign w:val="center"/>
          </w:tcPr>
          <w:p w14:paraId="36E59803">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default" w:ascii="Times New Roman" w:hAnsi="Times New Roman" w:eastAsia="宋体" w:cs="Times New Roman"/>
                <w:color w:val="auto"/>
                <w:kern w:val="2"/>
                <w:sz w:val="21"/>
                <w:szCs w:val="21"/>
                <w:vertAlign w:val="baseline"/>
                <w:lang w:val="en-US" w:eastAsia="zh-CN" w:bidi="ar"/>
              </w:rPr>
              <w:t>变压器</w:t>
            </w:r>
          </w:p>
        </w:tc>
        <w:tc>
          <w:tcPr>
            <w:tcW w:w="1697" w:type="pct"/>
            <w:noWrap w:val="0"/>
            <w:vAlign w:val="center"/>
          </w:tcPr>
          <w:p w14:paraId="011A89C7">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olor w:val="auto"/>
                <w:lang w:val="en-US" w:eastAsia="zh-CN"/>
              </w:rPr>
              <w:t>S</w:t>
            </w:r>
            <w:r>
              <w:rPr>
                <w:rFonts w:hint="eastAsia"/>
                <w:color w:val="auto"/>
                <w:vertAlign w:val="subscript"/>
                <w:lang w:val="en-US" w:eastAsia="zh-CN"/>
              </w:rPr>
              <w:t>11</w:t>
            </w:r>
            <w:r>
              <w:rPr>
                <w:rFonts w:hint="eastAsia"/>
                <w:color w:val="auto"/>
                <w:lang w:val="en-US" w:eastAsia="zh-CN"/>
              </w:rPr>
              <w:t>-1000/10kV/0.4kV</w:t>
            </w:r>
          </w:p>
        </w:tc>
        <w:tc>
          <w:tcPr>
            <w:tcW w:w="391" w:type="pct"/>
            <w:noWrap w:val="0"/>
            <w:vAlign w:val="center"/>
          </w:tcPr>
          <w:p w14:paraId="67955C54">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台</w:t>
            </w:r>
          </w:p>
        </w:tc>
        <w:tc>
          <w:tcPr>
            <w:tcW w:w="391" w:type="pct"/>
            <w:noWrap w:val="0"/>
            <w:vAlign w:val="center"/>
          </w:tcPr>
          <w:p w14:paraId="10619219">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1</w:t>
            </w:r>
          </w:p>
        </w:tc>
        <w:tc>
          <w:tcPr>
            <w:tcW w:w="843" w:type="pct"/>
            <w:noWrap w:val="0"/>
            <w:vAlign w:val="center"/>
          </w:tcPr>
          <w:p w14:paraId="0A34AD6F">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p>
        </w:tc>
      </w:tr>
      <w:tr w14:paraId="1FACF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400" w:type="pct"/>
            <w:noWrap w:val="0"/>
            <w:vAlign w:val="center"/>
          </w:tcPr>
          <w:p w14:paraId="7FDEC935">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ascii="Times New Roman" w:hAnsi="Times New Roman" w:eastAsia="宋体" w:cs="Times New Roman"/>
                <w:color w:val="auto"/>
                <w:kern w:val="2"/>
                <w:sz w:val="21"/>
                <w:szCs w:val="21"/>
                <w:vertAlign w:val="baseline"/>
                <w:lang w:val="en-US" w:eastAsia="zh-CN" w:bidi="ar"/>
              </w:rPr>
              <w:t>9</w:t>
            </w:r>
          </w:p>
        </w:tc>
        <w:tc>
          <w:tcPr>
            <w:tcW w:w="1276" w:type="pct"/>
            <w:noWrap w:val="0"/>
            <w:vAlign w:val="center"/>
          </w:tcPr>
          <w:p w14:paraId="7C747312">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洒水车</w:t>
            </w:r>
          </w:p>
        </w:tc>
        <w:tc>
          <w:tcPr>
            <w:tcW w:w="1697" w:type="pct"/>
            <w:noWrap w:val="0"/>
            <w:vAlign w:val="center"/>
          </w:tcPr>
          <w:p w14:paraId="4CD24F7D">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p>
        </w:tc>
        <w:tc>
          <w:tcPr>
            <w:tcW w:w="391" w:type="pct"/>
            <w:noWrap w:val="0"/>
            <w:vAlign w:val="center"/>
          </w:tcPr>
          <w:p w14:paraId="0E81F000">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辆</w:t>
            </w:r>
          </w:p>
        </w:tc>
        <w:tc>
          <w:tcPr>
            <w:tcW w:w="391" w:type="pct"/>
            <w:noWrap w:val="0"/>
            <w:vAlign w:val="center"/>
          </w:tcPr>
          <w:p w14:paraId="543E8B83">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r>
              <w:rPr>
                <w:rFonts w:hint="eastAsia" w:cs="Times New Roman"/>
                <w:color w:val="auto"/>
                <w:kern w:val="2"/>
                <w:sz w:val="21"/>
                <w:szCs w:val="21"/>
                <w:vertAlign w:val="baseline"/>
                <w:lang w:val="en-US" w:eastAsia="zh-CN" w:bidi="ar"/>
              </w:rPr>
              <w:t>1</w:t>
            </w:r>
          </w:p>
        </w:tc>
        <w:tc>
          <w:tcPr>
            <w:tcW w:w="843" w:type="pct"/>
            <w:noWrap w:val="0"/>
            <w:vAlign w:val="center"/>
          </w:tcPr>
          <w:p w14:paraId="3A2D8EF9">
            <w:pPr>
              <w:pStyle w:val="19"/>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
              </w:rPr>
            </w:pPr>
          </w:p>
        </w:tc>
      </w:tr>
    </w:tbl>
    <w:p w14:paraId="3A6DA3E3">
      <w:pPr>
        <w:pStyle w:val="3"/>
        <w:bidi w:val="0"/>
        <w:rPr>
          <w:rFonts w:hint="default"/>
          <w:color w:val="FF0000"/>
          <w:shd w:val="clear" w:color="auto" w:fill="auto"/>
          <w:lang w:val="en-US" w:eastAsia="zh-CN"/>
        </w:rPr>
      </w:pPr>
      <w:bookmarkStart w:id="264" w:name="_Toc7468"/>
      <w:bookmarkStart w:id="265" w:name="_Toc15320"/>
      <w:bookmarkStart w:id="266" w:name="_Toc17411"/>
      <w:bookmarkStart w:id="267" w:name="_Toc24551"/>
      <w:bookmarkStart w:id="268" w:name="_Toc3572"/>
      <w:bookmarkStart w:id="269" w:name="_Toc26707"/>
      <w:r>
        <w:rPr>
          <w:rFonts w:hint="default"/>
          <w:color w:val="auto"/>
          <w:shd w:val="clear" w:color="auto" w:fill="auto"/>
          <w:lang w:val="en-US" w:eastAsia="zh-CN"/>
        </w:rPr>
        <w:t>2.5 矿山安全管理</w:t>
      </w:r>
      <w:bookmarkEnd w:id="264"/>
      <w:bookmarkEnd w:id="265"/>
      <w:bookmarkEnd w:id="266"/>
      <w:bookmarkEnd w:id="267"/>
      <w:bookmarkEnd w:id="268"/>
      <w:bookmarkEnd w:id="269"/>
    </w:p>
    <w:p w14:paraId="74F72812">
      <w:pPr>
        <w:pStyle w:val="4"/>
        <w:bidi w:val="0"/>
        <w:rPr>
          <w:rFonts w:hint="default"/>
          <w:color w:val="auto"/>
          <w:lang w:val="en-US" w:eastAsia="zh-CN"/>
        </w:rPr>
      </w:pPr>
      <w:bookmarkStart w:id="270" w:name="_Toc11607"/>
      <w:bookmarkStart w:id="271" w:name="_Toc31598"/>
      <w:bookmarkStart w:id="272" w:name="_Toc12505"/>
      <w:bookmarkStart w:id="273" w:name="_Toc11587"/>
      <w:bookmarkStart w:id="274" w:name="_Toc26235"/>
      <w:bookmarkStart w:id="275" w:name="_Toc12037"/>
      <w:r>
        <w:rPr>
          <w:rFonts w:hint="default"/>
          <w:color w:val="auto"/>
          <w:lang w:val="en-US" w:eastAsia="zh-CN"/>
        </w:rPr>
        <w:t>2.5.1 安全生产组织机构</w:t>
      </w:r>
      <w:bookmarkEnd w:id="270"/>
      <w:bookmarkEnd w:id="271"/>
      <w:bookmarkEnd w:id="272"/>
      <w:bookmarkEnd w:id="273"/>
      <w:bookmarkEnd w:id="274"/>
      <w:bookmarkEnd w:id="275"/>
    </w:p>
    <w:p w14:paraId="630B64FA">
      <w:pPr>
        <w:bidi w:val="0"/>
        <w:rPr>
          <w:rFonts w:hint="eastAsia"/>
          <w:color w:val="auto"/>
          <w:lang w:val="en-US" w:eastAsia="zh-CN"/>
        </w:rPr>
      </w:pPr>
      <w:r>
        <w:rPr>
          <w:rFonts w:hint="eastAsia"/>
          <w:color w:val="auto"/>
          <w:lang w:val="en-US" w:eastAsia="zh-CN"/>
        </w:rPr>
        <w:t>2026年1月5日，鄱阳县金义矿产有限公司</w:t>
      </w:r>
      <w:r>
        <w:rPr>
          <w:rFonts w:hint="default"/>
          <w:color w:val="auto"/>
          <w:lang w:val="en-US" w:eastAsia="zh-CN"/>
        </w:rPr>
        <w:t>以文件的形式下发成立</w:t>
      </w:r>
      <w:r>
        <w:rPr>
          <w:rFonts w:hint="eastAsia"/>
          <w:color w:val="auto"/>
          <w:lang w:val="en-US" w:eastAsia="zh-CN"/>
        </w:rPr>
        <w:t>了</w:t>
      </w:r>
      <w:r>
        <w:rPr>
          <w:rFonts w:hint="default"/>
          <w:color w:val="auto"/>
          <w:lang w:val="en-US" w:eastAsia="zh-CN"/>
        </w:rPr>
        <w:t>安全生产领导小组</w:t>
      </w:r>
      <w:r>
        <w:rPr>
          <w:rFonts w:hint="eastAsia"/>
          <w:color w:val="auto"/>
          <w:lang w:val="en-US" w:eastAsia="zh-CN"/>
        </w:rPr>
        <w:t>。</w:t>
      </w:r>
    </w:p>
    <w:p w14:paraId="0BDE7A19">
      <w:pPr>
        <w:bidi w:val="0"/>
        <w:rPr>
          <w:rFonts w:hint="default"/>
          <w:color w:val="auto"/>
          <w:lang w:val="en-US" w:eastAsia="zh-CN"/>
        </w:rPr>
      </w:pPr>
      <w:r>
        <w:rPr>
          <w:rFonts w:hint="default"/>
          <w:color w:val="auto"/>
          <w:lang w:val="en-US" w:eastAsia="zh-CN"/>
        </w:rPr>
        <w:t>安全生产领导小组</w:t>
      </w:r>
      <w:r>
        <w:rPr>
          <w:rFonts w:hint="eastAsia"/>
          <w:color w:val="auto"/>
          <w:lang w:val="en-US" w:eastAsia="zh-CN"/>
        </w:rPr>
        <w:t>成员如下：</w:t>
      </w:r>
    </w:p>
    <w:p w14:paraId="7F9A393D">
      <w:pPr>
        <w:bidi w:val="0"/>
        <w:rPr>
          <w:rFonts w:hint="default"/>
          <w:color w:val="auto"/>
          <w:lang w:val="en-US" w:eastAsia="zh-CN"/>
        </w:rPr>
      </w:pPr>
      <w:r>
        <w:rPr>
          <w:rFonts w:hint="default"/>
          <w:color w:val="auto"/>
          <w:lang w:val="en-US" w:eastAsia="zh-CN"/>
        </w:rPr>
        <w:t>组</w:t>
      </w:r>
      <w:r>
        <w:rPr>
          <w:rFonts w:hint="eastAsia"/>
          <w:color w:val="auto"/>
          <w:lang w:val="en-US" w:eastAsia="zh-CN"/>
        </w:rPr>
        <w:t xml:space="preserve">  </w:t>
      </w:r>
      <w:r>
        <w:rPr>
          <w:rFonts w:hint="default"/>
          <w:color w:val="auto"/>
          <w:lang w:val="en-US" w:eastAsia="zh-CN"/>
        </w:rPr>
        <w:t>长</w:t>
      </w:r>
      <w:r>
        <w:rPr>
          <w:rFonts w:hint="eastAsia"/>
          <w:color w:val="auto"/>
          <w:lang w:val="en-US" w:eastAsia="zh-CN"/>
        </w:rPr>
        <w:t>：</w:t>
      </w:r>
      <w:r>
        <w:rPr>
          <w:rFonts w:hint="default"/>
          <w:color w:val="auto"/>
          <w:lang w:val="en-US" w:eastAsia="zh-CN"/>
        </w:rPr>
        <w:t>李志明</w:t>
      </w:r>
    </w:p>
    <w:p w14:paraId="650041CC">
      <w:pPr>
        <w:bidi w:val="0"/>
        <w:rPr>
          <w:rFonts w:hint="default"/>
          <w:color w:val="auto"/>
          <w:lang w:val="en-US" w:eastAsia="zh-CN"/>
        </w:rPr>
      </w:pPr>
      <w:r>
        <w:rPr>
          <w:rFonts w:hint="default"/>
          <w:color w:val="auto"/>
          <w:lang w:val="en-US" w:eastAsia="zh-CN"/>
        </w:rPr>
        <w:t>副组长</w:t>
      </w:r>
      <w:r>
        <w:rPr>
          <w:rFonts w:hint="eastAsia"/>
          <w:color w:val="auto"/>
          <w:lang w:val="en-US" w:eastAsia="zh-CN"/>
        </w:rPr>
        <w:t>：</w:t>
      </w:r>
      <w:r>
        <w:rPr>
          <w:rFonts w:hint="default"/>
          <w:color w:val="auto"/>
          <w:lang w:val="en-US" w:eastAsia="zh-CN"/>
        </w:rPr>
        <w:t>李海斌</w:t>
      </w:r>
    </w:p>
    <w:p w14:paraId="4EF4D411">
      <w:pPr>
        <w:bidi w:val="0"/>
        <w:rPr>
          <w:rFonts w:hint="default"/>
          <w:color w:val="auto"/>
          <w:lang w:val="en-US" w:eastAsia="zh-CN"/>
        </w:rPr>
      </w:pPr>
      <w:r>
        <w:rPr>
          <w:rFonts w:hint="default"/>
          <w:color w:val="auto"/>
          <w:lang w:val="en-US" w:eastAsia="zh-CN"/>
        </w:rPr>
        <w:t>成</w:t>
      </w:r>
      <w:r>
        <w:rPr>
          <w:rFonts w:hint="eastAsia"/>
          <w:color w:val="auto"/>
          <w:lang w:val="en-US" w:eastAsia="zh-CN"/>
        </w:rPr>
        <w:t xml:space="preserve">  </w:t>
      </w:r>
      <w:r>
        <w:rPr>
          <w:rFonts w:hint="default"/>
          <w:color w:val="auto"/>
          <w:lang w:val="en-US" w:eastAsia="zh-CN"/>
        </w:rPr>
        <w:t>员</w:t>
      </w:r>
      <w:r>
        <w:rPr>
          <w:rFonts w:hint="eastAsia"/>
          <w:color w:val="auto"/>
          <w:lang w:val="en-US" w:eastAsia="zh-CN"/>
        </w:rPr>
        <w:t>：</w:t>
      </w:r>
      <w:r>
        <w:rPr>
          <w:rFonts w:hint="default"/>
          <w:color w:val="auto"/>
          <w:lang w:val="en-US" w:eastAsia="zh-CN"/>
        </w:rPr>
        <w:t>李智化、张贺林、王先银、熊孝安</w:t>
      </w:r>
    </w:p>
    <w:p w14:paraId="534716BF">
      <w:pPr>
        <w:bidi w:val="0"/>
        <w:rPr>
          <w:rFonts w:hint="default"/>
          <w:color w:val="auto"/>
          <w:lang w:val="en-US" w:eastAsia="zh-CN"/>
        </w:rPr>
      </w:pPr>
      <w:r>
        <w:rPr>
          <w:rFonts w:hint="default"/>
          <w:color w:val="auto"/>
          <w:lang w:val="en-US" w:eastAsia="zh-CN"/>
        </w:rPr>
        <w:t>领导小组下设办公室，负责日常安全管理工作</w:t>
      </w:r>
      <w:r>
        <w:rPr>
          <w:rFonts w:hint="eastAsia"/>
          <w:color w:val="auto"/>
          <w:lang w:val="en-US" w:eastAsia="zh-CN"/>
        </w:rPr>
        <w:t>；</w:t>
      </w:r>
      <w:r>
        <w:rPr>
          <w:rFonts w:hint="default"/>
          <w:color w:val="auto"/>
          <w:lang w:val="en-US" w:eastAsia="zh-CN"/>
        </w:rPr>
        <w:t>李海斌、李智化为现场专职安全员，负责矿山安全生产具体事务性工作</w:t>
      </w:r>
      <w:r>
        <w:rPr>
          <w:rFonts w:hint="eastAsia"/>
          <w:color w:val="auto"/>
          <w:lang w:val="en-US" w:eastAsia="zh-CN"/>
        </w:rPr>
        <w:t>。</w:t>
      </w:r>
    </w:p>
    <w:p w14:paraId="2D9BBBC5">
      <w:pPr>
        <w:pStyle w:val="4"/>
        <w:bidi w:val="0"/>
        <w:rPr>
          <w:rFonts w:hint="default"/>
          <w:color w:val="0000FF"/>
          <w:lang w:val="en-US" w:eastAsia="zh-CN"/>
        </w:rPr>
      </w:pPr>
      <w:bookmarkStart w:id="276" w:name="_Toc11810"/>
      <w:bookmarkStart w:id="277" w:name="_Toc19027"/>
      <w:bookmarkStart w:id="278" w:name="_Toc29488"/>
      <w:bookmarkStart w:id="279" w:name="_Toc7323"/>
      <w:bookmarkStart w:id="280" w:name="_Toc11570"/>
      <w:bookmarkStart w:id="281" w:name="_Toc18586"/>
      <w:r>
        <w:rPr>
          <w:rFonts w:hint="default"/>
          <w:color w:val="auto"/>
          <w:lang w:val="en-US" w:eastAsia="zh-CN"/>
        </w:rPr>
        <w:t>2.</w:t>
      </w:r>
      <w:r>
        <w:rPr>
          <w:rFonts w:hint="eastAsia"/>
          <w:color w:val="auto"/>
          <w:lang w:val="en-US" w:eastAsia="zh-CN"/>
        </w:rPr>
        <w:t>5</w:t>
      </w:r>
      <w:r>
        <w:rPr>
          <w:rFonts w:hint="default"/>
          <w:color w:val="auto"/>
          <w:lang w:val="en-US" w:eastAsia="zh-CN"/>
        </w:rPr>
        <w:t>.2 安全生产管理规章制度</w:t>
      </w:r>
      <w:bookmarkEnd w:id="276"/>
      <w:bookmarkEnd w:id="277"/>
      <w:bookmarkEnd w:id="278"/>
      <w:bookmarkEnd w:id="279"/>
      <w:bookmarkEnd w:id="280"/>
      <w:bookmarkEnd w:id="281"/>
    </w:p>
    <w:p w14:paraId="1BFB3B45">
      <w:pPr>
        <w:bidi w:val="0"/>
        <w:rPr>
          <w:rFonts w:hint="default"/>
          <w:color w:val="auto"/>
          <w:lang w:val="en-US" w:eastAsia="zh-CN"/>
        </w:rPr>
      </w:pPr>
      <w:r>
        <w:rPr>
          <w:rFonts w:hint="eastAsia"/>
          <w:color w:val="auto"/>
          <w:lang w:val="en-US" w:eastAsia="zh-CN"/>
        </w:rPr>
        <w:t>1. 安全管理制度</w:t>
      </w:r>
    </w:p>
    <w:p w14:paraId="74038993">
      <w:pPr>
        <w:pStyle w:val="7"/>
        <w:snapToGrid w:val="0"/>
        <w:ind w:firstLine="560"/>
        <w:jc w:val="both"/>
        <w:rPr>
          <w:rFonts w:hint="eastAsia" w:ascii="Times New Roman" w:hAnsi="宋体" w:eastAsia="宋体" w:cs="Times New Roman"/>
          <w:b w:val="0"/>
          <w:bCs w:val="0"/>
          <w:color w:val="auto"/>
          <w:szCs w:val="28"/>
          <w:lang w:val="en-US" w:eastAsia="zh-CN"/>
        </w:rPr>
      </w:pPr>
      <w:r>
        <w:rPr>
          <w:rFonts w:hint="eastAsia" w:ascii="Times New Roman" w:hAnsi="宋体" w:eastAsia="宋体" w:cs="Times New Roman"/>
          <w:b w:val="0"/>
          <w:bCs w:val="0"/>
          <w:color w:val="auto"/>
          <w:szCs w:val="28"/>
          <w:lang w:val="en-US" w:eastAsia="zh-CN"/>
        </w:rPr>
        <w:t>矿山制定了全员岗位安全生产责任制，包括了董事长（法人）、总经理、各部长、车间班组长、安全员、各工人等安全生产责任制，安全生产责任制基本覆盖。</w:t>
      </w:r>
    </w:p>
    <w:p w14:paraId="50EF2AE5">
      <w:pPr>
        <w:bidi w:val="0"/>
        <w:rPr>
          <w:rFonts w:hint="default"/>
          <w:color w:val="auto"/>
          <w:lang w:val="en-US" w:eastAsia="zh-CN"/>
        </w:rPr>
      </w:pPr>
      <w:r>
        <w:rPr>
          <w:rFonts w:hint="eastAsia"/>
          <w:color w:val="auto"/>
          <w:lang w:val="en-US" w:eastAsia="zh-CN"/>
        </w:rPr>
        <w:t>2. 安全生产责任制</w:t>
      </w:r>
    </w:p>
    <w:p w14:paraId="026364DF">
      <w:pPr>
        <w:pStyle w:val="7"/>
        <w:bidi w:val="0"/>
        <w:rPr>
          <w:rFonts w:hint="default" w:ascii="Times New Roman" w:hAnsi="宋体" w:eastAsia="宋体" w:cs="Times New Roman"/>
          <w:b w:val="0"/>
          <w:bCs w:val="0"/>
          <w:color w:val="auto"/>
          <w:szCs w:val="28"/>
          <w:lang w:val="en-US" w:eastAsia="zh-CN"/>
        </w:rPr>
      </w:pPr>
      <w:r>
        <w:rPr>
          <w:rFonts w:hint="eastAsia" w:ascii="Times New Roman" w:hAnsi="宋体" w:eastAsia="宋体" w:cs="Times New Roman"/>
          <w:b w:val="0"/>
          <w:bCs w:val="0"/>
          <w:color w:val="auto"/>
          <w:szCs w:val="28"/>
          <w:lang w:val="en-US" w:eastAsia="zh-CN"/>
        </w:rPr>
        <w:t>矿山制定了安全生产目标管理、安全生产例会、安全检查、安全培训教育、生产技术管理、安全生产责任制考核等管理制度，建立的安全生产管理制度</w:t>
      </w:r>
      <w:r>
        <w:rPr>
          <w:rFonts w:hint="eastAsia" w:ascii="Times New Roman" w:hAnsi="宋体" w:cs="Times New Roman"/>
          <w:b w:val="0"/>
          <w:bCs w:val="0"/>
          <w:color w:val="auto"/>
          <w:szCs w:val="28"/>
          <w:lang w:val="en-US" w:eastAsia="zh-CN"/>
        </w:rPr>
        <w:t>较为</w:t>
      </w:r>
      <w:r>
        <w:rPr>
          <w:rFonts w:hint="eastAsia" w:ascii="Times New Roman" w:hAnsi="宋体" w:eastAsia="宋体" w:cs="Times New Roman"/>
          <w:b w:val="0"/>
          <w:bCs w:val="0"/>
          <w:color w:val="auto"/>
          <w:szCs w:val="28"/>
          <w:lang w:val="en-US" w:eastAsia="zh-CN"/>
        </w:rPr>
        <w:t>全面。</w:t>
      </w:r>
    </w:p>
    <w:p w14:paraId="0C52526C">
      <w:pPr>
        <w:bidi w:val="0"/>
        <w:rPr>
          <w:rFonts w:hint="default"/>
          <w:color w:val="auto"/>
          <w:lang w:val="en-US" w:eastAsia="zh-CN"/>
        </w:rPr>
      </w:pPr>
      <w:r>
        <w:rPr>
          <w:rFonts w:hint="eastAsia"/>
          <w:color w:val="auto"/>
          <w:lang w:val="en-US" w:eastAsia="zh-CN"/>
        </w:rPr>
        <w:t>3. 操作规程</w:t>
      </w:r>
    </w:p>
    <w:p w14:paraId="00C2D892">
      <w:pPr>
        <w:bidi w:val="0"/>
        <w:rPr>
          <w:rFonts w:hint="default"/>
          <w:color w:val="auto"/>
          <w:lang w:val="en-US" w:eastAsia="zh-CN"/>
        </w:rPr>
      </w:pPr>
      <w:r>
        <w:rPr>
          <w:rFonts w:hint="default"/>
          <w:color w:val="auto"/>
          <w:lang w:val="en-US" w:eastAsia="zh-CN"/>
        </w:rPr>
        <w:t>矿山制定了穿孔工</w:t>
      </w:r>
      <w:r>
        <w:rPr>
          <w:rFonts w:hint="eastAsia"/>
          <w:color w:val="auto"/>
          <w:lang w:val="en-US" w:eastAsia="zh-CN"/>
        </w:rPr>
        <w:t>、挖掘机司机、铲车司机</w:t>
      </w:r>
      <w:r>
        <w:rPr>
          <w:rFonts w:hint="default"/>
          <w:color w:val="auto"/>
          <w:lang w:val="en-US" w:eastAsia="zh-CN"/>
        </w:rPr>
        <w:t>和</w:t>
      </w:r>
      <w:r>
        <w:rPr>
          <w:rFonts w:hint="eastAsia"/>
          <w:color w:val="auto"/>
          <w:lang w:val="en-US" w:eastAsia="zh-CN"/>
        </w:rPr>
        <w:t>采场作业等</w:t>
      </w:r>
      <w:r>
        <w:rPr>
          <w:rFonts w:hint="default"/>
          <w:color w:val="auto"/>
          <w:lang w:val="en-US" w:eastAsia="zh-CN"/>
        </w:rPr>
        <w:t>安全操作规程</w:t>
      </w:r>
      <w:r>
        <w:rPr>
          <w:rFonts w:hint="eastAsia"/>
          <w:color w:val="auto"/>
          <w:lang w:val="en-US" w:eastAsia="zh-CN"/>
        </w:rPr>
        <w:t>，安全操作规程较齐全。</w:t>
      </w:r>
    </w:p>
    <w:p w14:paraId="51578975">
      <w:pPr>
        <w:pStyle w:val="4"/>
        <w:bidi w:val="0"/>
        <w:rPr>
          <w:rFonts w:hint="default"/>
          <w:color w:val="auto"/>
          <w:lang w:val="en-US" w:eastAsia="zh-CN"/>
        </w:rPr>
      </w:pPr>
      <w:bookmarkStart w:id="282" w:name="_Toc20217"/>
      <w:bookmarkStart w:id="283" w:name="_Toc31814"/>
      <w:bookmarkStart w:id="284" w:name="_Toc15914"/>
      <w:bookmarkStart w:id="285" w:name="_Toc18125"/>
      <w:bookmarkStart w:id="286" w:name="_Toc30277"/>
      <w:bookmarkStart w:id="287" w:name="_Toc3099"/>
      <w:r>
        <w:rPr>
          <w:rFonts w:hint="eastAsia"/>
          <w:color w:val="auto"/>
          <w:lang w:val="en-US" w:eastAsia="zh-CN"/>
        </w:rPr>
        <w:t>2.5.3 安全教育培训</w:t>
      </w:r>
      <w:bookmarkEnd w:id="282"/>
      <w:bookmarkEnd w:id="283"/>
      <w:bookmarkEnd w:id="284"/>
      <w:bookmarkEnd w:id="285"/>
      <w:bookmarkEnd w:id="286"/>
      <w:bookmarkEnd w:id="287"/>
    </w:p>
    <w:p w14:paraId="08B81267">
      <w:pPr>
        <w:bidi w:val="0"/>
        <w:rPr>
          <w:rFonts w:hint="default"/>
          <w:color w:val="auto"/>
          <w:lang w:val="en-US" w:eastAsia="zh-CN"/>
        </w:rPr>
      </w:pPr>
      <w:r>
        <w:rPr>
          <w:rFonts w:hint="eastAsia"/>
          <w:color w:val="auto"/>
          <w:lang w:eastAsia="zh-CN"/>
        </w:rPr>
        <w:t>鄱阳县金义矿产有限公司</w:t>
      </w:r>
      <w:r>
        <w:rPr>
          <w:rFonts w:hint="default"/>
          <w:color w:val="auto"/>
          <w:lang w:val="en-US" w:eastAsia="zh-CN"/>
        </w:rPr>
        <w:t>对</w:t>
      </w:r>
      <w:r>
        <w:rPr>
          <w:rFonts w:hint="eastAsia"/>
          <w:color w:val="auto"/>
          <w:lang w:val="en-US" w:eastAsia="zh-CN"/>
        </w:rPr>
        <w:t>新进</w:t>
      </w:r>
      <w:r>
        <w:rPr>
          <w:rFonts w:hint="default"/>
          <w:color w:val="auto"/>
          <w:lang w:val="en-US" w:eastAsia="zh-CN"/>
        </w:rPr>
        <w:t>人员进行了</w:t>
      </w:r>
      <w:r>
        <w:rPr>
          <w:rFonts w:hint="eastAsia" w:ascii="宋体" w:hAnsi="宋体" w:eastAsia="宋体" w:cs="宋体"/>
          <w:color w:val="auto"/>
          <w:lang w:val="en-US" w:eastAsia="zh-CN"/>
        </w:rPr>
        <w:t>“</w:t>
      </w:r>
      <w:r>
        <w:rPr>
          <w:rFonts w:hint="default"/>
          <w:color w:val="auto"/>
          <w:lang w:val="en-US" w:eastAsia="zh-CN"/>
        </w:rPr>
        <w:t>三级</w:t>
      </w:r>
      <w:r>
        <w:rPr>
          <w:rFonts w:hint="eastAsia" w:ascii="宋体" w:hAnsi="宋体" w:eastAsia="宋体" w:cs="宋体"/>
          <w:color w:val="auto"/>
          <w:lang w:val="en-US" w:eastAsia="zh-CN"/>
        </w:rPr>
        <w:t>”</w:t>
      </w:r>
      <w:r>
        <w:rPr>
          <w:rFonts w:hint="default"/>
          <w:color w:val="auto"/>
          <w:lang w:val="en-US" w:eastAsia="zh-CN"/>
        </w:rPr>
        <w:t>安全教育，同时根据国家的安全生产法规和政策要求，进行</w:t>
      </w:r>
      <w:r>
        <w:rPr>
          <w:rFonts w:hint="eastAsia"/>
          <w:color w:val="auto"/>
          <w:lang w:val="en-US" w:eastAsia="zh-CN"/>
        </w:rPr>
        <w:t>了从业人员</w:t>
      </w:r>
      <w:r>
        <w:rPr>
          <w:rFonts w:hint="default"/>
          <w:color w:val="auto"/>
          <w:lang w:val="en-US" w:eastAsia="zh-CN"/>
        </w:rPr>
        <w:t>日常教育和专题教育。主要负责人和安全管理人员</w:t>
      </w:r>
      <w:r>
        <w:rPr>
          <w:rFonts w:hint="eastAsia"/>
          <w:color w:val="auto"/>
          <w:lang w:val="en-US" w:eastAsia="zh-CN"/>
        </w:rPr>
        <w:t>已报名参加金属非金属矿山（露天矿山）培训，该培训将于2026年6月开班（有上饶市安泰职业技能培训证明）；</w:t>
      </w:r>
      <w:r>
        <w:rPr>
          <w:rFonts w:hint="default"/>
          <w:color w:val="auto"/>
          <w:lang w:val="en-US" w:eastAsia="zh-CN"/>
        </w:rPr>
        <w:t>企业配备了采矿</w:t>
      </w:r>
      <w:r>
        <w:rPr>
          <w:rFonts w:hint="eastAsia"/>
          <w:color w:val="auto"/>
          <w:lang w:val="en-US" w:eastAsia="zh-CN"/>
        </w:rPr>
        <w:t>、地质、机电</w:t>
      </w:r>
      <w:r>
        <w:rPr>
          <w:rFonts w:hint="default"/>
          <w:color w:val="auto"/>
          <w:lang w:val="en-US" w:eastAsia="zh-CN"/>
        </w:rPr>
        <w:t>专业技术人员</w:t>
      </w:r>
      <w:r>
        <w:rPr>
          <w:rFonts w:hint="eastAsia"/>
          <w:color w:val="auto"/>
          <w:lang w:val="en-US" w:eastAsia="zh-CN"/>
        </w:rPr>
        <w:t>。矿山暂无特种作业人员，矿山根据需要委外人员进行特种作业。</w:t>
      </w:r>
    </w:p>
    <w:p w14:paraId="3A71F846">
      <w:pPr>
        <w:pStyle w:val="4"/>
        <w:bidi w:val="0"/>
        <w:rPr>
          <w:rFonts w:hint="default"/>
          <w:color w:val="auto"/>
          <w:lang w:val="en-US" w:eastAsia="zh-CN"/>
        </w:rPr>
      </w:pPr>
      <w:bookmarkStart w:id="288" w:name="_Toc5409"/>
      <w:bookmarkStart w:id="289" w:name="_Toc3464"/>
      <w:bookmarkStart w:id="290" w:name="_Toc23713"/>
      <w:bookmarkStart w:id="291" w:name="_Toc4360"/>
      <w:bookmarkStart w:id="292" w:name="_Toc7688"/>
      <w:bookmarkStart w:id="293" w:name="_Toc1697"/>
      <w:r>
        <w:rPr>
          <w:rFonts w:hint="default"/>
          <w:color w:val="auto"/>
          <w:lang w:val="en-US" w:eastAsia="zh-CN"/>
        </w:rPr>
        <w:t>2.5.</w:t>
      </w:r>
      <w:r>
        <w:rPr>
          <w:rFonts w:hint="eastAsia"/>
          <w:color w:val="auto"/>
          <w:lang w:val="en-US" w:eastAsia="zh-CN"/>
        </w:rPr>
        <w:t>4</w:t>
      </w:r>
      <w:r>
        <w:rPr>
          <w:rFonts w:hint="default"/>
          <w:color w:val="auto"/>
          <w:lang w:val="en-US" w:eastAsia="zh-CN"/>
        </w:rPr>
        <w:t xml:space="preserve"> 安全标准化运行情况</w:t>
      </w:r>
      <w:bookmarkEnd w:id="288"/>
      <w:bookmarkEnd w:id="289"/>
      <w:bookmarkEnd w:id="290"/>
      <w:bookmarkEnd w:id="291"/>
      <w:bookmarkEnd w:id="292"/>
      <w:bookmarkEnd w:id="293"/>
    </w:p>
    <w:p w14:paraId="17866628">
      <w:pPr>
        <w:bidi w:val="0"/>
        <w:rPr>
          <w:rFonts w:hint="default"/>
          <w:color w:val="auto"/>
          <w:lang w:val="en-US" w:eastAsia="zh-CN"/>
        </w:rPr>
      </w:pPr>
      <w:r>
        <w:rPr>
          <w:rFonts w:hint="eastAsia"/>
          <w:color w:val="auto"/>
          <w:lang w:val="en-US" w:eastAsia="zh-CN"/>
        </w:rPr>
        <w:t>鄱阳县响水滩乡禾互山建筑用石料矿于</w:t>
      </w:r>
      <w:r>
        <w:rPr>
          <w:rFonts w:hint="default"/>
          <w:color w:val="auto"/>
          <w:lang w:val="en-US" w:eastAsia="zh-CN"/>
        </w:rPr>
        <w:t>20</w:t>
      </w:r>
      <w:r>
        <w:rPr>
          <w:rFonts w:hint="eastAsia"/>
          <w:color w:val="auto"/>
          <w:lang w:val="en-US" w:eastAsia="zh-CN"/>
        </w:rPr>
        <w:t>23</w:t>
      </w:r>
      <w:r>
        <w:rPr>
          <w:rFonts w:hint="default"/>
          <w:color w:val="auto"/>
          <w:lang w:val="en-US" w:eastAsia="zh-CN"/>
        </w:rPr>
        <w:t>年</w:t>
      </w:r>
      <w:r>
        <w:rPr>
          <w:rFonts w:hint="eastAsia"/>
          <w:color w:val="auto"/>
          <w:lang w:val="en-US" w:eastAsia="zh-CN"/>
        </w:rPr>
        <w:t>4</w:t>
      </w:r>
      <w:r>
        <w:rPr>
          <w:rFonts w:hint="default"/>
          <w:color w:val="auto"/>
          <w:lang w:val="en-US" w:eastAsia="zh-CN"/>
        </w:rPr>
        <w:t>月</w:t>
      </w:r>
      <w:r>
        <w:rPr>
          <w:rFonts w:hint="eastAsia"/>
          <w:color w:val="auto"/>
          <w:lang w:val="en-US" w:eastAsia="zh-CN"/>
        </w:rPr>
        <w:t>6</w:t>
      </w:r>
      <w:r>
        <w:rPr>
          <w:rFonts w:hint="default"/>
          <w:color w:val="auto"/>
          <w:lang w:val="en-US" w:eastAsia="zh-CN"/>
        </w:rPr>
        <w:t>日获得了安全生产标准化</w:t>
      </w:r>
      <w:r>
        <w:rPr>
          <w:rFonts w:hint="eastAsia"/>
          <w:color w:val="auto"/>
          <w:lang w:val="en-US" w:eastAsia="zh-CN"/>
        </w:rPr>
        <w:t>三</w:t>
      </w:r>
      <w:r>
        <w:rPr>
          <w:rFonts w:hint="default"/>
          <w:color w:val="auto"/>
          <w:lang w:val="en-US" w:eastAsia="zh-CN"/>
        </w:rPr>
        <w:t>级</w:t>
      </w:r>
      <w:r>
        <w:rPr>
          <w:rFonts w:hint="eastAsia"/>
          <w:color w:val="auto"/>
          <w:lang w:val="en-US" w:eastAsia="zh-CN"/>
        </w:rPr>
        <w:t>，有效期三年</w:t>
      </w:r>
      <w:r>
        <w:rPr>
          <w:rFonts w:hint="default"/>
          <w:color w:val="auto"/>
          <w:lang w:val="en-US" w:eastAsia="zh-CN"/>
        </w:rPr>
        <w:t>。</w:t>
      </w:r>
    </w:p>
    <w:p w14:paraId="7A2BB0E4">
      <w:pPr>
        <w:rPr>
          <w:rFonts w:hint="eastAsia"/>
          <w:color w:val="auto"/>
          <w:lang w:val="en-US" w:eastAsia="zh-CN"/>
        </w:rPr>
      </w:pPr>
      <w:r>
        <w:rPr>
          <w:rFonts w:hint="eastAsia"/>
          <w:color w:val="auto"/>
          <w:lang w:val="en-US" w:eastAsia="zh-CN"/>
        </w:rPr>
        <w:t>虽然目前安全生产标准化已暂停定级相关工作，但鄱阳县响水滩乡禾互山建筑用石料矿安全生产标准化一直在运行，运行情况较好。</w:t>
      </w:r>
    </w:p>
    <w:p w14:paraId="028CEF5A">
      <w:pPr>
        <w:pStyle w:val="4"/>
        <w:bidi w:val="0"/>
        <w:rPr>
          <w:rFonts w:hint="default"/>
          <w:color w:val="auto"/>
          <w:lang w:val="en-US" w:eastAsia="zh-CN"/>
        </w:rPr>
      </w:pPr>
      <w:bookmarkStart w:id="294" w:name="_Toc20181"/>
      <w:bookmarkStart w:id="295" w:name="_Toc20371"/>
      <w:bookmarkStart w:id="296" w:name="_Toc17660"/>
      <w:bookmarkStart w:id="297" w:name="_Toc2342"/>
      <w:bookmarkStart w:id="298" w:name="_Toc8444"/>
      <w:bookmarkStart w:id="299" w:name="_Toc31330"/>
      <w:r>
        <w:rPr>
          <w:rFonts w:hint="eastAsia"/>
          <w:color w:val="auto"/>
          <w:lang w:val="en-US" w:eastAsia="zh-CN"/>
        </w:rPr>
        <w:t>2.5.5 双重预防机制</w:t>
      </w:r>
      <w:bookmarkEnd w:id="294"/>
      <w:bookmarkEnd w:id="295"/>
      <w:bookmarkEnd w:id="296"/>
      <w:bookmarkEnd w:id="297"/>
      <w:bookmarkEnd w:id="298"/>
      <w:bookmarkEnd w:id="299"/>
    </w:p>
    <w:p w14:paraId="79376296">
      <w:pPr>
        <w:bidi w:val="0"/>
        <w:rPr>
          <w:rFonts w:hint="eastAsia"/>
          <w:color w:val="auto"/>
        </w:rPr>
      </w:pPr>
      <w:r>
        <w:rPr>
          <w:rFonts w:hint="eastAsia"/>
          <w:color w:val="auto"/>
          <w:lang w:val="en-US" w:eastAsia="zh-CN"/>
        </w:rPr>
        <w:t xml:space="preserve">1. </w:t>
      </w:r>
      <w:r>
        <w:rPr>
          <w:rFonts w:hint="eastAsia"/>
          <w:color w:val="auto"/>
        </w:rPr>
        <w:t>成立安全风险分级管控工作小组</w:t>
      </w:r>
    </w:p>
    <w:p w14:paraId="73CD2B51">
      <w:pPr>
        <w:bidi w:val="0"/>
        <w:rPr>
          <w:rFonts w:hint="eastAsia"/>
          <w:color w:val="auto"/>
        </w:rPr>
      </w:pPr>
      <w:r>
        <w:rPr>
          <w:rFonts w:hint="eastAsia"/>
          <w:color w:val="auto"/>
          <w:lang w:val="en-US" w:eastAsia="zh-CN"/>
        </w:rPr>
        <w:t>鄱阳县响水滩乡禾互山建筑用石料矿</w:t>
      </w:r>
      <w:r>
        <w:rPr>
          <w:rFonts w:hint="eastAsia"/>
          <w:color w:val="auto"/>
        </w:rPr>
        <w:t>成立了安全风险分级管控工作小组</w:t>
      </w:r>
      <w:r>
        <w:rPr>
          <w:rFonts w:hint="eastAsia"/>
          <w:color w:val="auto"/>
          <w:lang w:eastAsia="zh-CN"/>
        </w:rPr>
        <w:t>，</w:t>
      </w:r>
      <w:r>
        <w:rPr>
          <w:rFonts w:hint="eastAsia"/>
          <w:color w:val="auto"/>
        </w:rPr>
        <w:t>安全风险分级管控工作小组具体负责</w:t>
      </w:r>
      <w:r>
        <w:rPr>
          <w:rFonts w:hint="eastAsia"/>
          <w:color w:val="auto"/>
          <w:lang w:val="en-US" w:eastAsia="zh-CN"/>
        </w:rPr>
        <w:t>矿山</w:t>
      </w:r>
      <w:r>
        <w:rPr>
          <w:rFonts w:hint="eastAsia"/>
          <w:color w:val="auto"/>
        </w:rPr>
        <w:t>安全风险分级管控体系建设组织领导和统筹协调，支持宣传推广安全风险分级管控体系建设，确保实现“全员、全过程、全方位、全天候”的风险管控，严格按照安全风险分级管理工作职责，做好各项工作。</w:t>
      </w:r>
    </w:p>
    <w:p w14:paraId="024F2B5F">
      <w:pPr>
        <w:bidi w:val="0"/>
        <w:rPr>
          <w:rFonts w:hint="eastAsia"/>
          <w:color w:val="auto"/>
        </w:rPr>
      </w:pPr>
      <w:r>
        <w:rPr>
          <w:rFonts w:hint="eastAsia"/>
          <w:color w:val="auto"/>
          <w:lang w:val="en-US" w:eastAsia="zh-CN"/>
        </w:rPr>
        <w:t xml:space="preserve">2. </w:t>
      </w:r>
      <w:r>
        <w:rPr>
          <w:rFonts w:hint="eastAsia"/>
          <w:color w:val="auto"/>
        </w:rPr>
        <w:t>风险分级管控</w:t>
      </w:r>
    </w:p>
    <w:p w14:paraId="7F2AA4A8">
      <w:pPr>
        <w:bidi w:val="0"/>
        <w:rPr>
          <w:rFonts w:hint="eastAsia"/>
          <w:color w:val="auto"/>
        </w:rPr>
      </w:pPr>
      <w:r>
        <w:rPr>
          <w:rFonts w:hint="eastAsia"/>
          <w:color w:val="auto"/>
          <w:lang w:val="en-US" w:eastAsia="zh-CN"/>
        </w:rPr>
        <w:t>鄱阳县响水滩乡禾互山建筑用石料矿</w:t>
      </w:r>
      <w:r>
        <w:rPr>
          <w:rFonts w:hint="eastAsia"/>
          <w:color w:val="auto"/>
        </w:rPr>
        <w:t>组织</w:t>
      </w:r>
      <w:r>
        <w:rPr>
          <w:rFonts w:hint="eastAsia"/>
          <w:color w:val="auto"/>
          <w:lang w:val="en-US" w:eastAsia="zh-CN"/>
        </w:rPr>
        <w:t>了</w:t>
      </w:r>
      <w:r>
        <w:rPr>
          <w:rFonts w:hint="eastAsia"/>
          <w:color w:val="auto"/>
        </w:rPr>
        <w:t>相关人员对矿山的安全风险进行辨识、风险评估，依据风险级别、管理权限实施分组管控。在此基础上，编制了风险分级管控“一图一牌三清单”。</w:t>
      </w:r>
    </w:p>
    <w:p w14:paraId="792F8595">
      <w:pPr>
        <w:bidi w:val="0"/>
        <w:rPr>
          <w:rFonts w:hint="default"/>
          <w:color w:val="auto"/>
          <w:lang w:val="en-US" w:eastAsia="zh-CN"/>
        </w:rPr>
      </w:pPr>
      <w:r>
        <w:rPr>
          <w:rFonts w:hint="eastAsia"/>
          <w:color w:val="auto"/>
          <w:lang w:val="en-US" w:eastAsia="zh-CN"/>
        </w:rPr>
        <w:t xml:space="preserve">3. </w:t>
      </w:r>
      <w:r>
        <w:rPr>
          <w:rFonts w:hint="eastAsia"/>
          <w:color w:val="auto"/>
        </w:rPr>
        <w:t>隐患排查治理和安全生产基础资料建档</w:t>
      </w:r>
    </w:p>
    <w:p w14:paraId="686723F4">
      <w:pPr>
        <w:bidi w:val="0"/>
        <w:rPr>
          <w:rFonts w:hint="default"/>
          <w:color w:val="auto"/>
          <w:lang w:val="en-US" w:eastAsia="zh-CN"/>
        </w:rPr>
      </w:pPr>
      <w:r>
        <w:rPr>
          <w:rFonts w:hint="eastAsia"/>
          <w:color w:val="auto"/>
          <w:lang w:val="en-US" w:eastAsia="zh-CN"/>
        </w:rPr>
        <w:t>鄱阳县响水滩乡禾互山建筑用石料矿</w:t>
      </w:r>
      <w:r>
        <w:rPr>
          <w:rFonts w:hint="default"/>
          <w:color w:val="auto"/>
          <w:lang w:val="en-US" w:eastAsia="zh-CN"/>
        </w:rPr>
        <w:t>根据《江西省安全生产事故隐患排查分级实施指南》完善隐患排查机制，并根据隐患排查分级实施指南，每月进行一次排查，将排查出的隐患登记在隐患排查与治理台账内，按照</w:t>
      </w:r>
      <w:r>
        <w:rPr>
          <w:rFonts w:hint="eastAsia"/>
          <w:color w:val="auto"/>
          <w:lang w:val="en-US" w:eastAsia="zh-CN"/>
        </w:rPr>
        <w:t>“</w:t>
      </w:r>
      <w:r>
        <w:rPr>
          <w:rFonts w:hint="default"/>
          <w:color w:val="auto"/>
          <w:lang w:val="en-US" w:eastAsia="zh-CN"/>
        </w:rPr>
        <w:t>五落实</w:t>
      </w:r>
      <w:r>
        <w:rPr>
          <w:rFonts w:hint="eastAsia"/>
          <w:color w:val="auto"/>
          <w:lang w:val="en-US" w:eastAsia="zh-CN"/>
        </w:rPr>
        <w:t>”</w:t>
      </w:r>
      <w:r>
        <w:rPr>
          <w:rFonts w:hint="default"/>
          <w:color w:val="auto"/>
          <w:lang w:val="en-US" w:eastAsia="zh-CN"/>
        </w:rPr>
        <w:t>及隐患排查整改闭环管理的要求整改落实到位。</w:t>
      </w:r>
    </w:p>
    <w:p w14:paraId="5243371C">
      <w:pPr>
        <w:pStyle w:val="4"/>
        <w:bidi w:val="0"/>
        <w:rPr>
          <w:rFonts w:hint="default"/>
          <w:color w:val="auto"/>
          <w:lang w:val="en-US" w:eastAsia="zh-CN"/>
        </w:rPr>
      </w:pPr>
      <w:bookmarkStart w:id="300" w:name="_Toc31716"/>
      <w:bookmarkStart w:id="301" w:name="_Toc19305"/>
      <w:bookmarkStart w:id="302" w:name="_Toc25380"/>
      <w:bookmarkStart w:id="303" w:name="_Toc10018"/>
      <w:bookmarkStart w:id="304" w:name="_Toc22808"/>
      <w:bookmarkStart w:id="305" w:name="_Toc10165"/>
      <w:r>
        <w:rPr>
          <w:rFonts w:hint="default"/>
          <w:color w:val="auto"/>
          <w:lang w:val="en-US" w:eastAsia="zh-CN"/>
        </w:rPr>
        <w:t>2.</w:t>
      </w:r>
      <w:r>
        <w:rPr>
          <w:rFonts w:hint="eastAsia"/>
          <w:color w:val="auto"/>
          <w:lang w:val="en-US" w:eastAsia="zh-CN"/>
        </w:rPr>
        <w:t>5</w:t>
      </w:r>
      <w:r>
        <w:rPr>
          <w:rFonts w:hint="default"/>
          <w:color w:val="auto"/>
          <w:lang w:val="en-US" w:eastAsia="zh-CN"/>
        </w:rPr>
        <w:t>.6</w:t>
      </w:r>
      <w:r>
        <w:rPr>
          <w:rFonts w:hint="eastAsia"/>
          <w:color w:val="auto"/>
          <w:lang w:val="en-US" w:eastAsia="zh-CN"/>
        </w:rPr>
        <w:t xml:space="preserve"> 安全生产费用</w:t>
      </w:r>
      <w:bookmarkEnd w:id="300"/>
      <w:bookmarkEnd w:id="301"/>
      <w:bookmarkEnd w:id="302"/>
      <w:bookmarkEnd w:id="303"/>
      <w:bookmarkEnd w:id="304"/>
      <w:bookmarkEnd w:id="305"/>
    </w:p>
    <w:p w14:paraId="6C745E5C">
      <w:pPr>
        <w:bidi w:val="0"/>
        <w:rPr>
          <w:rFonts w:hint="eastAsia"/>
          <w:color w:val="auto"/>
          <w:lang w:val="en-US" w:eastAsia="zh-CN"/>
        </w:rPr>
      </w:pPr>
      <w:r>
        <w:rPr>
          <w:rFonts w:hint="eastAsia"/>
          <w:color w:val="auto"/>
          <w:lang w:val="en-US" w:eastAsia="zh-CN"/>
        </w:rPr>
        <w:t>鄱阳县响水滩乡禾互山建筑用石料矿</w:t>
      </w:r>
      <w:r>
        <w:rPr>
          <w:rFonts w:hint="default"/>
          <w:color w:val="auto"/>
          <w:lang w:val="en-US" w:eastAsia="zh-CN"/>
        </w:rPr>
        <w:t>按照《财政部 应急部关于印发〈企业安全生产费用提取和使用管理办法〉的通知》</w:t>
      </w:r>
      <w:r>
        <w:rPr>
          <w:rFonts w:hint="eastAsia"/>
          <w:color w:val="auto"/>
          <w:lang w:val="en-US" w:eastAsia="zh-CN"/>
        </w:rPr>
        <w:t>（</w:t>
      </w:r>
      <w:r>
        <w:rPr>
          <w:rFonts w:hint="default"/>
          <w:color w:val="auto"/>
          <w:lang w:val="en-US" w:eastAsia="zh-CN"/>
        </w:rPr>
        <w:t>财资〔2022〕136号文</w:t>
      </w:r>
      <w:r>
        <w:rPr>
          <w:rFonts w:hint="eastAsia"/>
          <w:color w:val="auto"/>
          <w:lang w:val="en-US" w:eastAsia="zh-CN"/>
        </w:rPr>
        <w:t>）的</w:t>
      </w:r>
      <w:r>
        <w:rPr>
          <w:rFonts w:hint="default"/>
          <w:color w:val="auto"/>
          <w:lang w:val="en-US" w:eastAsia="zh-CN"/>
        </w:rPr>
        <w:t>要求标准提取</w:t>
      </w:r>
      <w:r>
        <w:rPr>
          <w:rFonts w:hint="eastAsia"/>
          <w:color w:val="auto"/>
          <w:lang w:val="en-US" w:eastAsia="zh-CN"/>
        </w:rPr>
        <w:t>，</w:t>
      </w:r>
      <w:r>
        <w:rPr>
          <w:rFonts w:hint="eastAsia"/>
          <w:color w:val="auto"/>
          <w:lang w:eastAsia="zh-CN"/>
        </w:rPr>
        <w:t>安全生产措施费用计划按不少于3元/t标准按月提取</w:t>
      </w:r>
      <w:r>
        <w:rPr>
          <w:rFonts w:hint="eastAsia"/>
          <w:color w:val="auto"/>
          <w:lang w:val="en-US" w:eastAsia="zh-CN"/>
        </w:rPr>
        <w:t>，</w:t>
      </w:r>
      <w:r>
        <w:rPr>
          <w:rFonts w:hint="default"/>
          <w:color w:val="auto"/>
          <w:lang w:val="en-US" w:eastAsia="zh-CN"/>
        </w:rPr>
        <w:t>202</w:t>
      </w:r>
      <w:r>
        <w:rPr>
          <w:rFonts w:hint="eastAsia"/>
          <w:color w:val="auto"/>
          <w:lang w:val="en-US" w:eastAsia="zh-CN"/>
        </w:rPr>
        <w:t>5</w:t>
      </w:r>
      <w:r>
        <w:rPr>
          <w:rFonts w:hint="default"/>
          <w:color w:val="auto"/>
          <w:lang w:val="en-US" w:eastAsia="zh-CN"/>
        </w:rPr>
        <w:t>年</w:t>
      </w:r>
      <w:r>
        <w:rPr>
          <w:rFonts w:hint="eastAsia"/>
          <w:color w:val="auto"/>
          <w:lang w:eastAsia="zh-CN"/>
        </w:rPr>
        <w:t>安全生产费用</w:t>
      </w:r>
      <w:r>
        <w:rPr>
          <w:rFonts w:hint="eastAsia"/>
          <w:color w:val="auto"/>
          <w:lang w:val="en-US" w:eastAsia="zh-CN"/>
        </w:rPr>
        <w:t>使用</w:t>
      </w:r>
      <w:r>
        <w:rPr>
          <w:rFonts w:hint="eastAsia"/>
          <w:color w:val="auto"/>
          <w:lang w:eastAsia="zh-CN"/>
        </w:rPr>
        <w:t>金额</w:t>
      </w:r>
      <w:r>
        <w:rPr>
          <w:rFonts w:hint="eastAsia"/>
          <w:color w:val="auto"/>
          <w:lang w:val="en-US" w:eastAsia="zh-CN"/>
        </w:rPr>
        <w:t>为55</w:t>
      </w:r>
      <w:r>
        <w:rPr>
          <w:rFonts w:hint="eastAsia"/>
          <w:color w:val="auto"/>
          <w:lang w:eastAsia="zh-CN"/>
        </w:rPr>
        <w:t>万元</w:t>
      </w:r>
      <w:r>
        <w:rPr>
          <w:rFonts w:hint="eastAsia"/>
          <w:color w:val="auto"/>
          <w:lang w:val="en-US" w:eastAsia="zh-CN"/>
        </w:rPr>
        <w:t>，</w:t>
      </w:r>
      <w:r>
        <w:rPr>
          <w:rFonts w:hint="default"/>
          <w:color w:val="auto"/>
          <w:lang w:val="en-US" w:eastAsia="zh-CN"/>
        </w:rPr>
        <w:t>安全费用用于完善、改造和维护安全防护设备设施（不含</w:t>
      </w:r>
      <w:r>
        <w:rPr>
          <w:rFonts w:hint="eastAsia" w:asciiTheme="minorEastAsia" w:hAnsiTheme="minorEastAsia" w:eastAsiaTheme="minorEastAsia" w:cstheme="minorEastAsia"/>
          <w:color w:val="auto"/>
          <w:lang w:val="en-US" w:eastAsia="zh-CN"/>
        </w:rPr>
        <w:t>“</w:t>
      </w:r>
      <w:r>
        <w:rPr>
          <w:rFonts w:hint="default"/>
          <w:color w:val="auto"/>
          <w:lang w:val="en-US" w:eastAsia="zh-CN"/>
        </w:rPr>
        <w:t>三同时</w:t>
      </w:r>
      <w:r>
        <w:rPr>
          <w:rFonts w:hint="eastAsia" w:asciiTheme="minorEastAsia" w:hAnsiTheme="minorEastAsia" w:eastAsiaTheme="minorEastAsia" w:cstheme="minorEastAsia"/>
          <w:color w:val="auto"/>
          <w:lang w:val="en-US" w:eastAsia="zh-CN"/>
        </w:rPr>
        <w:t>”</w:t>
      </w:r>
      <w:r>
        <w:rPr>
          <w:rFonts w:hint="default"/>
          <w:color w:val="auto"/>
          <w:lang w:val="en-US" w:eastAsia="zh-CN"/>
        </w:rPr>
        <w:t>要求初期投入的安全设施）</w:t>
      </w:r>
      <w:r>
        <w:rPr>
          <w:rFonts w:hint="eastAsia"/>
          <w:color w:val="auto"/>
          <w:lang w:val="en-US" w:eastAsia="zh-CN"/>
        </w:rPr>
        <w:t>；安全生产教育培训和配备劳动防护用品；安全评价（不包括新建、改建、扩建项目安全评价）、重大危险源监控、事故隐患评估和整改；职业危害防治，职业危害因素检测、监测和职业健康体检；设备设施安全性能检测检验；应急救援器材、装备的配备及应急救援演练；其他与安全生产直接相关的物品或者活动等。</w:t>
      </w:r>
    </w:p>
    <w:p w14:paraId="613F8002">
      <w:pPr>
        <w:pStyle w:val="4"/>
        <w:bidi w:val="0"/>
        <w:rPr>
          <w:rFonts w:hint="eastAsia"/>
          <w:color w:val="auto"/>
          <w:lang w:val="en-US" w:eastAsia="zh-CN"/>
        </w:rPr>
      </w:pPr>
      <w:bookmarkStart w:id="306" w:name="_Toc8338"/>
      <w:bookmarkStart w:id="307" w:name="_Toc22240"/>
      <w:bookmarkStart w:id="308" w:name="_Toc19843"/>
      <w:r>
        <w:rPr>
          <w:rFonts w:hint="eastAsia"/>
          <w:color w:val="auto"/>
          <w:lang w:val="en-US" w:eastAsia="zh-CN"/>
        </w:rPr>
        <w:t>2.5.7 工伤保险与安全生产责任险</w:t>
      </w:r>
      <w:bookmarkEnd w:id="306"/>
      <w:bookmarkEnd w:id="307"/>
      <w:bookmarkEnd w:id="308"/>
    </w:p>
    <w:p w14:paraId="2F58AE2A">
      <w:pPr>
        <w:pStyle w:val="7"/>
        <w:snapToGrid w:val="0"/>
        <w:ind w:firstLine="560"/>
        <w:jc w:val="both"/>
        <w:rPr>
          <w:rFonts w:hint="default" w:ascii="Times New Roman" w:hAnsi="宋体" w:eastAsia="宋体" w:cs="Times New Roman"/>
          <w:b w:val="0"/>
          <w:bCs w:val="0"/>
          <w:szCs w:val="28"/>
          <w:lang w:val="en-US" w:eastAsia="zh-CN"/>
        </w:rPr>
      </w:pPr>
      <w:r>
        <w:rPr>
          <w:rFonts w:hint="eastAsia" w:ascii="Times New Roman" w:hAnsi="宋体" w:eastAsia="宋体" w:cs="Times New Roman"/>
          <w:b w:val="0"/>
          <w:bCs w:val="0"/>
          <w:szCs w:val="28"/>
          <w:lang w:val="en-US" w:eastAsia="zh-CN"/>
        </w:rPr>
        <w:t>矿山为员工购买了安全生产责任险，详见附件。未购买工伤保险，建议矿山同时为员工购买工伤保险。</w:t>
      </w:r>
    </w:p>
    <w:p w14:paraId="247D6F24">
      <w:pPr>
        <w:pStyle w:val="4"/>
        <w:bidi w:val="0"/>
        <w:rPr>
          <w:rFonts w:hint="default"/>
          <w:color w:val="auto"/>
          <w:lang w:val="en-US" w:eastAsia="zh-CN"/>
        </w:rPr>
      </w:pPr>
      <w:bookmarkStart w:id="309" w:name="_Toc25491"/>
      <w:bookmarkStart w:id="310" w:name="_Toc10378"/>
      <w:bookmarkStart w:id="311" w:name="_Toc13030"/>
      <w:bookmarkStart w:id="312" w:name="_Toc29001"/>
      <w:bookmarkStart w:id="313" w:name="_Toc2869"/>
      <w:bookmarkStart w:id="314" w:name="_Toc14573"/>
      <w:r>
        <w:rPr>
          <w:rFonts w:hint="default"/>
          <w:color w:val="auto"/>
          <w:lang w:val="en-US" w:eastAsia="zh-CN"/>
        </w:rPr>
        <w:t>2.</w:t>
      </w:r>
      <w:r>
        <w:rPr>
          <w:rFonts w:hint="eastAsia"/>
          <w:color w:val="auto"/>
          <w:lang w:val="en-US" w:eastAsia="zh-CN"/>
        </w:rPr>
        <w:t>5</w:t>
      </w:r>
      <w:r>
        <w:rPr>
          <w:rFonts w:hint="default"/>
          <w:color w:val="auto"/>
          <w:lang w:val="en-US" w:eastAsia="zh-CN"/>
        </w:rPr>
        <w:t>.</w:t>
      </w:r>
      <w:r>
        <w:rPr>
          <w:rFonts w:hint="eastAsia"/>
          <w:color w:val="auto"/>
          <w:lang w:val="en-US" w:eastAsia="zh-CN"/>
        </w:rPr>
        <w:t xml:space="preserve">8 </w:t>
      </w:r>
      <w:r>
        <w:rPr>
          <w:rFonts w:hint="default"/>
          <w:color w:val="auto"/>
          <w:lang w:val="en-US" w:eastAsia="zh-CN"/>
        </w:rPr>
        <w:t>应急救援</w:t>
      </w:r>
      <w:bookmarkEnd w:id="309"/>
      <w:bookmarkEnd w:id="310"/>
      <w:bookmarkEnd w:id="311"/>
      <w:bookmarkEnd w:id="312"/>
      <w:bookmarkEnd w:id="313"/>
      <w:bookmarkEnd w:id="314"/>
    </w:p>
    <w:p w14:paraId="0BE9AA0A">
      <w:pPr>
        <w:bidi w:val="0"/>
        <w:rPr>
          <w:rFonts w:hint="default"/>
          <w:color w:val="auto"/>
          <w:lang w:val="en-US" w:eastAsia="zh-CN"/>
        </w:rPr>
      </w:pPr>
      <w:r>
        <w:rPr>
          <w:rFonts w:hint="eastAsia"/>
          <w:color w:val="auto"/>
          <w:lang w:val="en-US" w:eastAsia="zh-CN"/>
        </w:rPr>
        <w:t>鄱阳县金义矿产有限公司</w:t>
      </w:r>
      <w:r>
        <w:rPr>
          <w:rFonts w:hint="default"/>
          <w:color w:val="auto"/>
          <w:lang w:val="en-US" w:eastAsia="zh-CN"/>
        </w:rPr>
        <w:t>编制了《</w:t>
      </w:r>
      <w:r>
        <w:rPr>
          <w:rFonts w:hint="eastAsia"/>
          <w:color w:val="auto"/>
          <w:lang w:val="en-US" w:eastAsia="zh-CN"/>
        </w:rPr>
        <w:t>鄱阳县金义矿产有限公司鄱阳县响水滩乡禾互山建筑用石料矿</w:t>
      </w:r>
      <w:r>
        <w:rPr>
          <w:rFonts w:hint="default"/>
          <w:color w:val="auto"/>
          <w:lang w:val="en-US" w:eastAsia="zh-CN"/>
        </w:rPr>
        <w:t>生产安全事故应急预案》</w:t>
      </w:r>
      <w:r>
        <w:rPr>
          <w:rFonts w:hint="eastAsia"/>
          <w:color w:val="auto"/>
          <w:lang w:val="en-US" w:eastAsia="zh-CN"/>
        </w:rPr>
        <w:t>，</w:t>
      </w:r>
      <w:r>
        <w:rPr>
          <w:rFonts w:hint="default"/>
          <w:color w:val="auto"/>
          <w:lang w:val="en-US" w:eastAsia="zh-CN"/>
        </w:rPr>
        <w:t>于202</w:t>
      </w:r>
      <w:r>
        <w:rPr>
          <w:rFonts w:hint="eastAsia"/>
          <w:color w:val="auto"/>
          <w:lang w:val="en-US" w:eastAsia="zh-CN"/>
        </w:rPr>
        <w:t>6</w:t>
      </w:r>
      <w:r>
        <w:rPr>
          <w:rFonts w:hint="default"/>
          <w:color w:val="auto"/>
          <w:lang w:val="en-US" w:eastAsia="zh-CN"/>
        </w:rPr>
        <w:t>年</w:t>
      </w:r>
      <w:r>
        <w:rPr>
          <w:rFonts w:hint="eastAsia"/>
          <w:color w:val="auto"/>
          <w:lang w:val="en-US" w:eastAsia="zh-CN"/>
        </w:rPr>
        <w:t>4</w:t>
      </w:r>
      <w:r>
        <w:rPr>
          <w:rFonts w:hint="default"/>
          <w:color w:val="auto"/>
          <w:lang w:val="en-US" w:eastAsia="zh-CN"/>
        </w:rPr>
        <w:t>月</w:t>
      </w:r>
      <w:r>
        <w:rPr>
          <w:rFonts w:hint="eastAsia"/>
          <w:color w:val="auto"/>
          <w:lang w:val="en-US" w:eastAsia="zh-CN"/>
        </w:rPr>
        <w:t>23</w:t>
      </w:r>
      <w:r>
        <w:rPr>
          <w:rFonts w:hint="default"/>
          <w:color w:val="auto"/>
          <w:lang w:val="en-US" w:eastAsia="zh-CN"/>
        </w:rPr>
        <w:t>日在</w:t>
      </w:r>
      <w:r>
        <w:rPr>
          <w:rFonts w:hint="eastAsia"/>
          <w:color w:val="auto"/>
          <w:lang w:val="en-US" w:eastAsia="zh-CN"/>
        </w:rPr>
        <w:t>鄱阳县</w:t>
      </w:r>
      <w:r>
        <w:rPr>
          <w:rFonts w:hint="default"/>
          <w:color w:val="auto"/>
          <w:lang w:val="en-US" w:eastAsia="zh-CN"/>
        </w:rPr>
        <w:t>应急管理局备案</w:t>
      </w:r>
      <w:r>
        <w:rPr>
          <w:rFonts w:hint="eastAsia"/>
          <w:color w:val="auto"/>
          <w:lang w:val="en-US" w:eastAsia="zh-CN"/>
        </w:rPr>
        <w:t>，</w:t>
      </w:r>
      <w:r>
        <w:rPr>
          <w:rFonts w:hint="default"/>
          <w:color w:val="auto"/>
          <w:lang w:val="en-US" w:eastAsia="zh-CN"/>
        </w:rPr>
        <w:t>备案编号为</w:t>
      </w:r>
      <w:r>
        <w:rPr>
          <w:rFonts w:hint="eastAsia"/>
          <w:color w:val="auto"/>
          <w:lang w:val="en-US" w:eastAsia="zh-CN"/>
        </w:rPr>
        <w:t>：</w:t>
      </w:r>
      <w:r>
        <w:rPr>
          <w:rFonts w:hint="default"/>
          <w:color w:val="auto"/>
          <w:lang w:val="en-US" w:eastAsia="zh-CN"/>
        </w:rPr>
        <w:t>PYYJYAFM362330-2026-002。</w:t>
      </w:r>
    </w:p>
    <w:p w14:paraId="40AC878A">
      <w:pPr>
        <w:bidi w:val="0"/>
        <w:rPr>
          <w:rFonts w:hint="default"/>
          <w:color w:val="auto"/>
          <w:lang w:val="en-US" w:eastAsia="zh-CN"/>
        </w:rPr>
      </w:pPr>
      <w:r>
        <w:rPr>
          <w:rFonts w:hint="default"/>
          <w:strike w:val="0"/>
          <w:dstrike w:val="0"/>
          <w:color w:val="auto"/>
          <w:lang w:val="en-US" w:eastAsia="zh-CN"/>
        </w:rPr>
        <w:t>202</w:t>
      </w:r>
      <w:r>
        <w:rPr>
          <w:rFonts w:hint="eastAsia"/>
          <w:strike w:val="0"/>
          <w:dstrike w:val="0"/>
          <w:color w:val="auto"/>
          <w:lang w:val="en-US" w:eastAsia="zh-CN"/>
        </w:rPr>
        <w:t>6</w:t>
      </w:r>
      <w:r>
        <w:rPr>
          <w:rFonts w:hint="default"/>
          <w:strike w:val="0"/>
          <w:dstrike w:val="0"/>
          <w:color w:val="auto"/>
          <w:lang w:val="en-US" w:eastAsia="zh-CN"/>
        </w:rPr>
        <w:t>年</w:t>
      </w:r>
      <w:r>
        <w:rPr>
          <w:rFonts w:hint="eastAsia"/>
          <w:strike w:val="0"/>
          <w:dstrike w:val="0"/>
          <w:color w:val="auto"/>
          <w:lang w:val="en-US" w:eastAsia="zh-CN"/>
        </w:rPr>
        <w:t>3</w:t>
      </w:r>
      <w:r>
        <w:rPr>
          <w:rFonts w:hint="default"/>
          <w:strike w:val="0"/>
          <w:dstrike w:val="0"/>
          <w:color w:val="auto"/>
          <w:lang w:val="en-US" w:eastAsia="zh-CN"/>
        </w:rPr>
        <w:t>月</w:t>
      </w:r>
      <w:r>
        <w:rPr>
          <w:rFonts w:hint="eastAsia"/>
          <w:strike w:val="0"/>
          <w:dstrike w:val="0"/>
          <w:color w:val="auto"/>
          <w:lang w:val="en-US" w:eastAsia="zh-CN"/>
        </w:rPr>
        <w:t>17</w:t>
      </w:r>
      <w:r>
        <w:rPr>
          <w:rFonts w:hint="default"/>
          <w:strike w:val="0"/>
          <w:dstrike w:val="0"/>
          <w:color w:val="auto"/>
          <w:lang w:val="en-US" w:eastAsia="zh-CN"/>
        </w:rPr>
        <w:t>日，</w:t>
      </w:r>
      <w:r>
        <w:rPr>
          <w:rFonts w:hint="eastAsia"/>
          <w:color w:val="auto"/>
          <w:lang w:val="en-US" w:eastAsia="zh-CN"/>
        </w:rPr>
        <w:t>鄱阳县金义矿产有限公司</w:t>
      </w:r>
      <w:r>
        <w:rPr>
          <w:rFonts w:hint="default"/>
          <w:strike w:val="0"/>
          <w:dstrike w:val="0"/>
          <w:color w:val="auto"/>
          <w:lang w:val="en-US" w:eastAsia="zh-CN"/>
        </w:rPr>
        <w:t>与</w:t>
      </w:r>
      <w:r>
        <w:rPr>
          <w:rFonts w:hint="eastAsia"/>
          <w:strike w:val="0"/>
          <w:dstrike w:val="0"/>
          <w:color w:val="auto"/>
          <w:lang w:val="en-US" w:eastAsia="zh-CN"/>
        </w:rPr>
        <w:t>鄱阳县</w:t>
      </w:r>
      <w:r>
        <w:rPr>
          <w:rFonts w:hint="default"/>
          <w:strike w:val="0"/>
          <w:dstrike w:val="0"/>
          <w:color w:val="auto"/>
          <w:lang w:val="en-US" w:eastAsia="zh-CN"/>
        </w:rPr>
        <w:t>专业森林消防大队签订了《非煤矿生产事故救护协议》，有效期</w:t>
      </w:r>
      <w:r>
        <w:rPr>
          <w:rFonts w:hint="eastAsia"/>
          <w:strike w:val="0"/>
          <w:dstrike w:val="0"/>
          <w:color w:val="auto"/>
          <w:lang w:val="en-US" w:eastAsia="zh-CN"/>
        </w:rPr>
        <w:t>壹</w:t>
      </w:r>
      <w:r>
        <w:rPr>
          <w:rFonts w:hint="default"/>
          <w:strike w:val="0"/>
          <w:dstrike w:val="0"/>
          <w:color w:val="auto"/>
          <w:lang w:val="en-US" w:eastAsia="zh-CN"/>
        </w:rPr>
        <w:t>年，有效期至202</w:t>
      </w:r>
      <w:r>
        <w:rPr>
          <w:rFonts w:hint="eastAsia"/>
          <w:strike w:val="0"/>
          <w:dstrike w:val="0"/>
          <w:color w:val="auto"/>
          <w:lang w:val="en-US" w:eastAsia="zh-CN"/>
        </w:rPr>
        <w:t>7</w:t>
      </w:r>
      <w:r>
        <w:rPr>
          <w:rFonts w:hint="default"/>
          <w:strike w:val="0"/>
          <w:dstrike w:val="0"/>
          <w:color w:val="auto"/>
          <w:lang w:val="en-US" w:eastAsia="zh-CN"/>
        </w:rPr>
        <w:t>年</w:t>
      </w:r>
      <w:r>
        <w:rPr>
          <w:rFonts w:hint="eastAsia"/>
          <w:strike w:val="0"/>
          <w:dstrike w:val="0"/>
          <w:color w:val="auto"/>
          <w:lang w:val="en-US" w:eastAsia="zh-CN"/>
        </w:rPr>
        <w:t>3</w:t>
      </w:r>
      <w:r>
        <w:rPr>
          <w:rFonts w:hint="default"/>
          <w:strike w:val="0"/>
          <w:dstrike w:val="0"/>
          <w:color w:val="auto"/>
          <w:lang w:val="en-US" w:eastAsia="zh-CN"/>
        </w:rPr>
        <w:t>月</w:t>
      </w:r>
      <w:r>
        <w:rPr>
          <w:rFonts w:hint="eastAsia"/>
          <w:strike w:val="0"/>
          <w:dstrike w:val="0"/>
          <w:color w:val="auto"/>
          <w:lang w:val="en-US" w:eastAsia="zh-CN"/>
        </w:rPr>
        <w:t>16</w:t>
      </w:r>
      <w:r>
        <w:rPr>
          <w:rFonts w:hint="default"/>
          <w:strike w:val="0"/>
          <w:dstrike w:val="0"/>
          <w:color w:val="auto"/>
          <w:lang w:val="en-US" w:eastAsia="zh-CN"/>
        </w:rPr>
        <w:t>日。</w:t>
      </w:r>
    </w:p>
    <w:p w14:paraId="0CDB57DE">
      <w:pPr>
        <w:bidi w:val="0"/>
        <w:rPr>
          <w:rFonts w:hint="default"/>
          <w:b/>
          <w:bCs/>
          <w:color w:val="auto"/>
          <w:lang w:val="en-US" w:eastAsia="zh-CN"/>
        </w:rPr>
      </w:pPr>
      <w:r>
        <w:rPr>
          <w:rFonts w:hint="eastAsia"/>
          <w:b w:val="0"/>
          <w:bCs w:val="0"/>
          <w:color w:val="auto"/>
          <w:lang w:val="en-US" w:eastAsia="zh-CN"/>
        </w:rPr>
        <w:t>2026年3月19日，鄱阳县金义矿产有限公司</w:t>
      </w:r>
      <w:r>
        <w:rPr>
          <w:rFonts w:hint="default"/>
          <w:b w:val="0"/>
          <w:bCs w:val="0"/>
          <w:color w:val="auto"/>
          <w:lang w:val="en-US" w:eastAsia="zh-CN"/>
        </w:rPr>
        <w:t>组织</w:t>
      </w:r>
      <w:r>
        <w:rPr>
          <w:rFonts w:hint="eastAsia"/>
          <w:b w:val="0"/>
          <w:bCs w:val="0"/>
          <w:color w:val="auto"/>
          <w:lang w:val="en-US" w:eastAsia="zh-CN"/>
        </w:rPr>
        <w:t>了矿山相关人员在+180m平台开展了边坡滑坡、坍塌事故专项应急预案演练，</w:t>
      </w:r>
      <w:r>
        <w:rPr>
          <w:rFonts w:hint="default"/>
          <w:b w:val="0"/>
          <w:bCs w:val="0"/>
          <w:color w:val="auto"/>
          <w:shd w:val="clear" w:color="auto" w:fill="auto"/>
          <w:lang w:val="en-US" w:eastAsia="zh-CN"/>
        </w:rPr>
        <w:t>演练结束后，进行了评估、总结，保留有影像资料和相关记录。</w:t>
      </w:r>
    </w:p>
    <w:p w14:paraId="4170871A">
      <w:pPr>
        <w:pStyle w:val="4"/>
        <w:bidi w:val="0"/>
        <w:rPr>
          <w:rFonts w:hint="default"/>
          <w:color w:val="auto"/>
          <w:lang w:val="en-US" w:eastAsia="zh-CN"/>
        </w:rPr>
      </w:pPr>
      <w:bookmarkStart w:id="315" w:name="_Toc4354"/>
      <w:bookmarkStart w:id="316" w:name="_Toc31203"/>
      <w:bookmarkStart w:id="317" w:name="_Toc4929"/>
      <w:bookmarkStart w:id="318" w:name="_Toc30398"/>
      <w:bookmarkStart w:id="319" w:name="_Toc5624"/>
      <w:bookmarkStart w:id="320" w:name="_Toc17309"/>
      <w:r>
        <w:rPr>
          <w:rFonts w:hint="default"/>
          <w:color w:val="auto"/>
          <w:lang w:val="en-US" w:eastAsia="zh-CN"/>
        </w:rPr>
        <w:t>2.</w:t>
      </w:r>
      <w:r>
        <w:rPr>
          <w:rFonts w:hint="eastAsia"/>
          <w:color w:val="auto"/>
          <w:lang w:val="en-US" w:eastAsia="zh-CN"/>
        </w:rPr>
        <w:t>5</w:t>
      </w:r>
      <w:r>
        <w:rPr>
          <w:rFonts w:hint="default"/>
          <w:color w:val="auto"/>
          <w:lang w:val="en-US" w:eastAsia="zh-CN"/>
        </w:rPr>
        <w:t>.</w:t>
      </w:r>
      <w:r>
        <w:rPr>
          <w:rFonts w:hint="eastAsia"/>
          <w:color w:val="auto"/>
          <w:lang w:val="en-US" w:eastAsia="zh-CN"/>
        </w:rPr>
        <w:t xml:space="preserve">9 </w:t>
      </w:r>
      <w:r>
        <w:rPr>
          <w:rFonts w:hint="default"/>
          <w:color w:val="auto"/>
          <w:lang w:val="en-US" w:eastAsia="zh-CN"/>
        </w:rPr>
        <w:t>安全生产状况</w:t>
      </w:r>
      <w:bookmarkEnd w:id="315"/>
      <w:bookmarkEnd w:id="316"/>
      <w:bookmarkEnd w:id="317"/>
      <w:bookmarkEnd w:id="318"/>
      <w:bookmarkEnd w:id="319"/>
      <w:bookmarkEnd w:id="320"/>
    </w:p>
    <w:p w14:paraId="2706025B">
      <w:pPr>
        <w:bidi w:val="0"/>
        <w:rPr>
          <w:rFonts w:hint="eastAsia"/>
          <w:color w:val="auto"/>
          <w:lang w:val="en-US" w:eastAsia="zh-CN"/>
        </w:rPr>
      </w:pPr>
      <w:r>
        <w:rPr>
          <w:rFonts w:hint="eastAsia"/>
          <w:color w:val="auto"/>
          <w:lang w:val="en-US" w:eastAsia="zh-CN"/>
        </w:rPr>
        <w:t>鄱阳县响水滩乡禾互山建筑用石料矿贯彻了“安全第一、预防为主、综合治理”的方针，重视安全生产第一要务工作。</w:t>
      </w:r>
    </w:p>
    <w:p w14:paraId="2BA34F0D">
      <w:pPr>
        <w:bidi w:val="0"/>
        <w:rPr>
          <w:rFonts w:hint="eastAsia"/>
          <w:color w:val="auto"/>
          <w:lang w:val="en-US" w:eastAsia="zh-CN"/>
        </w:rPr>
      </w:pPr>
      <w:r>
        <w:rPr>
          <w:rFonts w:hint="eastAsia"/>
          <w:color w:val="auto"/>
          <w:lang w:val="en-US" w:eastAsia="zh-CN"/>
        </w:rPr>
        <w:t>鄱阳县响水滩乡禾互山建筑用石料矿自上一轮取证三年以来，无重伤、死亡或其他重大安全生产事故。</w:t>
      </w:r>
    </w:p>
    <w:p w14:paraId="0135C452">
      <w:pPr>
        <w:bidi w:val="0"/>
        <w:rPr>
          <w:rFonts w:hint="default"/>
          <w:lang w:val="en-US" w:eastAsia="zh-CN"/>
        </w:rPr>
      </w:pPr>
    </w:p>
    <w:p w14:paraId="41933587">
      <w:pPr>
        <w:bidi w:val="0"/>
        <w:ind w:left="0" w:leftChars="0" w:firstLine="0" w:firstLineChars="0"/>
        <w:rPr>
          <w:rFonts w:hint="default"/>
          <w:color w:val="auto"/>
          <w:lang w:val="en-US" w:eastAsia="zh-CN"/>
        </w:rPr>
      </w:pPr>
    </w:p>
    <w:p w14:paraId="33389486">
      <w:pPr>
        <w:bidi w:val="0"/>
        <w:ind w:left="0" w:leftChars="0" w:firstLine="0" w:firstLineChars="0"/>
        <w:rPr>
          <w:rFonts w:hint="default"/>
          <w:color w:val="auto"/>
          <w:lang w:val="en-US" w:eastAsia="zh-CN"/>
        </w:rPr>
        <w:sectPr>
          <w:footerReference r:id="rId7" w:type="default"/>
          <w:type w:val="continuous"/>
          <w:pgSz w:w="11906" w:h="16839"/>
          <w:pgMar w:top="1417" w:right="1417" w:bottom="1417" w:left="1417" w:header="850" w:footer="992" w:gutter="0"/>
          <w:pgNumType w:fmt="decimal" w:start="1"/>
          <w:cols w:space="425" w:num="1"/>
          <w:rtlGutter w:val="0"/>
          <w:docGrid w:linePitch="312" w:charSpace="0"/>
        </w:sectPr>
      </w:pPr>
    </w:p>
    <w:p w14:paraId="0C7F2991">
      <w:pPr>
        <w:pStyle w:val="2"/>
        <w:numPr>
          <w:ilvl w:val="0"/>
          <w:numId w:val="1"/>
        </w:numPr>
        <w:bidi w:val="0"/>
        <w:ind w:left="0" w:leftChars="0" w:firstLine="0" w:firstLineChars="0"/>
        <w:rPr>
          <w:rFonts w:hint="default" w:ascii="Times New Roman" w:hAnsi="Times New Roman" w:cs="Times New Roman"/>
          <w:color w:val="auto"/>
          <w:lang w:val="en-US" w:eastAsia="zh-CN"/>
        </w:rPr>
      </w:pPr>
      <w:bookmarkStart w:id="321" w:name="_Toc20256"/>
      <w:bookmarkStart w:id="322" w:name="_Toc27227"/>
      <w:bookmarkStart w:id="323" w:name="_Toc32209"/>
      <w:bookmarkStart w:id="324" w:name="_Toc28911"/>
      <w:bookmarkStart w:id="325" w:name="_Toc24994"/>
      <w:bookmarkStart w:id="326" w:name="_Toc10714"/>
      <w:r>
        <w:rPr>
          <w:rFonts w:hint="default" w:ascii="Times New Roman" w:hAnsi="Times New Roman" w:cs="Times New Roman"/>
          <w:color w:val="auto"/>
          <w:lang w:val="en-US" w:eastAsia="zh-CN"/>
        </w:rPr>
        <w:t>危险、有害因素辨识与分析</w:t>
      </w:r>
      <w:bookmarkEnd w:id="321"/>
      <w:bookmarkEnd w:id="322"/>
      <w:bookmarkEnd w:id="323"/>
      <w:bookmarkEnd w:id="324"/>
      <w:bookmarkEnd w:id="325"/>
      <w:bookmarkEnd w:id="326"/>
    </w:p>
    <w:p w14:paraId="6EDC1755">
      <w:pPr>
        <w:bidi w:val="0"/>
        <w:rPr>
          <w:rFonts w:hint="default"/>
          <w:color w:val="auto"/>
          <w:lang w:val="en-US" w:eastAsia="zh-CN"/>
        </w:rPr>
      </w:pPr>
      <w:r>
        <w:rPr>
          <w:rFonts w:hint="default"/>
          <w:color w:val="auto"/>
          <w:lang w:val="en-US" w:eastAsia="zh-CN"/>
        </w:rPr>
        <w:t>危险因素是指能对人造成伤亡或对物造成突发性损坏的因素</w:t>
      </w:r>
      <w:r>
        <w:rPr>
          <w:rFonts w:hint="eastAsia"/>
          <w:color w:val="auto"/>
          <w:lang w:val="en-US" w:eastAsia="zh-CN"/>
        </w:rPr>
        <w:t>，</w:t>
      </w:r>
      <w:r>
        <w:rPr>
          <w:rFonts w:hint="default"/>
          <w:color w:val="auto"/>
          <w:lang w:val="en-US" w:eastAsia="zh-CN"/>
        </w:rPr>
        <w:t>有害因素是指能影响人的身体健康、导致疾病或对物造成慢性损害的因素。所有的危险、有害因素尽管其表现形式不同，但从本质上讲，之所以能造成危险、有害的后果，都归结为存在危险有害物质、能量和危险有害物质、能量失去控制两方面因素的综合作用，并导致危险有害物质的泄漏、散发和能量的意外释放。因此，存在危险有害物质，能量失去控制是危险、有害因素转为事故的根本原因。</w:t>
      </w:r>
    </w:p>
    <w:p w14:paraId="3207E6BC">
      <w:pPr>
        <w:bidi w:val="0"/>
        <w:rPr>
          <w:rFonts w:hint="default"/>
          <w:color w:val="auto"/>
          <w:lang w:val="en-US" w:eastAsia="zh-CN"/>
        </w:rPr>
      </w:pPr>
      <w:r>
        <w:rPr>
          <w:rFonts w:hint="default"/>
          <w:color w:val="auto"/>
          <w:lang w:val="en-US" w:eastAsia="zh-CN"/>
        </w:rPr>
        <w:t>危险有害物质和能量失控主要体现在人的不安全行为、物的不安全状态和管理缺陷等三个方面。</w:t>
      </w:r>
    </w:p>
    <w:p w14:paraId="457065FF">
      <w:pPr>
        <w:bidi w:val="0"/>
        <w:rPr>
          <w:rFonts w:hint="default"/>
          <w:color w:val="auto"/>
          <w:lang w:val="en-US" w:eastAsia="zh-CN"/>
        </w:rPr>
      </w:pPr>
      <w:r>
        <w:rPr>
          <w:rFonts w:hint="default"/>
          <w:color w:val="auto"/>
          <w:lang w:val="en-US" w:eastAsia="zh-CN"/>
        </w:rPr>
        <w:t>按照《</w:t>
      </w:r>
      <w:r>
        <w:rPr>
          <w:rFonts w:hint="eastAsia"/>
          <w:color w:val="auto"/>
          <w:lang w:val="en-US" w:eastAsia="zh-CN"/>
        </w:rPr>
        <w:t>生产安全事故分类与编码</w:t>
      </w:r>
      <w:r>
        <w:rPr>
          <w:rFonts w:hint="default"/>
          <w:color w:val="auto"/>
          <w:lang w:val="en-US" w:eastAsia="zh-CN"/>
        </w:rPr>
        <w:t>》</w:t>
      </w:r>
      <w:r>
        <w:rPr>
          <w:rFonts w:hint="eastAsia"/>
          <w:color w:val="auto"/>
          <w:lang w:val="en-US" w:eastAsia="zh-CN"/>
        </w:rPr>
        <w:t>（GB6441-2025）</w:t>
      </w:r>
      <w:r>
        <w:rPr>
          <w:rFonts w:hint="default"/>
          <w:color w:val="auto"/>
          <w:lang w:val="en-US" w:eastAsia="zh-CN"/>
        </w:rPr>
        <w:t>，</w:t>
      </w:r>
      <w:r>
        <w:rPr>
          <w:rFonts w:hint="eastAsia"/>
          <w:color w:val="auto"/>
          <w:lang w:val="en-US" w:eastAsia="zh-CN"/>
        </w:rPr>
        <w:t>通过对项目的现场调查和资料收集，分析研究矿山提供的相关资料及图纸，针对项目生产过程中的生产工艺流程、作业环境条件、作业方式、运输过程、使用的主要设备装置及周围环境、水文地质、工程地质等特点，对危险、有类因素进行识别。</w:t>
      </w:r>
    </w:p>
    <w:p w14:paraId="7112CCBA">
      <w:pPr>
        <w:pStyle w:val="3"/>
        <w:bidi w:val="0"/>
        <w:rPr>
          <w:rFonts w:hint="default"/>
          <w:color w:val="auto"/>
          <w:lang w:val="en-US" w:eastAsia="zh-CN"/>
        </w:rPr>
      </w:pPr>
      <w:bookmarkStart w:id="327" w:name="_Toc29189"/>
      <w:bookmarkStart w:id="328" w:name="_Toc12300"/>
      <w:bookmarkStart w:id="329" w:name="_Toc3775"/>
      <w:bookmarkStart w:id="330" w:name="_Toc22771"/>
      <w:bookmarkStart w:id="331" w:name="_Toc1484"/>
      <w:bookmarkStart w:id="332" w:name="_Toc8418"/>
      <w:r>
        <w:rPr>
          <w:rFonts w:hint="default"/>
          <w:color w:val="auto"/>
          <w:lang w:val="en-US" w:eastAsia="zh-CN"/>
        </w:rPr>
        <w:t>3.1 危险因素辨识</w:t>
      </w:r>
      <w:bookmarkEnd w:id="327"/>
      <w:bookmarkEnd w:id="328"/>
      <w:bookmarkEnd w:id="329"/>
      <w:bookmarkEnd w:id="330"/>
      <w:bookmarkEnd w:id="331"/>
      <w:bookmarkEnd w:id="332"/>
    </w:p>
    <w:p w14:paraId="2FA9D933">
      <w:pPr>
        <w:pStyle w:val="4"/>
        <w:bidi w:val="0"/>
        <w:rPr>
          <w:rFonts w:hint="default"/>
          <w:color w:val="auto"/>
          <w:lang w:val="en-US" w:eastAsia="zh-CN"/>
        </w:rPr>
      </w:pPr>
      <w:bookmarkStart w:id="333" w:name="_Toc12891"/>
      <w:bookmarkStart w:id="334" w:name="_Toc5771"/>
      <w:bookmarkStart w:id="335" w:name="_Toc10263"/>
      <w:bookmarkStart w:id="336" w:name="_Toc16759"/>
      <w:bookmarkStart w:id="337" w:name="_Toc11430"/>
      <w:bookmarkStart w:id="338" w:name="_Toc2814"/>
      <w:r>
        <w:rPr>
          <w:rFonts w:hint="default"/>
          <w:color w:val="auto"/>
          <w:lang w:val="en-US" w:eastAsia="zh-CN"/>
        </w:rPr>
        <w:t xml:space="preserve">3.1.1 </w:t>
      </w:r>
      <w:bookmarkEnd w:id="333"/>
      <w:bookmarkEnd w:id="334"/>
      <w:bookmarkEnd w:id="335"/>
      <w:r>
        <w:rPr>
          <w:rFonts w:hint="default"/>
          <w:color w:val="auto"/>
          <w:lang w:val="en-US" w:eastAsia="zh-CN"/>
        </w:rPr>
        <w:t>民用爆炸物品爆炸</w:t>
      </w:r>
      <w:bookmarkEnd w:id="336"/>
      <w:bookmarkEnd w:id="337"/>
      <w:bookmarkEnd w:id="338"/>
    </w:p>
    <w:p w14:paraId="226D623D">
      <w:pPr>
        <w:bidi w:val="0"/>
        <w:rPr>
          <w:rFonts w:hint="default"/>
          <w:color w:val="auto"/>
          <w:lang w:val="en-US" w:eastAsia="zh-CN"/>
        </w:rPr>
      </w:pPr>
      <w:r>
        <w:rPr>
          <w:rFonts w:hint="default"/>
          <w:color w:val="auto"/>
          <w:lang w:val="en-US" w:eastAsia="zh-CN"/>
        </w:rPr>
        <w:t>民用爆炸物品在生产、经营、存储、运输或使用过程中发生爆炸造成的事故。</w:t>
      </w:r>
    </w:p>
    <w:p w14:paraId="7E7B7A66">
      <w:pPr>
        <w:bidi w:val="0"/>
        <w:rPr>
          <w:rFonts w:hint="default"/>
          <w:color w:val="auto"/>
          <w:lang w:val="en-US" w:eastAsia="zh-CN"/>
        </w:rPr>
      </w:pPr>
      <w:r>
        <w:rPr>
          <w:rFonts w:hint="eastAsia"/>
          <w:color w:val="auto"/>
          <w:lang w:val="en-US" w:eastAsia="zh-CN"/>
        </w:rPr>
        <w:t>鄱阳县响水滩乡禾互山建筑用石料矿露天爆破</w:t>
      </w:r>
      <w:r>
        <w:rPr>
          <w:rFonts w:hint="default"/>
          <w:color w:val="auto"/>
          <w:lang w:val="en-US" w:eastAsia="zh-CN"/>
        </w:rPr>
        <w:t>使用民用爆炸物品</w:t>
      </w:r>
      <w:r>
        <w:rPr>
          <w:rFonts w:hint="eastAsia"/>
          <w:color w:val="auto"/>
          <w:lang w:val="en-US" w:eastAsia="zh-CN"/>
        </w:rPr>
        <w:t>，</w:t>
      </w:r>
      <w:r>
        <w:rPr>
          <w:rFonts w:hint="default"/>
          <w:color w:val="auto"/>
          <w:lang w:val="en-US" w:eastAsia="zh-CN"/>
        </w:rPr>
        <w:t>民用爆炸物品从民用爆破器材库往矿山运输的途中、装药和起爆的过程中、未爆炸或未爆炸完全的炸药在装卸矿岩的过程中，都有发生爆炸可能。</w:t>
      </w:r>
    </w:p>
    <w:p w14:paraId="7D0664F0">
      <w:pPr>
        <w:bidi w:val="0"/>
        <w:rPr>
          <w:rFonts w:hint="eastAsia"/>
          <w:color w:val="auto"/>
          <w:lang w:val="en-US" w:eastAsia="zh-CN"/>
        </w:rPr>
      </w:pPr>
      <w:r>
        <w:rPr>
          <w:rFonts w:hint="eastAsia"/>
          <w:color w:val="auto"/>
          <w:lang w:val="en-US" w:eastAsia="zh-CN"/>
        </w:rPr>
        <w:t xml:space="preserve">1. </w:t>
      </w:r>
      <w:r>
        <w:rPr>
          <w:rFonts w:hint="default"/>
          <w:color w:val="auto"/>
          <w:lang w:val="en-US" w:eastAsia="zh-CN"/>
        </w:rPr>
        <w:t>可能发生民用爆炸物品事故的场所（过程）主要有：</w:t>
      </w:r>
    </w:p>
    <w:p w14:paraId="3B221BA1">
      <w:pPr>
        <w:bidi w:val="0"/>
        <w:rPr>
          <w:rFonts w:hint="eastAsia"/>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）爆破器材搬运过程；</w:t>
      </w:r>
    </w:p>
    <w:p w14:paraId="1BD4643B">
      <w:pPr>
        <w:bidi w:val="0"/>
        <w:rPr>
          <w:rFonts w:hint="eastAsia"/>
          <w:color w:val="auto"/>
          <w:lang w:val="en-US" w:eastAsia="zh-CN"/>
        </w:rPr>
      </w:pPr>
      <w:r>
        <w:rPr>
          <w:rFonts w:hint="eastAsia"/>
          <w:color w:val="auto"/>
          <w:lang w:val="en-US" w:eastAsia="zh-CN"/>
        </w:rPr>
        <w:t>（2）爆破器材</w:t>
      </w:r>
      <w:r>
        <w:rPr>
          <w:rFonts w:hint="default"/>
          <w:color w:val="auto"/>
          <w:lang w:val="en-US" w:eastAsia="zh-CN"/>
        </w:rPr>
        <w:t>临时存放点</w:t>
      </w:r>
      <w:r>
        <w:rPr>
          <w:rFonts w:hint="eastAsia"/>
          <w:color w:val="auto"/>
          <w:lang w:val="en-US" w:eastAsia="zh-CN"/>
        </w:rPr>
        <w:t>；</w:t>
      </w:r>
    </w:p>
    <w:p w14:paraId="1D032DF7">
      <w:pPr>
        <w:bidi w:val="0"/>
        <w:rPr>
          <w:rFonts w:hint="default"/>
          <w:color w:val="auto"/>
          <w:lang w:val="en-US" w:eastAsia="zh-CN"/>
        </w:rPr>
      </w:pPr>
      <w:r>
        <w:rPr>
          <w:rFonts w:hint="eastAsia"/>
          <w:color w:val="auto"/>
          <w:lang w:val="en-US" w:eastAsia="zh-CN"/>
        </w:rPr>
        <w:t>（3）</w:t>
      </w:r>
      <w:r>
        <w:rPr>
          <w:rFonts w:hint="default"/>
          <w:color w:val="auto"/>
          <w:lang w:val="en-US" w:eastAsia="zh-CN"/>
        </w:rPr>
        <w:t>不合格爆破器材处理地点</w:t>
      </w:r>
      <w:r>
        <w:rPr>
          <w:rFonts w:hint="eastAsia"/>
          <w:color w:val="auto"/>
          <w:lang w:val="en-US" w:eastAsia="zh-CN"/>
        </w:rPr>
        <w:t>；</w:t>
      </w:r>
    </w:p>
    <w:p w14:paraId="0121FF25">
      <w:pPr>
        <w:bidi w:val="0"/>
        <w:rPr>
          <w:rFonts w:hint="default"/>
          <w:color w:val="auto"/>
          <w:lang w:val="en-US" w:eastAsia="zh-CN"/>
        </w:rPr>
      </w:pPr>
      <w:r>
        <w:rPr>
          <w:rFonts w:hint="eastAsia"/>
          <w:color w:val="auto"/>
          <w:lang w:val="en-US" w:eastAsia="zh-CN"/>
        </w:rPr>
        <w:t>（4）</w:t>
      </w:r>
      <w:r>
        <w:rPr>
          <w:rFonts w:hint="default"/>
          <w:color w:val="auto"/>
          <w:lang w:val="en-US" w:eastAsia="zh-CN"/>
        </w:rPr>
        <w:t>爆破作业场所等</w:t>
      </w:r>
      <w:r>
        <w:rPr>
          <w:rFonts w:hint="eastAsia"/>
          <w:color w:val="auto"/>
          <w:lang w:val="en-US" w:eastAsia="zh-CN"/>
        </w:rPr>
        <w:t>。</w:t>
      </w:r>
    </w:p>
    <w:p w14:paraId="3D6AD64E">
      <w:pPr>
        <w:bidi w:val="0"/>
        <w:rPr>
          <w:rFonts w:hint="default"/>
          <w:color w:val="auto"/>
          <w:lang w:val="en-US" w:eastAsia="zh-CN"/>
        </w:rPr>
      </w:pPr>
      <w:r>
        <w:rPr>
          <w:rFonts w:hint="eastAsia"/>
          <w:color w:val="auto"/>
          <w:lang w:val="en-US" w:eastAsia="zh-CN"/>
        </w:rPr>
        <w:t xml:space="preserve">2. </w:t>
      </w:r>
      <w:r>
        <w:rPr>
          <w:rFonts w:hint="default"/>
          <w:color w:val="auto"/>
          <w:lang w:val="en-US" w:eastAsia="zh-CN"/>
        </w:rPr>
        <w:t>产生民用爆炸物品爆炸的原因</w:t>
      </w:r>
    </w:p>
    <w:p w14:paraId="3A6851F4">
      <w:pPr>
        <w:bidi w:val="0"/>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爆破警戒不严、信号不明、安全距离不够</w:t>
      </w:r>
      <w:r>
        <w:rPr>
          <w:rFonts w:hint="eastAsia"/>
          <w:color w:val="auto"/>
          <w:lang w:val="en-US" w:eastAsia="zh-CN"/>
        </w:rPr>
        <w:t>；</w:t>
      </w:r>
    </w:p>
    <w:p w14:paraId="16ED7350">
      <w:pPr>
        <w:bidi w:val="0"/>
        <w:rPr>
          <w:rFonts w:hint="default"/>
          <w:color w:val="auto"/>
          <w:lang w:val="en-US" w:eastAsia="zh-CN"/>
        </w:rPr>
      </w:pP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引爆时人员未来得及撒出爆破作业场所</w:t>
      </w:r>
      <w:r>
        <w:rPr>
          <w:rFonts w:hint="eastAsia"/>
          <w:color w:val="auto"/>
          <w:lang w:val="en-US" w:eastAsia="zh-CN"/>
        </w:rPr>
        <w:t>；</w:t>
      </w:r>
    </w:p>
    <w:p w14:paraId="2F84B496">
      <w:pPr>
        <w:bidi w:val="0"/>
        <w:rPr>
          <w:rFonts w:hint="default"/>
          <w:color w:val="auto"/>
          <w:lang w:val="en-US" w:eastAsia="zh-CN"/>
        </w:rPr>
      </w:pP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使用不合格爆破器材</w:t>
      </w:r>
      <w:r>
        <w:rPr>
          <w:rFonts w:hint="eastAsia"/>
          <w:color w:val="auto"/>
          <w:lang w:val="en-US" w:eastAsia="zh-CN"/>
        </w:rPr>
        <w:t>；</w:t>
      </w:r>
    </w:p>
    <w:p w14:paraId="59263DA2">
      <w:pPr>
        <w:bidi w:val="0"/>
        <w:rPr>
          <w:rFonts w:hint="default"/>
          <w:color w:val="auto"/>
          <w:lang w:val="en-US" w:eastAsia="zh-CN"/>
        </w:rPr>
      </w:pP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爆破后过早进入爆破工作面或看回火</w:t>
      </w:r>
      <w:r>
        <w:rPr>
          <w:rFonts w:hint="eastAsia"/>
          <w:color w:val="auto"/>
          <w:lang w:val="en-US" w:eastAsia="zh-CN"/>
        </w:rPr>
        <w:t>；</w:t>
      </w:r>
    </w:p>
    <w:p w14:paraId="5B9D1F6D">
      <w:pPr>
        <w:bidi w:val="0"/>
        <w:rPr>
          <w:rFonts w:hint="default"/>
          <w:color w:val="auto"/>
          <w:lang w:val="en-US" w:eastAsia="zh-CN"/>
        </w:rPr>
      </w:pPr>
      <w:r>
        <w:rPr>
          <w:rFonts w:hint="eastAsia"/>
          <w:color w:val="auto"/>
          <w:lang w:val="en-US" w:eastAsia="zh-CN"/>
        </w:rPr>
        <w:t>（</w:t>
      </w:r>
      <w:r>
        <w:rPr>
          <w:rFonts w:hint="default"/>
          <w:color w:val="auto"/>
          <w:lang w:val="en-US" w:eastAsia="zh-CN"/>
        </w:rPr>
        <w:t>5</w:t>
      </w:r>
      <w:r>
        <w:rPr>
          <w:rFonts w:hint="eastAsia"/>
          <w:color w:val="auto"/>
          <w:lang w:val="en-US" w:eastAsia="zh-CN"/>
        </w:rPr>
        <w:t>）</w:t>
      </w:r>
      <w:r>
        <w:rPr>
          <w:rFonts w:hint="default"/>
          <w:color w:val="auto"/>
          <w:lang w:val="en-US" w:eastAsia="zh-CN"/>
        </w:rPr>
        <w:t>杂散电流引发提前爆炸</w:t>
      </w:r>
      <w:r>
        <w:rPr>
          <w:rFonts w:hint="eastAsia"/>
          <w:color w:val="auto"/>
          <w:lang w:val="en-US" w:eastAsia="zh-CN"/>
        </w:rPr>
        <w:t>；</w:t>
      </w:r>
    </w:p>
    <w:p w14:paraId="2FA4699D">
      <w:pPr>
        <w:bidi w:val="0"/>
        <w:rPr>
          <w:rFonts w:hint="default"/>
          <w:color w:val="auto"/>
          <w:lang w:val="en-US" w:eastAsia="zh-CN"/>
        </w:rPr>
      </w:pPr>
      <w:r>
        <w:rPr>
          <w:rFonts w:hint="eastAsia"/>
          <w:color w:val="auto"/>
          <w:lang w:val="en-US" w:eastAsia="zh-CN"/>
        </w:rPr>
        <w:t>（</w:t>
      </w:r>
      <w:r>
        <w:rPr>
          <w:rFonts w:hint="default"/>
          <w:color w:val="auto"/>
          <w:lang w:val="en-US" w:eastAsia="zh-CN"/>
        </w:rPr>
        <w:t>6</w:t>
      </w:r>
      <w:r>
        <w:rPr>
          <w:rFonts w:hint="eastAsia"/>
          <w:color w:val="auto"/>
          <w:lang w:val="en-US" w:eastAsia="zh-CN"/>
        </w:rPr>
        <w:t>）</w:t>
      </w:r>
      <w:r>
        <w:rPr>
          <w:rFonts w:hint="default"/>
          <w:color w:val="auto"/>
          <w:lang w:val="en-US" w:eastAsia="zh-CN"/>
        </w:rPr>
        <w:t>非爆破专业人员作业、爆破作业人员违章</w:t>
      </w:r>
      <w:r>
        <w:rPr>
          <w:rFonts w:hint="eastAsia"/>
          <w:color w:val="auto"/>
          <w:lang w:val="en-US" w:eastAsia="zh-CN"/>
        </w:rPr>
        <w:t>。</w:t>
      </w:r>
    </w:p>
    <w:p w14:paraId="704CCFAA">
      <w:pPr>
        <w:pStyle w:val="4"/>
        <w:bidi w:val="0"/>
        <w:rPr>
          <w:rFonts w:hint="default"/>
          <w:color w:val="auto"/>
          <w:lang w:val="en-US" w:eastAsia="zh-CN"/>
        </w:rPr>
      </w:pPr>
      <w:bookmarkStart w:id="339" w:name="_Toc7836"/>
      <w:bookmarkStart w:id="340" w:name="_Toc15175"/>
      <w:bookmarkStart w:id="341" w:name="_Toc23769"/>
      <w:bookmarkStart w:id="342" w:name="_Toc24581"/>
      <w:bookmarkStart w:id="343" w:name="_Toc7024"/>
      <w:bookmarkStart w:id="344" w:name="_Toc11772"/>
      <w:r>
        <w:rPr>
          <w:rFonts w:hint="default"/>
          <w:color w:val="auto"/>
          <w:lang w:val="en-US" w:eastAsia="zh-CN"/>
        </w:rPr>
        <w:t>3.1.</w:t>
      </w:r>
      <w:r>
        <w:rPr>
          <w:rFonts w:hint="eastAsia"/>
          <w:color w:val="auto"/>
          <w:lang w:val="en-US" w:eastAsia="zh-CN"/>
        </w:rPr>
        <w:t>2</w:t>
      </w:r>
      <w:r>
        <w:rPr>
          <w:rFonts w:hint="default"/>
          <w:color w:val="auto"/>
          <w:lang w:val="en-US" w:eastAsia="zh-CN"/>
        </w:rPr>
        <w:t xml:space="preserve"> 坍塌</w:t>
      </w:r>
      <w:bookmarkEnd w:id="339"/>
      <w:bookmarkEnd w:id="340"/>
      <w:bookmarkEnd w:id="341"/>
    </w:p>
    <w:p w14:paraId="3D8D8E5D">
      <w:pPr>
        <w:bidi w:val="0"/>
        <w:rPr>
          <w:rFonts w:hint="default"/>
          <w:color w:val="auto"/>
          <w:lang w:val="en-US" w:eastAsia="zh-CN"/>
        </w:rPr>
      </w:pPr>
      <w:r>
        <w:rPr>
          <w:rFonts w:hint="default"/>
          <w:color w:val="auto"/>
          <w:lang w:val="en-US" w:eastAsia="zh-CN"/>
        </w:rPr>
        <w:t>建筑物、构筑物或堆置物等在外力、重力或环境作用下超过自身的强度极限或因结构稳定性破坏发生塌落、倾倒造成的事故。</w:t>
      </w:r>
    </w:p>
    <w:p w14:paraId="30C861B2">
      <w:pPr>
        <w:bidi w:val="0"/>
        <w:rPr>
          <w:rFonts w:hint="default"/>
          <w:color w:val="auto"/>
          <w:lang w:val="en-US" w:eastAsia="zh-CN"/>
        </w:rPr>
      </w:pPr>
      <w:r>
        <w:rPr>
          <w:rFonts w:hint="default"/>
          <w:color w:val="auto"/>
          <w:lang w:val="en-US" w:eastAsia="zh-CN"/>
        </w:rPr>
        <w:t>1</w:t>
      </w:r>
      <w:r>
        <w:rPr>
          <w:rFonts w:hint="eastAsia"/>
          <w:color w:val="auto"/>
          <w:lang w:val="en-US" w:eastAsia="zh-CN"/>
        </w:rPr>
        <w:t xml:space="preserve">. </w:t>
      </w:r>
      <w:r>
        <w:rPr>
          <w:rFonts w:hint="default"/>
          <w:color w:val="auto"/>
          <w:lang w:val="en-US" w:eastAsia="zh-CN"/>
        </w:rPr>
        <w:t>坍塌事故发生的原因</w:t>
      </w:r>
    </w:p>
    <w:p w14:paraId="24BA9BD3">
      <w:pPr>
        <w:bidi w:val="0"/>
        <w:rPr>
          <w:rFonts w:hint="default"/>
          <w:color w:val="auto"/>
          <w:lang w:val="en-US" w:eastAsia="zh-CN"/>
        </w:rPr>
      </w:pPr>
      <w:r>
        <w:rPr>
          <w:rFonts w:hint="eastAsia"/>
          <w:color w:val="auto"/>
          <w:lang w:val="en-US" w:eastAsia="zh-CN"/>
        </w:rPr>
        <w:t>（</w:t>
      </w:r>
      <w:r>
        <w:rPr>
          <w:rFonts w:hint="default"/>
          <w:color w:val="auto"/>
          <w:lang w:val="en-US" w:eastAsia="zh-CN"/>
        </w:rPr>
        <w:t>1）边坡设计不合理；</w:t>
      </w:r>
    </w:p>
    <w:p w14:paraId="196B005A">
      <w:pPr>
        <w:bidi w:val="0"/>
        <w:rPr>
          <w:rFonts w:hint="default"/>
          <w:color w:val="auto"/>
          <w:lang w:val="en-US" w:eastAsia="zh-CN"/>
        </w:rPr>
      </w:pPr>
      <w:r>
        <w:rPr>
          <w:rFonts w:hint="eastAsia"/>
          <w:color w:val="auto"/>
          <w:lang w:val="en-US" w:eastAsia="zh-CN"/>
        </w:rPr>
        <w:t>（2</w:t>
      </w:r>
      <w:r>
        <w:rPr>
          <w:rFonts w:hint="default"/>
          <w:color w:val="auto"/>
          <w:lang w:val="en-US" w:eastAsia="zh-CN"/>
        </w:rPr>
        <w:t>）存在地质构造、断层、破碎带、层理、节理等；</w:t>
      </w:r>
    </w:p>
    <w:p w14:paraId="071FFF2F">
      <w:pPr>
        <w:bidi w:val="0"/>
        <w:rPr>
          <w:rFonts w:hint="default"/>
          <w:color w:val="auto"/>
          <w:lang w:val="en-US" w:eastAsia="zh-CN"/>
        </w:rPr>
      </w:pPr>
      <w:r>
        <w:rPr>
          <w:rFonts w:hint="eastAsia"/>
          <w:color w:val="auto"/>
          <w:lang w:val="en-US" w:eastAsia="zh-CN"/>
        </w:rPr>
        <w:t>（3</w:t>
      </w:r>
      <w:r>
        <w:rPr>
          <w:rFonts w:hint="default"/>
          <w:color w:val="auto"/>
          <w:lang w:val="en-US" w:eastAsia="zh-CN"/>
        </w:rPr>
        <w:t>）应该进行处理的边坡未进行处理或处理不当；</w:t>
      </w:r>
    </w:p>
    <w:p w14:paraId="72AD3613">
      <w:pPr>
        <w:bidi w:val="0"/>
        <w:rPr>
          <w:rFonts w:hint="default"/>
          <w:color w:val="auto"/>
          <w:lang w:val="en-US" w:eastAsia="zh-CN"/>
        </w:rPr>
      </w:pPr>
      <w:r>
        <w:rPr>
          <w:rFonts w:hint="eastAsia"/>
          <w:color w:val="auto"/>
          <w:lang w:val="en-US" w:eastAsia="zh-CN"/>
        </w:rPr>
        <w:t>（4</w:t>
      </w:r>
      <w:r>
        <w:rPr>
          <w:rFonts w:hint="default"/>
          <w:color w:val="auto"/>
          <w:lang w:val="en-US" w:eastAsia="zh-CN"/>
        </w:rPr>
        <w:t>）未设置边坡的防、排水设施，以及边坡的防、排水设施存在缺陷或不起作用；</w:t>
      </w:r>
    </w:p>
    <w:p w14:paraId="595F569F">
      <w:pPr>
        <w:bidi w:val="0"/>
        <w:rPr>
          <w:rFonts w:hint="default"/>
          <w:color w:val="auto"/>
          <w:lang w:val="en-US" w:eastAsia="zh-CN"/>
        </w:rPr>
      </w:pPr>
      <w:r>
        <w:rPr>
          <w:rFonts w:hint="eastAsia"/>
          <w:color w:val="auto"/>
          <w:lang w:val="en-US" w:eastAsia="zh-CN"/>
        </w:rPr>
        <w:t>（</w:t>
      </w:r>
      <w:r>
        <w:rPr>
          <w:rFonts w:hint="default"/>
          <w:color w:val="auto"/>
          <w:lang w:val="en-US" w:eastAsia="zh-CN"/>
        </w:rPr>
        <w:t>6）违章作业；</w:t>
      </w:r>
    </w:p>
    <w:p w14:paraId="727ECE4B">
      <w:pPr>
        <w:bidi w:val="0"/>
        <w:rPr>
          <w:rFonts w:hint="default"/>
          <w:color w:val="auto"/>
          <w:lang w:val="en-US" w:eastAsia="zh-CN"/>
        </w:rPr>
      </w:pPr>
      <w:r>
        <w:rPr>
          <w:rFonts w:hint="eastAsia"/>
          <w:color w:val="auto"/>
          <w:lang w:val="en-US" w:eastAsia="zh-CN"/>
        </w:rPr>
        <w:t>（</w:t>
      </w:r>
      <w:r>
        <w:rPr>
          <w:rFonts w:hint="default"/>
          <w:color w:val="auto"/>
          <w:lang w:val="en-US" w:eastAsia="zh-CN"/>
        </w:rPr>
        <w:t>7）其他异常情况等。</w:t>
      </w:r>
    </w:p>
    <w:p w14:paraId="32F80F03">
      <w:pPr>
        <w:bidi w:val="0"/>
        <w:rPr>
          <w:rFonts w:hint="default"/>
          <w:color w:val="auto"/>
          <w:lang w:val="en-US" w:eastAsia="zh-CN"/>
        </w:rPr>
      </w:pPr>
      <w:r>
        <w:rPr>
          <w:rFonts w:hint="default"/>
          <w:color w:val="auto"/>
          <w:lang w:val="en-US" w:eastAsia="zh-CN"/>
        </w:rPr>
        <w:t>2</w:t>
      </w:r>
      <w:r>
        <w:rPr>
          <w:rFonts w:hint="eastAsia"/>
          <w:color w:val="auto"/>
          <w:lang w:val="en-US" w:eastAsia="zh-CN"/>
        </w:rPr>
        <w:t xml:space="preserve">. </w:t>
      </w:r>
      <w:r>
        <w:rPr>
          <w:rFonts w:hint="default"/>
          <w:color w:val="auto"/>
          <w:lang w:val="en-US" w:eastAsia="zh-CN"/>
        </w:rPr>
        <w:t>容易发生坍塌事故的场所</w:t>
      </w:r>
    </w:p>
    <w:p w14:paraId="24306FEA">
      <w:pPr>
        <w:bidi w:val="0"/>
        <w:rPr>
          <w:rFonts w:hint="default"/>
          <w:color w:val="auto"/>
          <w:lang w:val="en-US" w:eastAsia="zh-CN"/>
        </w:rPr>
      </w:pPr>
      <w:r>
        <w:rPr>
          <w:rFonts w:hint="default"/>
          <w:color w:val="auto"/>
          <w:lang w:val="en-US" w:eastAsia="zh-CN"/>
        </w:rPr>
        <w:t>在生产过程中，容易发生坍塌事故的场所（过程）主要有：</w:t>
      </w:r>
    </w:p>
    <w:p w14:paraId="2B3FA8C7">
      <w:pPr>
        <w:bidi w:val="0"/>
        <w:rPr>
          <w:rFonts w:hint="default"/>
          <w:color w:val="auto"/>
          <w:lang w:val="en-US" w:eastAsia="zh-CN"/>
        </w:rPr>
      </w:pPr>
      <w:r>
        <w:rPr>
          <w:rFonts w:hint="eastAsia"/>
          <w:color w:val="auto"/>
          <w:lang w:val="en-US" w:eastAsia="zh-CN"/>
        </w:rPr>
        <w:t>（</w:t>
      </w:r>
      <w:r>
        <w:rPr>
          <w:rFonts w:hint="default"/>
          <w:color w:val="auto"/>
          <w:lang w:val="en-US" w:eastAsia="zh-CN"/>
        </w:rPr>
        <w:t>1）露天开采形成的边坡处；</w:t>
      </w:r>
      <w:r>
        <w:rPr>
          <w:rFonts w:hint="eastAsia"/>
          <w:color w:val="auto"/>
          <w:lang w:val="en-US" w:eastAsia="zh-CN"/>
        </w:rPr>
        <w:t>（</w:t>
      </w:r>
      <w:r>
        <w:rPr>
          <w:rFonts w:hint="default"/>
          <w:color w:val="auto"/>
          <w:lang w:val="en-US" w:eastAsia="zh-CN"/>
        </w:rPr>
        <w:t>2）台阶作业面；</w:t>
      </w:r>
      <w:r>
        <w:rPr>
          <w:rFonts w:hint="eastAsia"/>
          <w:color w:val="auto"/>
          <w:lang w:val="en-US" w:eastAsia="zh-CN"/>
        </w:rPr>
        <w:t>（3</w:t>
      </w:r>
      <w:r>
        <w:rPr>
          <w:rFonts w:hint="default"/>
          <w:color w:val="auto"/>
          <w:lang w:val="en-US" w:eastAsia="zh-CN"/>
        </w:rPr>
        <w:t>）其他超高堆放物体的场所。</w:t>
      </w:r>
    </w:p>
    <w:p w14:paraId="1FEBFDEF">
      <w:pPr>
        <w:bidi w:val="0"/>
        <w:rPr>
          <w:rFonts w:hint="default"/>
          <w:color w:val="auto"/>
          <w:lang w:val="en-US" w:eastAsia="zh-CN"/>
        </w:rPr>
      </w:pPr>
      <w:r>
        <w:rPr>
          <w:rFonts w:hint="default"/>
          <w:color w:val="auto"/>
          <w:lang w:val="en-US" w:eastAsia="zh-CN"/>
        </w:rPr>
        <w:t>（3）引起后果</w:t>
      </w:r>
    </w:p>
    <w:p w14:paraId="047AC977">
      <w:pPr>
        <w:bidi w:val="0"/>
        <w:rPr>
          <w:rFonts w:hint="default"/>
          <w:color w:val="auto"/>
          <w:lang w:val="en-US" w:eastAsia="zh-CN"/>
        </w:rPr>
      </w:pPr>
      <w:r>
        <w:rPr>
          <w:rFonts w:hint="default"/>
          <w:color w:val="auto"/>
          <w:lang w:val="en-US" w:eastAsia="zh-CN"/>
        </w:rPr>
        <w:t>引起人员伤亡、设备设施损坏</w:t>
      </w:r>
    </w:p>
    <w:p w14:paraId="09E9DA2F">
      <w:pPr>
        <w:pStyle w:val="4"/>
        <w:bidi w:val="0"/>
        <w:rPr>
          <w:rFonts w:hint="default"/>
          <w:color w:val="auto"/>
          <w:lang w:val="en-US" w:eastAsia="zh-CN"/>
        </w:rPr>
      </w:pPr>
      <w:bookmarkStart w:id="345" w:name="_Toc6639"/>
      <w:bookmarkStart w:id="346" w:name="_Toc31141"/>
      <w:bookmarkStart w:id="347" w:name="_Toc27569"/>
      <w:r>
        <w:rPr>
          <w:rFonts w:hint="eastAsia"/>
          <w:color w:val="auto"/>
          <w:lang w:val="en-US" w:eastAsia="zh-CN"/>
        </w:rPr>
        <w:t>3.1.3 厂（场）内车辆致害</w:t>
      </w:r>
      <w:bookmarkEnd w:id="345"/>
      <w:bookmarkEnd w:id="346"/>
      <w:bookmarkEnd w:id="347"/>
    </w:p>
    <w:p w14:paraId="11F3B36E">
      <w:pPr>
        <w:bidi w:val="0"/>
        <w:rPr>
          <w:rFonts w:hint="default"/>
          <w:color w:val="auto"/>
          <w:lang w:val="en-US" w:eastAsia="zh-CN"/>
        </w:rPr>
      </w:pPr>
      <w:r>
        <w:rPr>
          <w:rFonts w:hint="default"/>
          <w:color w:val="auto"/>
          <w:lang w:val="en-US" w:eastAsia="zh-CN"/>
        </w:rPr>
        <w:t>车辆在生产经营单位内部或生产作业场所内进行生产经营活动过程中由于碰撞、刮擦、碾压、挤压、翻车、脱轨等造成的事故。</w:t>
      </w:r>
    </w:p>
    <w:p w14:paraId="2622D9CE">
      <w:pPr>
        <w:bidi w:val="0"/>
        <w:rPr>
          <w:rFonts w:hint="default"/>
          <w:color w:val="auto"/>
          <w:lang w:val="en-US" w:eastAsia="zh-CN"/>
        </w:rPr>
      </w:pPr>
      <w:r>
        <w:rPr>
          <w:rFonts w:hint="default"/>
          <w:color w:val="auto"/>
          <w:lang w:val="en-US" w:eastAsia="zh-CN"/>
        </w:rPr>
        <w:t>露天开采通常采用自卸汽车作为矿石、废石运输载体，此外人员上下班及管理人员现场检查乘用汽车</w:t>
      </w:r>
      <w:r>
        <w:rPr>
          <w:rFonts w:hint="eastAsia"/>
          <w:color w:val="auto"/>
          <w:lang w:val="en-US" w:eastAsia="zh-CN"/>
        </w:rPr>
        <w:t>；</w:t>
      </w:r>
      <w:r>
        <w:rPr>
          <w:rFonts w:hint="default"/>
          <w:color w:val="auto"/>
          <w:lang w:val="en-US" w:eastAsia="zh-CN"/>
        </w:rPr>
        <w:t>因此，厂（场）内车辆致害</w:t>
      </w:r>
      <w:r>
        <w:rPr>
          <w:rFonts w:hint="eastAsia"/>
          <w:color w:val="auto"/>
          <w:lang w:val="en-US" w:eastAsia="zh-CN"/>
        </w:rPr>
        <w:t>（如挖机、铲车铲装）</w:t>
      </w:r>
      <w:r>
        <w:rPr>
          <w:rFonts w:hint="default"/>
          <w:color w:val="auto"/>
          <w:lang w:val="en-US" w:eastAsia="zh-CN"/>
        </w:rPr>
        <w:t>也是露天开采最常见的伤害形式之</w:t>
      </w:r>
      <w:r>
        <w:rPr>
          <w:rFonts w:hint="eastAsia"/>
          <w:color w:val="auto"/>
          <w:lang w:val="en-US" w:eastAsia="zh-CN"/>
        </w:rPr>
        <w:t>一。</w:t>
      </w:r>
    </w:p>
    <w:p w14:paraId="51789A94">
      <w:pPr>
        <w:bidi w:val="0"/>
        <w:rPr>
          <w:rFonts w:hint="default"/>
          <w:color w:val="auto"/>
          <w:lang w:val="en-US" w:eastAsia="zh-CN"/>
        </w:rPr>
      </w:pPr>
      <w:r>
        <w:rPr>
          <w:rFonts w:hint="default"/>
          <w:color w:val="auto"/>
          <w:lang w:val="en-US" w:eastAsia="zh-CN"/>
        </w:rPr>
        <w:t>1</w:t>
      </w:r>
      <w:r>
        <w:rPr>
          <w:rFonts w:hint="eastAsia"/>
          <w:color w:val="auto"/>
          <w:lang w:val="en-US" w:eastAsia="zh-CN"/>
        </w:rPr>
        <w:t xml:space="preserve">. </w:t>
      </w:r>
      <w:r>
        <w:rPr>
          <w:rFonts w:hint="default"/>
          <w:color w:val="auto"/>
          <w:lang w:val="en-US" w:eastAsia="zh-CN"/>
        </w:rPr>
        <w:t>厂（场）内车辆致害的主要原因</w:t>
      </w:r>
    </w:p>
    <w:p w14:paraId="08BFCFB8">
      <w:pPr>
        <w:bidi w:val="0"/>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违规操作</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车况不好、车辆保养不良</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路况不好、视线不良</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驾驶人员经验技术欠缺等。</w:t>
      </w:r>
    </w:p>
    <w:p w14:paraId="78A05954">
      <w:pPr>
        <w:bidi w:val="0"/>
        <w:rPr>
          <w:rFonts w:hint="eastAsia"/>
          <w:color w:val="auto"/>
          <w:lang w:val="en-US" w:eastAsia="zh-CN"/>
        </w:rPr>
      </w:pPr>
      <w:r>
        <w:rPr>
          <w:rFonts w:hint="default"/>
          <w:color w:val="auto"/>
          <w:lang w:val="en-US" w:eastAsia="zh-CN"/>
        </w:rPr>
        <w:t>2</w:t>
      </w:r>
      <w:r>
        <w:rPr>
          <w:rFonts w:hint="eastAsia"/>
          <w:color w:val="auto"/>
          <w:lang w:val="en-US" w:eastAsia="zh-CN"/>
        </w:rPr>
        <w:t xml:space="preserve">. </w:t>
      </w:r>
      <w:r>
        <w:rPr>
          <w:rFonts w:hint="default"/>
          <w:color w:val="auto"/>
          <w:lang w:val="en-US" w:eastAsia="zh-CN"/>
        </w:rPr>
        <w:t>容易发生厂（场）内车辆致害的场所</w:t>
      </w:r>
      <w:r>
        <w:rPr>
          <w:rFonts w:hint="eastAsia"/>
          <w:color w:val="auto"/>
          <w:lang w:val="en-US" w:eastAsia="zh-CN"/>
        </w:rPr>
        <w:t>（</w:t>
      </w:r>
      <w:r>
        <w:rPr>
          <w:rFonts w:hint="default"/>
          <w:color w:val="auto"/>
          <w:lang w:val="en-US" w:eastAsia="zh-CN"/>
        </w:rPr>
        <w:t>过程</w:t>
      </w:r>
      <w:r>
        <w:rPr>
          <w:rFonts w:hint="eastAsia"/>
          <w:color w:val="auto"/>
          <w:lang w:val="en-US" w:eastAsia="zh-CN"/>
        </w:rPr>
        <w:t>）</w:t>
      </w:r>
    </w:p>
    <w:p w14:paraId="2B83FCB4">
      <w:pPr>
        <w:bidi w:val="0"/>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矿石、废石的装载、卸排点</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矿石、废石的运输过程</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人员上下班途中、工作人员乘坐车辆赴矿山现场进行安全检查。</w:t>
      </w:r>
    </w:p>
    <w:p w14:paraId="0B4C501C">
      <w:pPr>
        <w:bidi w:val="0"/>
        <w:rPr>
          <w:rFonts w:hint="default"/>
          <w:color w:val="auto"/>
          <w:lang w:val="en-US" w:eastAsia="zh-CN"/>
        </w:rPr>
      </w:pPr>
      <w:r>
        <w:rPr>
          <w:rFonts w:hint="default"/>
          <w:color w:val="auto"/>
          <w:lang w:val="en-US" w:eastAsia="zh-CN"/>
        </w:rPr>
        <w:t>3</w:t>
      </w:r>
      <w:r>
        <w:rPr>
          <w:rFonts w:hint="eastAsia"/>
          <w:color w:val="auto"/>
          <w:lang w:val="en-US" w:eastAsia="zh-CN"/>
        </w:rPr>
        <w:t xml:space="preserve">. </w:t>
      </w:r>
      <w:r>
        <w:rPr>
          <w:rFonts w:hint="default"/>
          <w:color w:val="auto"/>
          <w:lang w:val="en-US" w:eastAsia="zh-CN"/>
        </w:rPr>
        <w:t>引起后果</w:t>
      </w:r>
    </w:p>
    <w:p w14:paraId="4FF13F59">
      <w:pPr>
        <w:bidi w:val="0"/>
        <w:rPr>
          <w:rFonts w:hint="default"/>
          <w:color w:val="auto"/>
          <w:lang w:val="en-US" w:eastAsia="zh-CN"/>
        </w:rPr>
      </w:pPr>
      <w:r>
        <w:rPr>
          <w:rFonts w:hint="default"/>
          <w:color w:val="auto"/>
          <w:lang w:val="en-US" w:eastAsia="zh-CN"/>
        </w:rPr>
        <w:t>引起人员伤亡、车辆损毁。</w:t>
      </w:r>
    </w:p>
    <w:p w14:paraId="5BF36BF4">
      <w:pPr>
        <w:pStyle w:val="4"/>
        <w:bidi w:val="0"/>
        <w:rPr>
          <w:rFonts w:hint="default"/>
          <w:color w:val="auto"/>
          <w:lang w:val="en-US" w:eastAsia="zh-CN"/>
        </w:rPr>
      </w:pPr>
      <w:bookmarkStart w:id="348" w:name="_Toc23267"/>
      <w:bookmarkStart w:id="349" w:name="_Toc10623"/>
      <w:bookmarkStart w:id="350" w:name="_Toc26979"/>
      <w:r>
        <w:rPr>
          <w:rFonts w:hint="eastAsia"/>
          <w:color w:val="auto"/>
          <w:lang w:val="en-US" w:eastAsia="zh-CN"/>
        </w:rPr>
        <w:t>3.1.4 机械致害</w:t>
      </w:r>
      <w:bookmarkEnd w:id="348"/>
      <w:bookmarkEnd w:id="349"/>
      <w:bookmarkEnd w:id="350"/>
    </w:p>
    <w:p w14:paraId="55FC12BC">
      <w:pPr>
        <w:rPr>
          <w:rFonts w:hint="default"/>
          <w:color w:val="auto"/>
          <w:lang w:val="en-US" w:eastAsia="zh-CN"/>
        </w:rPr>
      </w:pPr>
      <w:r>
        <w:rPr>
          <w:rFonts w:hint="default"/>
          <w:color w:val="auto"/>
          <w:lang w:val="en-US" w:eastAsia="zh-CN"/>
        </w:rPr>
        <w:t>机械设备（含部件）或加工件直接与人体或设备设施接触造成的夹击、碾压、绞、剪切、割、刺及物体飞溅等事故。</w:t>
      </w:r>
    </w:p>
    <w:p w14:paraId="211CAF80">
      <w:pPr>
        <w:bidi w:val="0"/>
        <w:rPr>
          <w:rFonts w:hint="default"/>
          <w:color w:val="auto"/>
          <w:lang w:val="en-US" w:eastAsia="zh-CN"/>
        </w:rPr>
      </w:pPr>
      <w:r>
        <w:rPr>
          <w:rFonts w:hint="default"/>
          <w:color w:val="auto"/>
          <w:lang w:val="en-US" w:eastAsia="zh-CN"/>
        </w:rPr>
        <w:t>1</w:t>
      </w:r>
      <w:r>
        <w:rPr>
          <w:rFonts w:hint="eastAsia"/>
          <w:color w:val="auto"/>
          <w:lang w:val="en-US" w:eastAsia="zh-CN"/>
        </w:rPr>
        <w:t xml:space="preserve">. </w:t>
      </w:r>
      <w:r>
        <w:rPr>
          <w:rFonts w:hint="default"/>
          <w:color w:val="auto"/>
          <w:lang w:val="en-US" w:eastAsia="zh-CN"/>
        </w:rPr>
        <w:t>机械致害发生的主要原因</w:t>
      </w:r>
    </w:p>
    <w:p w14:paraId="3333E4BC">
      <w:pPr>
        <w:bidi w:val="0"/>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机械设备的传动、转动部件无有效防护装置</w:t>
      </w:r>
      <w:r>
        <w:rPr>
          <w:rFonts w:hint="eastAsia"/>
          <w:color w:val="auto"/>
          <w:lang w:val="en-US" w:eastAsia="zh-CN"/>
        </w:rPr>
        <w:t>；</w:t>
      </w:r>
    </w:p>
    <w:p w14:paraId="4188D7D3">
      <w:pPr>
        <w:bidi w:val="0"/>
        <w:rPr>
          <w:rFonts w:hint="default"/>
          <w:color w:val="auto"/>
          <w:lang w:val="en-US" w:eastAsia="zh-CN"/>
        </w:rPr>
      </w:pPr>
      <w:r>
        <w:rPr>
          <w:rFonts w:hint="eastAsia"/>
          <w:color w:val="auto"/>
          <w:lang w:val="en-US" w:eastAsia="zh-CN"/>
        </w:rPr>
        <w:t>（2）</w:t>
      </w:r>
      <w:r>
        <w:rPr>
          <w:rFonts w:hint="default"/>
          <w:color w:val="auto"/>
          <w:lang w:val="en-US" w:eastAsia="zh-CN"/>
        </w:rPr>
        <w:t>人员不小心触及机械设备的静止危险部位</w:t>
      </w:r>
      <w:r>
        <w:rPr>
          <w:rFonts w:hint="eastAsia"/>
          <w:color w:val="auto"/>
          <w:lang w:val="en-US" w:eastAsia="zh-CN"/>
        </w:rPr>
        <w:t>；</w:t>
      </w:r>
    </w:p>
    <w:p w14:paraId="0BB916F2">
      <w:pPr>
        <w:bidi w:val="0"/>
        <w:rPr>
          <w:rFonts w:hint="default"/>
          <w:color w:val="auto"/>
          <w:lang w:val="en-US" w:eastAsia="zh-CN"/>
        </w:rPr>
      </w:pP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机械设备设计不当</w:t>
      </w:r>
      <w:r>
        <w:rPr>
          <w:rFonts w:hint="eastAsia"/>
          <w:color w:val="auto"/>
          <w:lang w:val="en-US" w:eastAsia="zh-CN"/>
        </w:rPr>
        <w:t>；</w:t>
      </w:r>
    </w:p>
    <w:p w14:paraId="043642D8">
      <w:pPr>
        <w:bidi w:val="0"/>
        <w:rPr>
          <w:rFonts w:hint="default"/>
          <w:color w:val="auto"/>
          <w:lang w:val="en-US" w:eastAsia="zh-CN"/>
        </w:rPr>
      </w:pP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操作人员未穿戴劳保用品或劳保用品穿戴不当</w:t>
      </w:r>
      <w:r>
        <w:rPr>
          <w:rFonts w:hint="eastAsia"/>
          <w:color w:val="auto"/>
          <w:lang w:val="en-US" w:eastAsia="zh-CN"/>
        </w:rPr>
        <w:t>；</w:t>
      </w:r>
    </w:p>
    <w:p w14:paraId="5BAA1A9C">
      <w:pPr>
        <w:bidi w:val="0"/>
        <w:rPr>
          <w:rFonts w:hint="default"/>
          <w:color w:val="auto"/>
          <w:lang w:val="en-US" w:eastAsia="zh-CN"/>
        </w:rPr>
      </w:pPr>
      <w:r>
        <w:rPr>
          <w:rFonts w:hint="eastAsia"/>
          <w:color w:val="auto"/>
          <w:lang w:val="en-US" w:eastAsia="zh-CN"/>
        </w:rPr>
        <w:t>（</w:t>
      </w:r>
      <w:r>
        <w:rPr>
          <w:rFonts w:hint="default"/>
          <w:color w:val="auto"/>
          <w:lang w:val="en-US" w:eastAsia="zh-CN"/>
        </w:rPr>
        <w:t>5</w:t>
      </w:r>
      <w:r>
        <w:rPr>
          <w:rFonts w:hint="eastAsia"/>
          <w:color w:val="auto"/>
          <w:lang w:val="en-US" w:eastAsia="zh-CN"/>
        </w:rPr>
        <w:t>）</w:t>
      </w:r>
      <w:r>
        <w:rPr>
          <w:rFonts w:hint="default"/>
          <w:color w:val="auto"/>
          <w:lang w:val="en-US" w:eastAsia="zh-CN"/>
        </w:rPr>
        <w:t>违章作业</w:t>
      </w:r>
      <w:r>
        <w:rPr>
          <w:rFonts w:hint="eastAsia"/>
          <w:color w:val="auto"/>
          <w:lang w:val="en-US" w:eastAsia="zh-CN"/>
        </w:rPr>
        <w:t>；</w:t>
      </w:r>
    </w:p>
    <w:p w14:paraId="75575D9E">
      <w:pPr>
        <w:bidi w:val="0"/>
        <w:rPr>
          <w:rFonts w:hint="default"/>
          <w:color w:val="auto"/>
          <w:lang w:val="en-US" w:eastAsia="zh-CN"/>
        </w:rPr>
      </w:pPr>
      <w:r>
        <w:rPr>
          <w:rFonts w:hint="eastAsia"/>
          <w:color w:val="auto"/>
          <w:lang w:val="en-US" w:eastAsia="zh-CN"/>
        </w:rPr>
        <w:t>（</w:t>
      </w:r>
      <w:r>
        <w:rPr>
          <w:rFonts w:hint="default"/>
          <w:color w:val="auto"/>
          <w:lang w:val="en-US" w:eastAsia="zh-CN"/>
        </w:rPr>
        <w:t>6</w:t>
      </w:r>
      <w:r>
        <w:rPr>
          <w:rFonts w:hint="eastAsia"/>
          <w:color w:val="auto"/>
          <w:lang w:val="en-US" w:eastAsia="zh-CN"/>
        </w:rPr>
        <w:t>）</w:t>
      </w:r>
      <w:r>
        <w:rPr>
          <w:rFonts w:hint="default"/>
          <w:color w:val="auto"/>
          <w:lang w:val="en-US" w:eastAsia="zh-CN"/>
        </w:rPr>
        <w:t>其他原因。</w:t>
      </w:r>
    </w:p>
    <w:p w14:paraId="13AF1A14">
      <w:pPr>
        <w:bidi w:val="0"/>
        <w:rPr>
          <w:rFonts w:hint="default"/>
          <w:color w:val="auto"/>
          <w:lang w:val="en-US" w:eastAsia="zh-CN"/>
        </w:rPr>
      </w:pPr>
      <w:r>
        <w:rPr>
          <w:rFonts w:hint="default"/>
          <w:color w:val="auto"/>
          <w:lang w:val="en-US" w:eastAsia="zh-CN"/>
        </w:rPr>
        <w:t>2</w:t>
      </w:r>
      <w:r>
        <w:rPr>
          <w:rFonts w:hint="eastAsia"/>
          <w:color w:val="auto"/>
          <w:lang w:val="en-US" w:eastAsia="zh-CN"/>
        </w:rPr>
        <w:t xml:space="preserve">. </w:t>
      </w:r>
      <w:r>
        <w:rPr>
          <w:rFonts w:hint="default"/>
          <w:color w:val="auto"/>
          <w:lang w:val="en-US" w:eastAsia="zh-CN"/>
        </w:rPr>
        <w:t>容易发生机械致害事故的设备和设施</w:t>
      </w:r>
    </w:p>
    <w:p w14:paraId="3A0202CE">
      <w:pPr>
        <w:bidi w:val="0"/>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潜孔钻机</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铲装机械</w:t>
      </w:r>
      <w:r>
        <w:rPr>
          <w:rFonts w:hint="eastAsia"/>
          <w:color w:val="auto"/>
          <w:lang w:val="en-US" w:eastAsia="zh-CN"/>
        </w:rPr>
        <w:t>；（3）</w:t>
      </w:r>
      <w:r>
        <w:rPr>
          <w:rFonts w:hint="default"/>
          <w:color w:val="auto"/>
          <w:lang w:val="en-US" w:eastAsia="zh-CN"/>
        </w:rPr>
        <w:t>机械维修、保养过程</w:t>
      </w:r>
      <w:r>
        <w:rPr>
          <w:rFonts w:hint="eastAsia"/>
          <w:color w:val="auto"/>
          <w:lang w:val="en-US" w:eastAsia="zh-CN"/>
        </w:rPr>
        <w:t>；（4）</w:t>
      </w:r>
      <w:r>
        <w:rPr>
          <w:rFonts w:hint="default"/>
          <w:color w:val="auto"/>
          <w:lang w:val="en-US" w:eastAsia="zh-CN"/>
        </w:rPr>
        <w:t>其他机械设备设施。</w:t>
      </w:r>
    </w:p>
    <w:p w14:paraId="67CDD414">
      <w:pPr>
        <w:bidi w:val="0"/>
        <w:rPr>
          <w:rFonts w:hint="default"/>
          <w:color w:val="auto"/>
          <w:lang w:val="en-US" w:eastAsia="zh-CN"/>
        </w:rPr>
      </w:pPr>
      <w:r>
        <w:rPr>
          <w:rFonts w:hint="default"/>
          <w:color w:val="auto"/>
          <w:lang w:val="en-US" w:eastAsia="zh-CN"/>
        </w:rPr>
        <w:t>3</w:t>
      </w:r>
      <w:r>
        <w:rPr>
          <w:rFonts w:hint="eastAsia"/>
          <w:color w:val="auto"/>
          <w:lang w:val="en-US" w:eastAsia="zh-CN"/>
        </w:rPr>
        <w:t xml:space="preserve">. </w:t>
      </w:r>
      <w:r>
        <w:rPr>
          <w:rFonts w:hint="default"/>
          <w:color w:val="auto"/>
          <w:lang w:val="en-US" w:eastAsia="zh-CN"/>
        </w:rPr>
        <w:t>引起后果</w:t>
      </w:r>
    </w:p>
    <w:p w14:paraId="444BD8BC">
      <w:pPr>
        <w:bidi w:val="0"/>
        <w:rPr>
          <w:rFonts w:hint="default"/>
          <w:color w:val="auto"/>
          <w:lang w:val="en-US" w:eastAsia="zh-CN"/>
        </w:rPr>
      </w:pPr>
      <w:r>
        <w:rPr>
          <w:rFonts w:hint="default"/>
          <w:color w:val="auto"/>
          <w:lang w:val="en-US" w:eastAsia="zh-CN"/>
        </w:rPr>
        <w:t>引起人员伤亡、设备损毁。</w:t>
      </w:r>
    </w:p>
    <w:p w14:paraId="2F4976A0">
      <w:pPr>
        <w:pStyle w:val="4"/>
        <w:bidi w:val="0"/>
        <w:rPr>
          <w:rFonts w:hint="default"/>
          <w:color w:val="auto"/>
          <w:lang w:val="en-US" w:eastAsia="zh-CN"/>
        </w:rPr>
      </w:pPr>
      <w:bookmarkStart w:id="351" w:name="_Toc7172"/>
      <w:bookmarkStart w:id="352" w:name="_Toc32175"/>
      <w:bookmarkStart w:id="353" w:name="_Toc2892"/>
      <w:r>
        <w:rPr>
          <w:rFonts w:hint="eastAsia"/>
          <w:color w:val="auto"/>
          <w:lang w:val="en-US" w:eastAsia="zh-CN"/>
        </w:rPr>
        <w:t xml:space="preserve">3.1.5 </w:t>
      </w:r>
      <w:r>
        <w:rPr>
          <w:rFonts w:hint="eastAsia"/>
          <w:b/>
          <w:bCs/>
          <w:color w:val="auto"/>
          <w:lang w:val="en-US" w:eastAsia="zh-CN"/>
        </w:rPr>
        <w:t>火灾</w:t>
      </w:r>
      <w:bookmarkEnd w:id="351"/>
      <w:bookmarkEnd w:id="352"/>
      <w:bookmarkEnd w:id="353"/>
    </w:p>
    <w:p w14:paraId="717D027B">
      <w:pPr>
        <w:rPr>
          <w:rFonts w:hint="default"/>
          <w:color w:val="auto"/>
          <w:lang w:val="en-US" w:eastAsia="zh-CN"/>
        </w:rPr>
      </w:pPr>
      <w:r>
        <w:rPr>
          <w:rFonts w:hint="default"/>
          <w:color w:val="auto"/>
          <w:lang w:val="en-US" w:eastAsia="zh-CN"/>
        </w:rPr>
        <w:t>在时间或空间上失去控制的燃烧造成的事故。</w:t>
      </w:r>
    </w:p>
    <w:p w14:paraId="2C2E7F28">
      <w:pPr>
        <w:bidi w:val="0"/>
        <w:rPr>
          <w:rFonts w:hint="default"/>
          <w:color w:val="auto"/>
          <w:lang w:val="en-US" w:eastAsia="zh-CN"/>
        </w:rPr>
      </w:pPr>
      <w:r>
        <w:rPr>
          <w:rFonts w:hint="default"/>
          <w:color w:val="auto"/>
          <w:lang w:val="en-US" w:eastAsia="zh-CN"/>
        </w:rPr>
        <w:t>1</w:t>
      </w:r>
      <w:r>
        <w:rPr>
          <w:rFonts w:hint="eastAsia"/>
          <w:color w:val="auto"/>
          <w:lang w:val="en-US" w:eastAsia="zh-CN"/>
        </w:rPr>
        <w:t xml:space="preserve">. </w:t>
      </w:r>
      <w:r>
        <w:rPr>
          <w:rFonts w:hint="default"/>
          <w:color w:val="auto"/>
          <w:lang w:val="en-US" w:eastAsia="zh-CN"/>
        </w:rPr>
        <w:t>火灾发生的原因</w:t>
      </w:r>
    </w:p>
    <w:p w14:paraId="7C69ED8B">
      <w:pPr>
        <w:bidi w:val="0"/>
        <w:rPr>
          <w:rFonts w:hint="default"/>
          <w:color w:val="auto"/>
          <w:lang w:val="en-US" w:eastAsia="zh-CN"/>
        </w:rPr>
      </w:pPr>
      <w:r>
        <w:rPr>
          <w:rFonts w:hint="default"/>
          <w:color w:val="auto"/>
          <w:lang w:val="en-US" w:eastAsia="zh-CN"/>
        </w:rPr>
        <w:t>火灾的发生主要是因为可燃、易燃物体遇到点火源而引起，导致火灾发生的点火源主要有</w:t>
      </w:r>
      <w:r>
        <w:rPr>
          <w:rFonts w:hint="eastAsia"/>
          <w:color w:val="auto"/>
          <w:lang w:val="en-US" w:eastAsia="zh-CN"/>
        </w:rPr>
        <w:t>：</w:t>
      </w:r>
    </w:p>
    <w:p w14:paraId="00492399">
      <w:pPr>
        <w:bidi w:val="0"/>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明火，如吸烟、电焊火花、违章用火等</w:t>
      </w:r>
      <w:r>
        <w:rPr>
          <w:rFonts w:hint="eastAsia"/>
          <w:color w:val="auto"/>
          <w:lang w:val="en-US" w:eastAsia="zh-CN"/>
        </w:rPr>
        <w:t>；</w:t>
      </w:r>
    </w:p>
    <w:p w14:paraId="2EEF6422">
      <w:pPr>
        <w:bidi w:val="0"/>
        <w:rPr>
          <w:rFonts w:hint="default"/>
          <w:color w:val="auto"/>
          <w:lang w:val="en-US" w:eastAsia="zh-CN"/>
        </w:rPr>
      </w:pPr>
      <w:r>
        <w:rPr>
          <w:rFonts w:hint="eastAsia"/>
          <w:color w:val="auto"/>
          <w:lang w:val="en-US" w:eastAsia="zh-CN"/>
        </w:rPr>
        <w:t>（2）</w:t>
      </w:r>
      <w:r>
        <w:rPr>
          <w:rFonts w:hint="default"/>
          <w:color w:val="auto"/>
          <w:lang w:val="en-US" w:eastAsia="zh-CN"/>
        </w:rPr>
        <w:t>因摩擦、撞击而产生的火源</w:t>
      </w:r>
      <w:r>
        <w:rPr>
          <w:rFonts w:hint="eastAsia"/>
          <w:color w:val="auto"/>
          <w:lang w:val="en-US" w:eastAsia="zh-CN"/>
        </w:rPr>
        <w:t>；</w:t>
      </w:r>
    </w:p>
    <w:p w14:paraId="79571C4D">
      <w:pPr>
        <w:bidi w:val="0"/>
        <w:rPr>
          <w:rFonts w:hint="default"/>
          <w:color w:val="auto"/>
          <w:lang w:val="en-US" w:eastAsia="zh-CN"/>
        </w:rPr>
      </w:pPr>
      <w:r>
        <w:rPr>
          <w:rFonts w:hint="eastAsia"/>
          <w:color w:val="auto"/>
          <w:lang w:val="en-US" w:eastAsia="zh-CN"/>
        </w:rPr>
        <w:t>（3）</w:t>
      </w:r>
      <w:r>
        <w:rPr>
          <w:rFonts w:hint="default"/>
          <w:color w:val="auto"/>
          <w:lang w:val="en-US" w:eastAsia="zh-CN"/>
        </w:rPr>
        <w:t>运输车辆及工程车在运输过程中，由于车载油料管理不善、车辆电线老化、过载、长距离下坡轮胎刹车系统摩擦等起火。</w:t>
      </w:r>
    </w:p>
    <w:p w14:paraId="325098DA">
      <w:pPr>
        <w:bidi w:val="0"/>
        <w:rPr>
          <w:rFonts w:hint="default"/>
          <w:color w:val="auto"/>
          <w:lang w:val="en-US" w:eastAsia="zh-CN"/>
        </w:rPr>
      </w:pPr>
      <w:r>
        <w:rPr>
          <w:rFonts w:hint="default"/>
          <w:color w:val="auto"/>
          <w:lang w:val="en-US" w:eastAsia="zh-CN"/>
        </w:rPr>
        <w:t>2</w:t>
      </w:r>
      <w:r>
        <w:rPr>
          <w:rFonts w:hint="eastAsia"/>
          <w:color w:val="auto"/>
          <w:lang w:val="en-US" w:eastAsia="zh-CN"/>
        </w:rPr>
        <w:t xml:space="preserve">. </w:t>
      </w:r>
      <w:r>
        <w:rPr>
          <w:rFonts w:hint="default"/>
          <w:color w:val="auto"/>
          <w:lang w:val="en-US" w:eastAsia="zh-CN"/>
        </w:rPr>
        <w:t>容易发生火灾的场所</w:t>
      </w:r>
    </w:p>
    <w:p w14:paraId="514BF3D3">
      <w:pPr>
        <w:bidi w:val="0"/>
        <w:rPr>
          <w:rFonts w:hint="default"/>
          <w:color w:val="auto"/>
          <w:lang w:val="en-US" w:eastAsia="zh-CN"/>
        </w:rPr>
      </w:pPr>
      <w:r>
        <w:rPr>
          <w:rFonts w:hint="eastAsia"/>
          <w:color w:val="auto"/>
          <w:lang w:val="en-US" w:eastAsia="zh-CN"/>
        </w:rPr>
        <w:t>（1）</w:t>
      </w:r>
      <w:r>
        <w:rPr>
          <w:rFonts w:hint="default"/>
          <w:color w:val="auto"/>
          <w:lang w:val="en-US" w:eastAsia="zh-CN"/>
        </w:rPr>
        <w:t>运输车辆、装载设备</w:t>
      </w:r>
      <w:r>
        <w:rPr>
          <w:rFonts w:hint="eastAsia"/>
          <w:color w:val="auto"/>
          <w:lang w:val="en-US" w:eastAsia="zh-CN"/>
        </w:rPr>
        <w:t>；（2）</w:t>
      </w:r>
      <w:r>
        <w:rPr>
          <w:rFonts w:hint="default"/>
          <w:color w:val="auto"/>
          <w:lang w:val="en-US" w:eastAsia="zh-CN"/>
        </w:rPr>
        <w:t>其他可燃材料储存、使用和运输过程</w:t>
      </w:r>
      <w:r>
        <w:rPr>
          <w:rFonts w:hint="eastAsia"/>
          <w:color w:val="auto"/>
          <w:lang w:val="en-US" w:eastAsia="zh-CN"/>
        </w:rPr>
        <w:t>等</w:t>
      </w:r>
      <w:r>
        <w:rPr>
          <w:rFonts w:hint="default"/>
          <w:color w:val="auto"/>
          <w:lang w:val="en-US" w:eastAsia="zh-CN"/>
        </w:rPr>
        <w:t>。</w:t>
      </w:r>
    </w:p>
    <w:p w14:paraId="5BA8EE28">
      <w:pPr>
        <w:bidi w:val="0"/>
        <w:rPr>
          <w:rFonts w:hint="default"/>
          <w:color w:val="auto"/>
          <w:lang w:val="en-US" w:eastAsia="zh-CN"/>
        </w:rPr>
      </w:pPr>
      <w:r>
        <w:rPr>
          <w:rFonts w:hint="default"/>
          <w:color w:val="auto"/>
          <w:lang w:val="en-US" w:eastAsia="zh-CN"/>
        </w:rPr>
        <w:t>3</w:t>
      </w:r>
      <w:r>
        <w:rPr>
          <w:rFonts w:hint="eastAsia"/>
          <w:color w:val="auto"/>
          <w:lang w:val="en-US" w:eastAsia="zh-CN"/>
        </w:rPr>
        <w:t xml:space="preserve">. </w:t>
      </w:r>
      <w:r>
        <w:rPr>
          <w:rFonts w:hint="default"/>
          <w:color w:val="auto"/>
          <w:lang w:val="en-US" w:eastAsia="zh-CN"/>
        </w:rPr>
        <w:t>后果</w:t>
      </w:r>
    </w:p>
    <w:p w14:paraId="07E782B2">
      <w:pPr>
        <w:bidi w:val="0"/>
        <w:rPr>
          <w:rFonts w:hint="default"/>
          <w:color w:val="auto"/>
          <w:lang w:val="en-US" w:eastAsia="zh-CN"/>
        </w:rPr>
      </w:pPr>
      <w:r>
        <w:rPr>
          <w:rFonts w:hint="default"/>
          <w:color w:val="auto"/>
          <w:lang w:val="en-US" w:eastAsia="zh-CN"/>
        </w:rPr>
        <w:t>引起设备设施损坏、人员伤亡。</w:t>
      </w:r>
    </w:p>
    <w:p w14:paraId="371F6E7E">
      <w:pPr>
        <w:pStyle w:val="4"/>
        <w:bidi w:val="0"/>
        <w:rPr>
          <w:rFonts w:hint="default"/>
          <w:color w:val="auto"/>
          <w:lang w:val="en-US" w:eastAsia="zh-CN"/>
        </w:rPr>
      </w:pPr>
      <w:bookmarkStart w:id="354" w:name="_Toc10496"/>
      <w:bookmarkStart w:id="355" w:name="_Toc18306"/>
      <w:bookmarkStart w:id="356" w:name="_Toc13674"/>
      <w:r>
        <w:rPr>
          <w:rFonts w:hint="eastAsia"/>
          <w:color w:val="auto"/>
          <w:lang w:val="en-US" w:eastAsia="zh-CN"/>
        </w:rPr>
        <w:t>3.1.6 物体打击</w:t>
      </w:r>
      <w:bookmarkEnd w:id="354"/>
      <w:bookmarkEnd w:id="355"/>
      <w:bookmarkEnd w:id="356"/>
    </w:p>
    <w:p w14:paraId="18A4AC56">
      <w:pPr>
        <w:rPr>
          <w:rFonts w:hint="default"/>
          <w:color w:val="auto"/>
          <w:lang w:val="en-US" w:eastAsia="zh-CN"/>
        </w:rPr>
      </w:pPr>
      <w:r>
        <w:rPr>
          <w:rFonts w:hint="default"/>
          <w:color w:val="auto"/>
          <w:lang w:val="en-US" w:eastAsia="zh-CN"/>
        </w:rPr>
        <w:t>物体在受重力或其他外力的作用下产生运动，打击人体或设备设施造成的事故。</w:t>
      </w:r>
    </w:p>
    <w:p w14:paraId="446797F3">
      <w:pPr>
        <w:bidi w:val="0"/>
        <w:rPr>
          <w:rFonts w:hint="default"/>
          <w:color w:val="auto"/>
          <w:lang w:val="en-US" w:eastAsia="zh-CN"/>
        </w:rPr>
      </w:pPr>
      <w:r>
        <w:rPr>
          <w:rFonts w:hint="default"/>
          <w:color w:val="auto"/>
          <w:lang w:val="en-US" w:eastAsia="zh-CN"/>
        </w:rPr>
        <w:t>人体在遭到外来物体的打击之后，可能出现不同程度的后果，轻则可致轻伤，重则出现重伤，造成肌体不可逆转的伤害后果，更为严重的是有可能致人死亡。</w:t>
      </w:r>
    </w:p>
    <w:p w14:paraId="39F5CF0F">
      <w:pPr>
        <w:bidi w:val="0"/>
        <w:rPr>
          <w:rFonts w:hint="default"/>
          <w:color w:val="auto"/>
          <w:lang w:val="en-US" w:eastAsia="zh-CN"/>
        </w:rPr>
      </w:pPr>
      <w:r>
        <w:rPr>
          <w:rFonts w:hint="default"/>
          <w:color w:val="auto"/>
          <w:lang w:val="en-US" w:eastAsia="zh-CN"/>
        </w:rPr>
        <w:t>存在发生物体打击危险性的场所</w:t>
      </w:r>
      <w:r>
        <w:rPr>
          <w:rFonts w:hint="eastAsia"/>
          <w:color w:val="auto"/>
          <w:lang w:val="en-US" w:eastAsia="zh-CN"/>
        </w:rPr>
        <w:t>（</w:t>
      </w:r>
      <w:r>
        <w:rPr>
          <w:rFonts w:hint="default"/>
          <w:color w:val="auto"/>
          <w:lang w:val="en-US" w:eastAsia="zh-CN"/>
        </w:rPr>
        <w:t>过程</w:t>
      </w:r>
      <w:r>
        <w:rPr>
          <w:rFonts w:hint="eastAsia"/>
          <w:color w:val="auto"/>
          <w:lang w:val="en-US" w:eastAsia="zh-CN"/>
        </w:rPr>
        <w:t>）</w:t>
      </w:r>
      <w:r>
        <w:rPr>
          <w:rFonts w:hint="default"/>
          <w:color w:val="auto"/>
          <w:lang w:val="en-US" w:eastAsia="zh-CN"/>
        </w:rPr>
        <w:t>主要有</w:t>
      </w:r>
      <w:r>
        <w:rPr>
          <w:rFonts w:hint="eastAsia"/>
          <w:color w:val="auto"/>
          <w:lang w:val="en-US" w:eastAsia="zh-CN"/>
        </w:rPr>
        <w:t>：</w:t>
      </w:r>
    </w:p>
    <w:p w14:paraId="4BAA90F1">
      <w:pPr>
        <w:bidi w:val="0"/>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露天采场在不同台阶上同时作业时</w:t>
      </w:r>
      <w:r>
        <w:rPr>
          <w:rFonts w:hint="eastAsia"/>
          <w:color w:val="auto"/>
          <w:lang w:val="en-US" w:eastAsia="zh-CN"/>
        </w:rPr>
        <w:t>；（2）</w:t>
      </w:r>
      <w:r>
        <w:rPr>
          <w:rFonts w:hint="default"/>
          <w:color w:val="auto"/>
          <w:lang w:val="en-US" w:eastAsia="zh-CN"/>
        </w:rPr>
        <w:t>运输车辆装载的矿石或废石超高、超宽，人员靠近时</w:t>
      </w:r>
      <w:r>
        <w:rPr>
          <w:rFonts w:hint="eastAsia"/>
          <w:color w:val="auto"/>
          <w:lang w:val="en-US" w:eastAsia="zh-CN"/>
        </w:rPr>
        <w:t>；（3）</w:t>
      </w:r>
      <w:r>
        <w:rPr>
          <w:rFonts w:hint="default"/>
          <w:color w:val="auto"/>
          <w:lang w:val="en-US" w:eastAsia="zh-CN"/>
        </w:rPr>
        <w:t>其他场所。</w:t>
      </w:r>
    </w:p>
    <w:p w14:paraId="20F2DDD2">
      <w:pPr>
        <w:pStyle w:val="4"/>
        <w:bidi w:val="0"/>
        <w:rPr>
          <w:rFonts w:hint="default"/>
          <w:color w:val="auto"/>
          <w:lang w:val="en-US" w:eastAsia="zh-CN"/>
        </w:rPr>
      </w:pPr>
      <w:bookmarkStart w:id="357" w:name="_Toc1263"/>
      <w:bookmarkStart w:id="358" w:name="_Toc28876"/>
      <w:bookmarkStart w:id="359" w:name="_Toc13397"/>
      <w:r>
        <w:rPr>
          <w:rFonts w:hint="eastAsia"/>
          <w:color w:val="auto"/>
          <w:lang w:val="en-US" w:eastAsia="zh-CN"/>
        </w:rPr>
        <w:t>3.1.7 高处坠落、跌落</w:t>
      </w:r>
      <w:bookmarkEnd w:id="357"/>
      <w:bookmarkEnd w:id="358"/>
      <w:bookmarkEnd w:id="359"/>
    </w:p>
    <w:p w14:paraId="41D72A05">
      <w:pPr>
        <w:rPr>
          <w:rFonts w:hint="default"/>
          <w:color w:val="auto"/>
          <w:lang w:val="en-US" w:eastAsia="zh-CN"/>
        </w:rPr>
      </w:pPr>
      <w:r>
        <w:rPr>
          <w:rFonts w:hint="default"/>
          <w:color w:val="auto"/>
          <w:lang w:val="en-US" w:eastAsia="zh-CN"/>
        </w:rPr>
        <w:t>非高处作业时，坠落或跌倒至非液体或非液态物质基准面造成的事故</w:t>
      </w:r>
      <w:r>
        <w:rPr>
          <w:rFonts w:hint="eastAsia"/>
          <w:color w:val="auto"/>
          <w:lang w:val="en-US" w:eastAsia="zh-CN"/>
        </w:rPr>
        <w:t>。</w:t>
      </w:r>
    </w:p>
    <w:p w14:paraId="3D40935F">
      <w:pPr>
        <w:rPr>
          <w:rFonts w:hint="default"/>
          <w:color w:val="auto"/>
          <w:lang w:val="en-US" w:eastAsia="zh-CN"/>
        </w:rPr>
      </w:pPr>
      <w:r>
        <w:rPr>
          <w:rFonts w:hint="default"/>
          <w:color w:val="auto"/>
          <w:lang w:val="en-US" w:eastAsia="zh-CN"/>
        </w:rPr>
        <w:t>高处作业时发生坠落造成的事故</w:t>
      </w:r>
      <w:r>
        <w:rPr>
          <w:rFonts w:hint="eastAsia"/>
          <w:color w:val="auto"/>
          <w:lang w:val="en-US" w:eastAsia="zh-CN"/>
        </w:rPr>
        <w:t>。</w:t>
      </w:r>
    </w:p>
    <w:p w14:paraId="1BD504DB">
      <w:pPr>
        <w:rPr>
          <w:rFonts w:hint="default"/>
          <w:color w:val="auto"/>
          <w:lang w:val="en-US" w:eastAsia="zh-CN"/>
        </w:rPr>
      </w:pPr>
      <w:r>
        <w:rPr>
          <w:rFonts w:hint="default"/>
          <w:color w:val="auto"/>
          <w:lang w:val="en-US" w:eastAsia="zh-CN"/>
        </w:rPr>
        <w:t>造成高处坠落</w:t>
      </w:r>
      <w:r>
        <w:rPr>
          <w:rFonts w:hint="eastAsia"/>
          <w:color w:val="auto"/>
          <w:lang w:val="en-US" w:eastAsia="zh-CN"/>
        </w:rPr>
        <w:t>、</w:t>
      </w:r>
      <w:r>
        <w:rPr>
          <w:rFonts w:hint="default"/>
          <w:color w:val="auto"/>
          <w:lang w:val="en-US" w:eastAsia="zh-CN"/>
        </w:rPr>
        <w:t>坠落的主要原因有</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没有按要求使用安全带、安全绳</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没有按要求穿防滑性能良好的软底鞋</w:t>
      </w: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高处作业时安全防护设施损坏</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使用安全保护装置不完善的设备、设施进行作业</w:t>
      </w:r>
      <w:r>
        <w:rPr>
          <w:rFonts w:hint="eastAsia"/>
          <w:color w:val="auto"/>
          <w:lang w:val="en-US" w:eastAsia="zh-CN"/>
        </w:rPr>
        <w:t>；（</w:t>
      </w:r>
      <w:r>
        <w:rPr>
          <w:rFonts w:hint="default"/>
          <w:color w:val="auto"/>
          <w:lang w:val="en-US" w:eastAsia="zh-CN"/>
        </w:rPr>
        <w:t>5</w:t>
      </w:r>
      <w:r>
        <w:rPr>
          <w:rFonts w:hint="eastAsia"/>
          <w:color w:val="auto"/>
          <w:lang w:val="en-US" w:eastAsia="zh-CN"/>
        </w:rPr>
        <w:t>）</w:t>
      </w:r>
      <w:r>
        <w:rPr>
          <w:rFonts w:hint="default"/>
          <w:color w:val="auto"/>
          <w:lang w:val="en-US" w:eastAsia="zh-CN"/>
        </w:rPr>
        <w:t>工作责任心不强，主观判断失误</w:t>
      </w:r>
      <w:r>
        <w:rPr>
          <w:rFonts w:hint="eastAsia"/>
          <w:color w:val="auto"/>
          <w:lang w:val="en-US" w:eastAsia="zh-CN"/>
        </w:rPr>
        <w:t>；（</w:t>
      </w:r>
      <w:r>
        <w:rPr>
          <w:rFonts w:hint="default"/>
          <w:color w:val="auto"/>
          <w:lang w:val="en-US" w:eastAsia="zh-CN"/>
        </w:rPr>
        <w:t>6</w:t>
      </w:r>
      <w:r>
        <w:rPr>
          <w:rFonts w:hint="eastAsia"/>
          <w:color w:val="auto"/>
          <w:lang w:val="en-US" w:eastAsia="zh-CN"/>
        </w:rPr>
        <w:t>）</w:t>
      </w:r>
      <w:r>
        <w:rPr>
          <w:rFonts w:hint="default"/>
          <w:color w:val="auto"/>
          <w:lang w:val="en-US" w:eastAsia="zh-CN"/>
        </w:rPr>
        <w:t>作业人员疏忽大意，疲劳过度。</w:t>
      </w:r>
    </w:p>
    <w:p w14:paraId="3807A367">
      <w:pPr>
        <w:rPr>
          <w:rFonts w:hint="default"/>
          <w:color w:val="auto"/>
          <w:lang w:val="en-US" w:eastAsia="zh-CN"/>
        </w:rPr>
      </w:pPr>
      <w:r>
        <w:rPr>
          <w:rFonts w:hint="default"/>
          <w:color w:val="auto"/>
          <w:lang w:val="en-US" w:eastAsia="zh-CN"/>
        </w:rPr>
        <w:t>产生高处坠落</w:t>
      </w:r>
      <w:r>
        <w:rPr>
          <w:rFonts w:hint="eastAsia"/>
          <w:color w:val="auto"/>
          <w:lang w:val="en-US" w:eastAsia="zh-CN"/>
        </w:rPr>
        <w:t>、</w:t>
      </w:r>
      <w:r>
        <w:rPr>
          <w:rFonts w:hint="default"/>
          <w:color w:val="auto"/>
          <w:lang w:val="en-US" w:eastAsia="zh-CN"/>
        </w:rPr>
        <w:t>坠落的场所</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采场的各作业台阶</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上、下大型机械设备的过程</w:t>
      </w:r>
      <w:r>
        <w:rPr>
          <w:rFonts w:hint="eastAsia"/>
          <w:color w:val="auto"/>
          <w:lang w:val="en-US" w:eastAsia="zh-CN"/>
        </w:rPr>
        <w:t>；（3）</w:t>
      </w:r>
      <w:r>
        <w:rPr>
          <w:rFonts w:hint="default"/>
          <w:color w:val="auto"/>
          <w:lang w:val="en-US" w:eastAsia="zh-CN"/>
        </w:rPr>
        <w:t>各种存在平台及登高梯台的场所</w:t>
      </w:r>
      <w:r>
        <w:rPr>
          <w:rFonts w:hint="eastAsia"/>
          <w:color w:val="auto"/>
          <w:lang w:val="en-US" w:eastAsia="zh-CN"/>
        </w:rPr>
        <w:t>；（4）</w:t>
      </w:r>
      <w:r>
        <w:rPr>
          <w:rFonts w:hint="default"/>
          <w:color w:val="auto"/>
          <w:lang w:val="en-US" w:eastAsia="zh-CN"/>
        </w:rPr>
        <w:t>其他高处作业、检修、维护过程。</w:t>
      </w:r>
    </w:p>
    <w:p w14:paraId="69A03D98">
      <w:pPr>
        <w:pStyle w:val="4"/>
        <w:bidi w:val="0"/>
        <w:rPr>
          <w:rFonts w:hint="default"/>
          <w:color w:val="auto"/>
          <w:lang w:val="en-US" w:eastAsia="zh-CN"/>
        </w:rPr>
      </w:pPr>
      <w:bookmarkStart w:id="360" w:name="_Toc16416"/>
      <w:bookmarkStart w:id="361" w:name="_Toc22680"/>
      <w:bookmarkStart w:id="362" w:name="_Toc25046"/>
      <w:r>
        <w:rPr>
          <w:rFonts w:hint="eastAsia"/>
          <w:color w:val="auto"/>
          <w:lang w:val="en-US" w:eastAsia="zh-CN"/>
        </w:rPr>
        <w:t xml:space="preserve">3.1.8 </w:t>
      </w:r>
      <w:r>
        <w:rPr>
          <w:rFonts w:hint="default"/>
          <w:color w:val="auto"/>
          <w:lang w:val="en-US" w:eastAsia="zh-CN"/>
        </w:rPr>
        <w:t>淹溺</w:t>
      </w:r>
      <w:bookmarkEnd w:id="360"/>
      <w:bookmarkEnd w:id="361"/>
      <w:bookmarkEnd w:id="362"/>
    </w:p>
    <w:p w14:paraId="2E52B638">
      <w:pPr>
        <w:bidi w:val="0"/>
        <w:rPr>
          <w:rFonts w:hint="default"/>
          <w:color w:val="auto"/>
          <w:lang w:val="en-US" w:eastAsia="zh-CN"/>
        </w:rPr>
      </w:pPr>
      <w:r>
        <w:rPr>
          <w:rFonts w:hint="default"/>
          <w:color w:val="auto"/>
          <w:lang w:val="en-US" w:eastAsia="zh-CN"/>
        </w:rPr>
        <w:t>大量液体或液态物质经口、鼻进入肺部使呼吸道阻塞，引起人体急性缺氧窒息伤亡的事故。</w:t>
      </w:r>
    </w:p>
    <w:p w14:paraId="02EF4AE0">
      <w:pPr>
        <w:bidi w:val="0"/>
        <w:rPr>
          <w:rFonts w:hint="default"/>
          <w:color w:val="auto"/>
          <w:lang w:val="en-US" w:eastAsia="zh-CN"/>
        </w:rPr>
      </w:pPr>
      <w:r>
        <w:rPr>
          <w:rFonts w:hint="default"/>
          <w:color w:val="auto"/>
          <w:lang w:val="en-US" w:eastAsia="zh-CN"/>
        </w:rPr>
        <w:t>容易发生淹溺的场所主要有</w:t>
      </w:r>
      <w:r>
        <w:rPr>
          <w:rFonts w:hint="eastAsia"/>
          <w:color w:val="auto"/>
          <w:lang w:val="en-US" w:eastAsia="zh-CN"/>
        </w:rPr>
        <w:t>：高位水池</w:t>
      </w:r>
      <w:r>
        <w:rPr>
          <w:rFonts w:hint="default"/>
          <w:color w:val="auto"/>
          <w:lang w:val="en-US" w:eastAsia="zh-CN"/>
        </w:rPr>
        <w:t>。</w:t>
      </w:r>
    </w:p>
    <w:p w14:paraId="26479BE0">
      <w:pPr>
        <w:pStyle w:val="4"/>
        <w:bidi w:val="0"/>
        <w:rPr>
          <w:rFonts w:hint="default"/>
          <w:color w:val="auto"/>
          <w:lang w:val="en-US" w:eastAsia="zh-CN"/>
        </w:rPr>
      </w:pPr>
      <w:bookmarkStart w:id="363" w:name="_Toc4490"/>
      <w:bookmarkStart w:id="364" w:name="_Toc330"/>
      <w:bookmarkStart w:id="365" w:name="_Toc23324"/>
      <w:r>
        <w:rPr>
          <w:rFonts w:hint="eastAsia"/>
          <w:color w:val="auto"/>
          <w:lang w:val="en-US" w:eastAsia="zh-CN"/>
        </w:rPr>
        <w:t>3.1.9 其他</w:t>
      </w:r>
      <w:bookmarkEnd w:id="363"/>
      <w:bookmarkEnd w:id="364"/>
      <w:bookmarkEnd w:id="365"/>
    </w:p>
    <w:p w14:paraId="05D1DEAD">
      <w:pPr>
        <w:rPr>
          <w:rFonts w:hint="eastAsia"/>
          <w:color w:val="auto"/>
          <w:lang w:val="en-US" w:eastAsia="zh-CN"/>
        </w:rPr>
      </w:pPr>
      <w:r>
        <w:rPr>
          <w:rFonts w:hint="default"/>
          <w:color w:val="auto"/>
          <w:lang w:val="en-US" w:eastAsia="zh-CN"/>
        </w:rPr>
        <w:t>不能归于</w:t>
      </w:r>
      <w:r>
        <w:rPr>
          <w:rFonts w:hint="eastAsia"/>
          <w:color w:val="auto"/>
          <w:lang w:val="en-US" w:eastAsia="zh-CN"/>
        </w:rPr>
        <w:t>《生产安全事故分类与编码》（GB6441-2025）</w:t>
      </w:r>
      <w:r>
        <w:rPr>
          <w:rFonts w:hint="default"/>
          <w:color w:val="auto"/>
          <w:lang w:val="en-US" w:eastAsia="zh-CN"/>
        </w:rPr>
        <w:t>前26种类型的事故</w:t>
      </w:r>
      <w:r>
        <w:rPr>
          <w:rFonts w:hint="eastAsia"/>
          <w:color w:val="auto"/>
          <w:lang w:val="en-US" w:eastAsia="zh-CN"/>
        </w:rPr>
        <w:t>。</w:t>
      </w:r>
    </w:p>
    <w:p w14:paraId="2891A4C6">
      <w:pPr>
        <w:rPr>
          <w:rFonts w:hint="default"/>
          <w:color w:val="auto"/>
          <w:lang w:val="en-US" w:eastAsia="zh-CN"/>
        </w:rPr>
      </w:pPr>
      <w:r>
        <w:rPr>
          <w:rFonts w:hint="default"/>
          <w:color w:val="auto"/>
          <w:lang w:val="en-US" w:eastAsia="zh-CN"/>
        </w:rPr>
        <w:t>复合型事故中无法归类的特殊致害方式：如冲击波伤害、特殊气体物理冲击等</w:t>
      </w:r>
      <w:r>
        <w:rPr>
          <w:rFonts w:hint="eastAsia"/>
          <w:color w:val="auto"/>
          <w:lang w:val="en-US" w:eastAsia="zh-CN"/>
        </w:rPr>
        <w:t>。</w:t>
      </w:r>
    </w:p>
    <w:bookmarkEnd w:id="342"/>
    <w:bookmarkEnd w:id="343"/>
    <w:bookmarkEnd w:id="344"/>
    <w:p w14:paraId="42599152">
      <w:pPr>
        <w:pStyle w:val="3"/>
        <w:bidi w:val="0"/>
        <w:rPr>
          <w:rFonts w:hint="default"/>
          <w:color w:val="auto"/>
          <w:lang w:val="en-US" w:eastAsia="zh-CN"/>
        </w:rPr>
      </w:pPr>
      <w:bookmarkStart w:id="366" w:name="_Toc7454"/>
      <w:bookmarkStart w:id="367" w:name="_Toc11660"/>
      <w:bookmarkStart w:id="368" w:name="_Toc19087"/>
      <w:bookmarkStart w:id="369" w:name="_Toc15410"/>
      <w:bookmarkStart w:id="370" w:name="_Toc26431"/>
      <w:bookmarkStart w:id="371" w:name="_Toc29555"/>
      <w:r>
        <w:rPr>
          <w:rFonts w:hint="default"/>
          <w:color w:val="auto"/>
          <w:lang w:val="en-US" w:eastAsia="zh-CN"/>
        </w:rPr>
        <w:t>3.2 有害因素分析</w:t>
      </w:r>
      <w:bookmarkEnd w:id="366"/>
      <w:bookmarkEnd w:id="367"/>
      <w:bookmarkEnd w:id="368"/>
      <w:bookmarkEnd w:id="369"/>
      <w:bookmarkEnd w:id="370"/>
      <w:bookmarkEnd w:id="371"/>
    </w:p>
    <w:p w14:paraId="3AEEF2DC">
      <w:pPr>
        <w:pStyle w:val="4"/>
        <w:bidi w:val="0"/>
        <w:rPr>
          <w:rFonts w:hint="default"/>
          <w:color w:val="auto"/>
          <w:lang w:val="en-US" w:eastAsia="zh-CN"/>
        </w:rPr>
      </w:pPr>
      <w:bookmarkStart w:id="372" w:name="_Toc9562"/>
      <w:bookmarkStart w:id="373" w:name="_Toc25225"/>
      <w:bookmarkStart w:id="374" w:name="_Toc12207"/>
      <w:bookmarkStart w:id="375" w:name="_Toc10021"/>
      <w:bookmarkStart w:id="376" w:name="_Toc29780"/>
      <w:bookmarkStart w:id="377" w:name="_Toc24943"/>
      <w:r>
        <w:rPr>
          <w:rFonts w:hint="default"/>
          <w:color w:val="auto"/>
          <w:lang w:val="en-US" w:eastAsia="zh-CN"/>
        </w:rPr>
        <w:t>3.2.1 粉尘</w:t>
      </w:r>
      <w:bookmarkEnd w:id="372"/>
      <w:bookmarkEnd w:id="373"/>
      <w:bookmarkEnd w:id="374"/>
      <w:bookmarkEnd w:id="375"/>
      <w:bookmarkEnd w:id="376"/>
      <w:bookmarkEnd w:id="377"/>
    </w:p>
    <w:p w14:paraId="799A3D90">
      <w:pPr>
        <w:rPr>
          <w:rFonts w:hint="default"/>
          <w:color w:val="auto"/>
          <w:lang w:val="en-US" w:eastAsia="zh-CN"/>
        </w:rPr>
      </w:pPr>
      <w:r>
        <w:rPr>
          <w:rFonts w:hint="default"/>
          <w:color w:val="auto"/>
          <w:lang w:val="en-US" w:eastAsia="zh-CN"/>
        </w:rPr>
        <w:t>粉尘是矿山的主要职业危害之一。粉尘的危害性大小与粉尘的分散度、游离二氧化硅含量和粉尘物质组成有关。随着游离二氧化硅含量的增加、含硫量的增加，粉尘的危害增大。在不同粒径的粉尘中，呼吸性粉尘对人的危害较大。在矿山生产过程中会产生大量的粉尘，若通风防尘系统不符合规程要求，个体劳动防护用品失效，从业人员长期处于粉尘超标的作业环境中，易患职业病。</w:t>
      </w:r>
    </w:p>
    <w:p w14:paraId="782B9F96">
      <w:pPr>
        <w:rPr>
          <w:rFonts w:hint="default"/>
          <w:color w:val="auto"/>
          <w:lang w:val="en-US" w:eastAsia="zh-CN"/>
        </w:rPr>
      </w:pPr>
      <w:r>
        <w:rPr>
          <w:rFonts w:hint="default"/>
          <w:color w:val="auto"/>
          <w:lang w:val="en-US" w:eastAsia="zh-CN"/>
        </w:rPr>
        <w:t>矿山生产过程中主要产尘点有</w:t>
      </w:r>
      <w:r>
        <w:rPr>
          <w:rFonts w:hint="eastAsia"/>
          <w:color w:val="auto"/>
          <w:lang w:val="en-US" w:eastAsia="zh-CN"/>
        </w:rPr>
        <w:t>：</w:t>
      </w:r>
      <w:r>
        <w:rPr>
          <w:rFonts w:hint="default"/>
          <w:color w:val="auto"/>
          <w:lang w:val="en-US" w:eastAsia="zh-CN"/>
        </w:rPr>
        <w:t>凿岩和爆破作业、装矿运输作业等。</w:t>
      </w:r>
    </w:p>
    <w:p w14:paraId="79F4E715">
      <w:pPr>
        <w:pStyle w:val="4"/>
        <w:bidi w:val="0"/>
        <w:rPr>
          <w:rFonts w:hint="default"/>
          <w:color w:val="auto"/>
          <w:lang w:val="en-US" w:eastAsia="zh-CN"/>
        </w:rPr>
      </w:pPr>
      <w:bookmarkStart w:id="378" w:name="_Toc2142"/>
      <w:bookmarkStart w:id="379" w:name="_Toc24882"/>
      <w:bookmarkStart w:id="380" w:name="_Toc31173"/>
      <w:bookmarkStart w:id="381" w:name="_Toc22657"/>
      <w:bookmarkStart w:id="382" w:name="_Toc23698"/>
      <w:bookmarkStart w:id="383" w:name="_Toc6672"/>
      <w:r>
        <w:rPr>
          <w:rFonts w:hint="default"/>
          <w:color w:val="auto"/>
          <w:lang w:val="en-US" w:eastAsia="zh-CN"/>
        </w:rPr>
        <w:t>3.2.2 噪声与振动</w:t>
      </w:r>
      <w:bookmarkEnd w:id="378"/>
      <w:bookmarkEnd w:id="379"/>
      <w:bookmarkEnd w:id="380"/>
      <w:bookmarkEnd w:id="381"/>
      <w:bookmarkEnd w:id="382"/>
      <w:bookmarkEnd w:id="383"/>
    </w:p>
    <w:p w14:paraId="410637E2">
      <w:pPr>
        <w:rPr>
          <w:rFonts w:hint="default"/>
          <w:color w:val="auto"/>
          <w:lang w:val="en-US" w:eastAsia="zh-CN"/>
        </w:rPr>
      </w:pPr>
      <w:r>
        <w:rPr>
          <w:rFonts w:hint="default"/>
          <w:color w:val="auto"/>
          <w:lang w:val="en-US" w:eastAsia="zh-CN"/>
        </w:rPr>
        <w:t>噪声就是使人感到不愉快声音，不仅对人体的听力、心理、生理产生影响，还可引起职业性耳聋，对生产活动也会产生不利影响。在高噪声环境中作业，人的心情易烦躁，容易疲劳，反应迟钝，工作效率低，可诱发事故。噪声产生于物体的振动，振动是生产中常见的有害因素，它与噪声相结合作用于人体。振动可直接作用于人体，也可通过其他物体作用于人体，按其作用部位可分为局部振动和全身振动。振动多见于使用风动工具、电动工具及其他有较强机械磨擦作用的地方。</w:t>
      </w:r>
    </w:p>
    <w:p w14:paraId="6E156F91">
      <w:pPr>
        <w:rPr>
          <w:rFonts w:hint="default"/>
          <w:color w:val="auto"/>
          <w:lang w:val="en-US" w:eastAsia="zh-CN"/>
        </w:rPr>
      </w:pPr>
      <w:r>
        <w:rPr>
          <w:rFonts w:hint="default"/>
          <w:color w:val="auto"/>
          <w:lang w:val="en-US" w:eastAsia="zh-CN"/>
        </w:rPr>
        <w:t>矿山生产过程中，噪声与振动主要来源于气动凿岩工具的空气动力噪声，各设备在运转中的振动、磨擦、碰撞而产生的机械噪声和电动机等电气设备所产生的电磁辐射噪声。</w:t>
      </w:r>
    </w:p>
    <w:p w14:paraId="51255C94">
      <w:pPr>
        <w:rPr>
          <w:rFonts w:hint="default"/>
          <w:color w:val="auto"/>
          <w:lang w:val="en-US" w:eastAsia="zh-CN"/>
        </w:rPr>
      </w:pPr>
      <w:r>
        <w:rPr>
          <w:rFonts w:hint="default"/>
          <w:color w:val="auto"/>
          <w:lang w:val="en-US" w:eastAsia="zh-CN"/>
        </w:rPr>
        <w:t>产生的噪声源和振动的设备和场所主要有</w:t>
      </w:r>
      <w:r>
        <w:rPr>
          <w:rFonts w:hint="eastAsia"/>
          <w:color w:val="auto"/>
          <w:lang w:val="en-US" w:eastAsia="zh-CN"/>
        </w:rPr>
        <w:t>：</w:t>
      </w:r>
    </w:p>
    <w:p w14:paraId="0C4782C9">
      <w:pPr>
        <w:rPr>
          <w:rFonts w:hint="default"/>
          <w:color w:val="auto"/>
          <w:lang w:val="en-US" w:eastAsia="zh-CN"/>
        </w:rPr>
      </w:pPr>
      <w:r>
        <w:rPr>
          <w:rFonts w:hint="default"/>
          <w:color w:val="auto"/>
          <w:lang w:val="en-US" w:eastAsia="zh-CN"/>
        </w:rPr>
        <w:t>1</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default"/>
          <w:color w:val="auto"/>
          <w:lang w:val="en-US" w:eastAsia="zh-CN"/>
        </w:rPr>
        <w:t>空压机</w:t>
      </w:r>
      <w:r>
        <w:rPr>
          <w:rFonts w:hint="eastAsia"/>
          <w:color w:val="auto"/>
          <w:lang w:val="en-US" w:eastAsia="zh-CN"/>
        </w:rPr>
        <w:t>；</w:t>
      </w:r>
    </w:p>
    <w:p w14:paraId="133EEDD5">
      <w:pPr>
        <w:rPr>
          <w:rFonts w:hint="default"/>
          <w:color w:val="auto"/>
          <w:lang w:val="en-US" w:eastAsia="zh-CN"/>
        </w:rPr>
      </w:pPr>
      <w:r>
        <w:rPr>
          <w:rFonts w:hint="default"/>
          <w:color w:val="auto"/>
          <w:lang w:val="en-US" w:eastAsia="zh-CN"/>
        </w:rPr>
        <w:t>2</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default"/>
          <w:color w:val="auto"/>
          <w:lang w:val="en-US" w:eastAsia="zh-CN"/>
        </w:rPr>
        <w:t>爆破作业场所</w:t>
      </w:r>
      <w:r>
        <w:rPr>
          <w:rFonts w:hint="eastAsia"/>
          <w:color w:val="auto"/>
          <w:lang w:val="en-US" w:eastAsia="zh-CN"/>
        </w:rPr>
        <w:t>；</w:t>
      </w:r>
    </w:p>
    <w:p w14:paraId="30C8864D">
      <w:pPr>
        <w:rPr>
          <w:rFonts w:hint="default"/>
          <w:color w:val="auto"/>
          <w:lang w:val="en-US" w:eastAsia="zh-CN"/>
        </w:rPr>
      </w:pPr>
      <w:r>
        <w:rPr>
          <w:rFonts w:hint="default"/>
          <w:color w:val="auto"/>
          <w:lang w:val="en-US" w:eastAsia="zh-CN"/>
        </w:rPr>
        <w:t>3</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default"/>
          <w:color w:val="auto"/>
          <w:lang w:val="en-US" w:eastAsia="zh-CN"/>
        </w:rPr>
        <w:t>凿岩设备和凿岩工作面</w:t>
      </w:r>
      <w:r>
        <w:rPr>
          <w:rFonts w:hint="eastAsia"/>
          <w:color w:val="auto"/>
          <w:lang w:val="en-US" w:eastAsia="zh-CN"/>
        </w:rPr>
        <w:t>；</w:t>
      </w:r>
    </w:p>
    <w:p w14:paraId="116687E8">
      <w:pPr>
        <w:rPr>
          <w:rFonts w:hint="default"/>
          <w:color w:val="auto"/>
          <w:lang w:val="en-US" w:eastAsia="zh-CN"/>
        </w:rPr>
      </w:pPr>
      <w:r>
        <w:rPr>
          <w:rFonts w:hint="default"/>
          <w:color w:val="auto"/>
          <w:lang w:val="en-US" w:eastAsia="zh-CN"/>
        </w:rPr>
        <w:t>4</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default"/>
          <w:color w:val="auto"/>
          <w:lang w:val="en-US" w:eastAsia="zh-CN"/>
        </w:rPr>
        <w:t>装岩机和装岩作业场所</w:t>
      </w:r>
      <w:r>
        <w:rPr>
          <w:rFonts w:hint="eastAsia"/>
          <w:color w:val="auto"/>
          <w:lang w:val="en-US" w:eastAsia="zh-CN"/>
        </w:rPr>
        <w:t>；</w:t>
      </w:r>
    </w:p>
    <w:p w14:paraId="275892D8">
      <w:pPr>
        <w:pStyle w:val="4"/>
        <w:bidi w:val="0"/>
        <w:rPr>
          <w:rFonts w:hint="default"/>
          <w:color w:val="auto"/>
          <w:lang w:val="en-US" w:eastAsia="zh-CN"/>
        </w:rPr>
      </w:pPr>
      <w:bookmarkStart w:id="384" w:name="_Toc29833"/>
      <w:bookmarkStart w:id="385" w:name="_Toc13314"/>
      <w:bookmarkStart w:id="386" w:name="_Toc1821"/>
      <w:bookmarkStart w:id="387" w:name="_Toc14577"/>
      <w:bookmarkStart w:id="388" w:name="_Toc28086"/>
      <w:bookmarkStart w:id="389" w:name="_Toc6536"/>
      <w:r>
        <w:rPr>
          <w:rFonts w:hint="default"/>
          <w:color w:val="auto"/>
          <w:lang w:val="en-US" w:eastAsia="zh-CN"/>
        </w:rPr>
        <w:t>3.</w:t>
      </w:r>
      <w:r>
        <w:rPr>
          <w:rFonts w:hint="eastAsia"/>
          <w:color w:val="auto"/>
          <w:lang w:val="en-US" w:eastAsia="zh-CN"/>
        </w:rPr>
        <w:t>2</w:t>
      </w:r>
      <w:r>
        <w:rPr>
          <w:rFonts w:hint="default"/>
          <w:color w:val="auto"/>
          <w:lang w:val="en-US" w:eastAsia="zh-CN"/>
        </w:rPr>
        <w:t>.</w:t>
      </w:r>
      <w:r>
        <w:rPr>
          <w:rFonts w:hint="eastAsia"/>
          <w:color w:val="auto"/>
          <w:lang w:val="en-US" w:eastAsia="zh-CN"/>
        </w:rPr>
        <w:t xml:space="preserve">3 </w:t>
      </w:r>
      <w:r>
        <w:rPr>
          <w:rFonts w:hint="default"/>
          <w:color w:val="auto"/>
          <w:lang w:val="en-US" w:eastAsia="zh-CN"/>
        </w:rPr>
        <w:t>高低温</w:t>
      </w:r>
      <w:bookmarkEnd w:id="384"/>
      <w:bookmarkEnd w:id="385"/>
      <w:bookmarkEnd w:id="386"/>
      <w:bookmarkEnd w:id="387"/>
      <w:bookmarkEnd w:id="388"/>
      <w:bookmarkEnd w:id="389"/>
    </w:p>
    <w:p w14:paraId="71EF99E3">
      <w:pPr>
        <w:bidi w:val="0"/>
        <w:rPr>
          <w:rFonts w:hint="default"/>
          <w:color w:val="auto"/>
          <w:lang w:val="en-US" w:eastAsia="zh-CN"/>
        </w:rPr>
      </w:pPr>
      <w:r>
        <w:rPr>
          <w:rFonts w:hint="default"/>
          <w:color w:val="auto"/>
          <w:lang w:val="en-US" w:eastAsia="zh-CN"/>
        </w:rPr>
        <w:t>日最高气温达到或超过35℃时称为高温，连续数天（3天以上）的高温天气过程称为高温热浪（也称为高温酷暑）。</w:t>
      </w:r>
    </w:p>
    <w:p w14:paraId="40E9FE17">
      <w:pPr>
        <w:bidi w:val="0"/>
        <w:rPr>
          <w:rFonts w:hint="default"/>
          <w:color w:val="auto"/>
          <w:lang w:val="en-US" w:eastAsia="zh-CN"/>
        </w:rPr>
      </w:pPr>
      <w:r>
        <w:rPr>
          <w:rFonts w:hint="default"/>
          <w:color w:val="auto"/>
          <w:lang w:val="en-US" w:eastAsia="zh-CN"/>
        </w:rPr>
        <w:t>低温作业是指在生产劳动过程中，工作地点平均气温等于或低于5℃的作业。</w:t>
      </w:r>
    </w:p>
    <w:p w14:paraId="022DC61C">
      <w:pPr>
        <w:rPr>
          <w:rFonts w:hint="default"/>
          <w:color w:val="auto"/>
          <w:lang w:val="en-US" w:eastAsia="zh-CN"/>
        </w:rPr>
      </w:pPr>
      <w:r>
        <w:rPr>
          <w:rFonts w:hint="default"/>
          <w:color w:val="auto"/>
          <w:lang w:val="en-US" w:eastAsia="zh-CN"/>
        </w:rPr>
        <w:t>据</w:t>
      </w:r>
      <w:r>
        <w:rPr>
          <w:rFonts w:hint="eastAsia"/>
          <w:color w:val="auto"/>
          <w:lang w:val="en-US" w:eastAsia="zh-CN"/>
        </w:rPr>
        <w:t>鄱阳县</w:t>
      </w:r>
      <w:r>
        <w:rPr>
          <w:rFonts w:hint="default"/>
          <w:color w:val="auto"/>
          <w:lang w:val="en-US" w:eastAsia="zh-CN"/>
        </w:rPr>
        <w:t>气象局提供的气象统计资料，最高气温38℃～40℃，最低气温</w:t>
      </w:r>
      <w:r>
        <w:rPr>
          <w:rFonts w:hint="eastAsia" w:asciiTheme="minorEastAsia" w:hAnsiTheme="minorEastAsia" w:eastAsiaTheme="minorEastAsia" w:cstheme="minorEastAsia"/>
          <w:color w:val="auto"/>
          <w:lang w:val="en-US" w:eastAsia="zh-CN"/>
        </w:rPr>
        <w:t>-</w:t>
      </w:r>
      <w:r>
        <w:rPr>
          <w:rFonts w:hint="default"/>
          <w:color w:val="auto"/>
          <w:lang w:val="en-US" w:eastAsia="zh-CN"/>
        </w:rPr>
        <w:t>8.0℃。</w:t>
      </w:r>
    </w:p>
    <w:p w14:paraId="54DD4B92">
      <w:pPr>
        <w:bidi w:val="0"/>
        <w:rPr>
          <w:rFonts w:hint="default"/>
          <w:color w:val="auto"/>
          <w:lang w:val="en-US" w:eastAsia="zh-CN"/>
        </w:rPr>
      </w:pPr>
      <w:r>
        <w:rPr>
          <w:rFonts w:hint="default"/>
          <w:color w:val="auto"/>
          <w:lang w:val="en-US" w:eastAsia="zh-CN"/>
        </w:rPr>
        <w:t>因此，</w:t>
      </w:r>
      <w:r>
        <w:rPr>
          <w:rFonts w:hint="eastAsia"/>
          <w:color w:val="auto"/>
          <w:lang w:val="en-US" w:eastAsia="zh-CN"/>
        </w:rPr>
        <w:t>矿山</w:t>
      </w:r>
      <w:r>
        <w:rPr>
          <w:rFonts w:hint="default"/>
          <w:color w:val="auto"/>
          <w:lang w:val="en-US" w:eastAsia="zh-CN"/>
        </w:rPr>
        <w:t>存在</w:t>
      </w:r>
      <w:r>
        <w:rPr>
          <w:rFonts w:hint="eastAsia"/>
          <w:color w:val="auto"/>
          <w:lang w:val="en-US" w:eastAsia="zh-CN"/>
        </w:rPr>
        <w:t>高低温</w:t>
      </w:r>
      <w:r>
        <w:rPr>
          <w:rFonts w:hint="eastAsia" w:ascii="宋体" w:hAnsi="宋体" w:cs="宋体"/>
          <w:color w:val="auto"/>
          <w:spacing w:val="-2"/>
          <w:sz w:val="28"/>
          <w:szCs w:val="28"/>
          <w:lang w:val="en-US" w:eastAsia="zh-CN"/>
        </w:rPr>
        <w:t>有害</w:t>
      </w:r>
      <w:r>
        <w:rPr>
          <w:rFonts w:hint="default"/>
          <w:color w:val="auto"/>
          <w:lang w:val="en-US" w:eastAsia="zh-CN"/>
        </w:rPr>
        <w:t>因素。</w:t>
      </w:r>
    </w:p>
    <w:p w14:paraId="249CD5A3">
      <w:pPr>
        <w:pStyle w:val="3"/>
        <w:bidi w:val="0"/>
        <w:rPr>
          <w:rFonts w:hint="default"/>
          <w:color w:val="auto"/>
          <w:lang w:val="en-US" w:eastAsia="zh-CN"/>
        </w:rPr>
      </w:pPr>
      <w:bookmarkStart w:id="390" w:name="_Toc15008"/>
      <w:bookmarkStart w:id="391" w:name="_Toc12390"/>
      <w:bookmarkStart w:id="392" w:name="_Toc24091"/>
      <w:bookmarkStart w:id="393" w:name="_Toc13582"/>
      <w:bookmarkStart w:id="394" w:name="_Toc14910"/>
      <w:bookmarkStart w:id="395" w:name="_Toc29626"/>
      <w:r>
        <w:rPr>
          <w:rFonts w:hint="eastAsia"/>
          <w:color w:val="auto"/>
          <w:lang w:val="en-US" w:eastAsia="zh-CN"/>
        </w:rPr>
        <w:t>3.3 重大危险源辨识</w:t>
      </w:r>
      <w:bookmarkEnd w:id="390"/>
      <w:bookmarkEnd w:id="391"/>
      <w:bookmarkEnd w:id="392"/>
      <w:bookmarkEnd w:id="393"/>
      <w:bookmarkEnd w:id="394"/>
      <w:bookmarkEnd w:id="395"/>
    </w:p>
    <w:p w14:paraId="56F2D9C5">
      <w:pPr>
        <w:rPr>
          <w:rFonts w:hint="default"/>
          <w:color w:val="auto"/>
          <w:lang w:val="en-US" w:eastAsia="zh-CN"/>
        </w:rPr>
      </w:pPr>
      <w:r>
        <w:rPr>
          <w:rFonts w:hint="default"/>
          <w:color w:val="auto"/>
          <w:lang w:val="en-US" w:eastAsia="zh-CN"/>
        </w:rPr>
        <w:t>根据《危险化学品重大危险源辨识》（GB18218-2018）的规定，重大危险源共分为储存场和生产设施二类。</w:t>
      </w:r>
    </w:p>
    <w:p w14:paraId="73616895">
      <w:pPr>
        <w:rPr>
          <w:rFonts w:hint="default"/>
          <w:color w:val="auto"/>
          <w:lang w:val="en-US" w:eastAsia="zh-CN"/>
        </w:rPr>
      </w:pPr>
      <w:r>
        <w:rPr>
          <w:rFonts w:hint="default"/>
          <w:color w:val="auto"/>
          <w:lang w:val="en-US" w:eastAsia="zh-CN"/>
        </w:rPr>
        <w:t>鄱阳县响水滩乡禾互山建筑用石料矿不设爆破器材库，爆破作业的炸药由江西鑫安理德爆破有限责任公司负责配送。矿山当日放炮，当日由专业配送炸药物品的公司运输配送到矿山，多余的火工材料当日运回，不在矿山滞留。</w:t>
      </w:r>
    </w:p>
    <w:p w14:paraId="20716DFA">
      <w:pPr>
        <w:rPr>
          <w:rFonts w:hint="default"/>
          <w:color w:val="auto"/>
          <w:lang w:val="en-US" w:eastAsia="zh-CN"/>
        </w:rPr>
      </w:pPr>
      <w:r>
        <w:rPr>
          <w:rFonts w:hint="default"/>
          <w:color w:val="auto"/>
          <w:lang w:val="en-US" w:eastAsia="zh-CN"/>
        </w:rPr>
        <w:t>矿山未使用到其他危险化学品。</w:t>
      </w:r>
    </w:p>
    <w:p w14:paraId="2CF620F7">
      <w:pPr>
        <w:rPr>
          <w:rFonts w:hint="default"/>
          <w:color w:val="auto"/>
          <w:lang w:val="en-US" w:eastAsia="zh-CN"/>
        </w:rPr>
      </w:pPr>
      <w:r>
        <w:rPr>
          <w:rFonts w:hint="default"/>
          <w:color w:val="auto"/>
          <w:lang w:val="en-US" w:eastAsia="zh-CN"/>
        </w:rPr>
        <w:t>综上所述，该矿山不涉及危险化学品重大危险源。</w:t>
      </w:r>
    </w:p>
    <w:p w14:paraId="589391E5">
      <w:pPr>
        <w:pStyle w:val="3"/>
        <w:bidi w:val="0"/>
        <w:rPr>
          <w:rFonts w:hint="default"/>
          <w:color w:val="auto"/>
          <w:lang w:val="en-US" w:eastAsia="zh-CN"/>
        </w:rPr>
      </w:pPr>
      <w:bookmarkStart w:id="396" w:name="_Toc16566"/>
      <w:bookmarkStart w:id="397" w:name="_Toc5106"/>
      <w:bookmarkStart w:id="398" w:name="_Toc1820"/>
      <w:bookmarkStart w:id="399" w:name="_Toc4767"/>
      <w:bookmarkStart w:id="400" w:name="_Toc1774"/>
      <w:bookmarkStart w:id="401" w:name="_Toc7764"/>
      <w:r>
        <w:rPr>
          <w:rFonts w:hint="default"/>
          <w:color w:val="auto"/>
          <w:lang w:val="en-US" w:eastAsia="zh-CN"/>
        </w:rPr>
        <w:t>3.</w:t>
      </w:r>
      <w:r>
        <w:rPr>
          <w:rFonts w:hint="eastAsia"/>
          <w:color w:val="auto"/>
          <w:lang w:val="en-US" w:eastAsia="zh-CN"/>
        </w:rPr>
        <w:t>4</w:t>
      </w:r>
      <w:r>
        <w:rPr>
          <w:rFonts w:hint="default"/>
          <w:color w:val="auto"/>
          <w:lang w:val="en-US" w:eastAsia="zh-CN"/>
        </w:rPr>
        <w:t xml:space="preserve"> 危险、有害因素分析辨识结果</w:t>
      </w:r>
      <w:bookmarkEnd w:id="396"/>
      <w:bookmarkEnd w:id="397"/>
      <w:bookmarkEnd w:id="398"/>
      <w:bookmarkEnd w:id="399"/>
      <w:bookmarkEnd w:id="400"/>
      <w:bookmarkEnd w:id="401"/>
    </w:p>
    <w:p w14:paraId="267E4195">
      <w:pPr>
        <w:rPr>
          <w:rFonts w:hint="default"/>
          <w:color w:val="auto"/>
          <w:lang w:val="en-US" w:eastAsia="zh-CN"/>
        </w:rPr>
      </w:pPr>
      <w:r>
        <w:rPr>
          <w:rFonts w:hint="default"/>
          <w:color w:val="auto"/>
          <w:lang w:val="en-US" w:eastAsia="zh-CN"/>
        </w:rPr>
        <w:t>1</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default"/>
          <w:color w:val="auto"/>
          <w:lang w:val="en-US" w:eastAsia="zh-CN"/>
        </w:rPr>
        <w:t>项目不构成重大危险源</w:t>
      </w:r>
      <w:r>
        <w:rPr>
          <w:rFonts w:hint="eastAsia"/>
          <w:color w:val="auto"/>
          <w:lang w:val="en-US" w:eastAsia="zh-CN"/>
        </w:rPr>
        <w:t>；</w:t>
      </w:r>
    </w:p>
    <w:p w14:paraId="191C9BFE">
      <w:pPr>
        <w:rPr>
          <w:rFonts w:hint="default"/>
          <w:color w:val="auto"/>
          <w:lang w:val="en-US" w:eastAsia="zh-CN"/>
        </w:rPr>
      </w:pPr>
      <w:r>
        <w:rPr>
          <w:rFonts w:hint="default"/>
          <w:color w:val="auto"/>
          <w:lang w:val="en-US" w:eastAsia="zh-CN"/>
        </w:rPr>
        <w:t>2</w:t>
      </w:r>
      <w:r>
        <w:rPr>
          <w:rFonts w:hint="default" w:ascii="Times New Roman" w:hAnsi="Times New Roman" w:eastAsia="宋体" w:cs="Times New Roman"/>
          <w:color w:val="auto"/>
          <w:kern w:val="2"/>
          <w:sz w:val="28"/>
          <w:szCs w:val="24"/>
          <w:lang w:val="en-US" w:eastAsia="zh-CN" w:bidi="ar-SA"/>
        </w:rPr>
        <w:t>.</w:t>
      </w:r>
      <w:r>
        <w:rPr>
          <w:rFonts w:hint="eastAsia" w:cs="Times New Roman"/>
          <w:color w:val="auto"/>
          <w:kern w:val="2"/>
          <w:sz w:val="28"/>
          <w:szCs w:val="24"/>
          <w:lang w:val="en-US" w:eastAsia="zh-CN" w:bidi="ar-SA"/>
        </w:rPr>
        <w:t xml:space="preserve"> </w:t>
      </w:r>
      <w:r>
        <w:rPr>
          <w:rFonts w:hint="default"/>
          <w:color w:val="auto"/>
          <w:lang w:val="en-US" w:eastAsia="zh-CN"/>
        </w:rPr>
        <w:t>项目生产过程中潜在的危险、有害因素分析表明</w:t>
      </w:r>
      <w:r>
        <w:rPr>
          <w:rFonts w:hint="eastAsia"/>
          <w:color w:val="auto"/>
          <w:lang w:val="en-US" w:eastAsia="zh-CN"/>
        </w:rPr>
        <w:t>：</w:t>
      </w:r>
      <w:r>
        <w:rPr>
          <w:rFonts w:hint="default"/>
          <w:color w:val="auto"/>
          <w:lang w:val="en-US" w:eastAsia="zh-CN"/>
        </w:rPr>
        <w:t>该矿在生产过程中存在</w:t>
      </w:r>
      <w:r>
        <w:rPr>
          <w:rFonts w:hint="eastAsia"/>
          <w:color w:val="auto"/>
          <w:lang w:val="en-US" w:eastAsia="zh-CN"/>
        </w:rPr>
        <w:t>民用爆炸物品</w:t>
      </w:r>
      <w:r>
        <w:rPr>
          <w:rFonts w:hint="default"/>
          <w:color w:val="auto"/>
          <w:lang w:val="en-US" w:eastAsia="zh-CN"/>
        </w:rPr>
        <w:t>爆炸</w:t>
      </w:r>
      <w:r>
        <w:rPr>
          <w:rFonts w:hint="eastAsia"/>
          <w:color w:val="auto"/>
          <w:lang w:val="en-US" w:eastAsia="zh-CN"/>
        </w:rPr>
        <w:t>；坍塌；厂（场）内车辆致害；机械致害；</w:t>
      </w:r>
      <w:r>
        <w:rPr>
          <w:rFonts w:hint="default"/>
          <w:color w:val="auto"/>
          <w:lang w:val="en-US" w:eastAsia="zh-CN"/>
        </w:rPr>
        <w:t>火灾</w:t>
      </w:r>
      <w:r>
        <w:rPr>
          <w:rFonts w:hint="eastAsia"/>
          <w:color w:val="auto"/>
          <w:lang w:val="en-US" w:eastAsia="zh-CN"/>
        </w:rPr>
        <w:t>；物体打击；高处坠落、跌落；淹溺；其他；</w:t>
      </w:r>
      <w:r>
        <w:rPr>
          <w:rFonts w:hint="default"/>
          <w:color w:val="auto"/>
          <w:lang w:val="en-US" w:eastAsia="zh-CN"/>
        </w:rPr>
        <w:t>粉尘</w:t>
      </w:r>
      <w:r>
        <w:rPr>
          <w:rFonts w:hint="eastAsia"/>
          <w:color w:val="auto"/>
          <w:lang w:val="en-US" w:eastAsia="zh-CN"/>
        </w:rPr>
        <w:t>；</w:t>
      </w:r>
      <w:r>
        <w:rPr>
          <w:rFonts w:hint="default"/>
          <w:color w:val="auto"/>
          <w:lang w:val="en-US" w:eastAsia="zh-CN"/>
        </w:rPr>
        <w:t>噪声与振动</w:t>
      </w:r>
      <w:r>
        <w:rPr>
          <w:rFonts w:hint="eastAsia"/>
          <w:color w:val="auto"/>
          <w:lang w:val="en-US" w:eastAsia="zh-CN"/>
        </w:rPr>
        <w:t>；高低温</w:t>
      </w:r>
      <w:r>
        <w:rPr>
          <w:rFonts w:hint="default"/>
          <w:color w:val="auto"/>
          <w:lang w:val="en-US" w:eastAsia="zh-CN"/>
        </w:rPr>
        <w:t>等危险、有害因素，属存在危险、有害因素较多的矿山，因此，矿山在开采过程中要高度重视，严格管理，全面落实安全生产责任制，有效降低安全风险，保障生产安全。</w:t>
      </w:r>
    </w:p>
    <w:p w14:paraId="38E52696">
      <w:pPr>
        <w:rPr>
          <w:rFonts w:hint="default"/>
          <w:color w:val="auto"/>
          <w:lang w:val="en-US" w:eastAsia="zh-CN"/>
        </w:rPr>
      </w:pPr>
    </w:p>
    <w:p w14:paraId="65F7906B">
      <w:pPr>
        <w:rPr>
          <w:rFonts w:hint="default"/>
          <w:color w:val="auto"/>
          <w:lang w:val="en-US" w:eastAsia="zh-CN"/>
        </w:rPr>
      </w:pPr>
    </w:p>
    <w:p w14:paraId="415B0CAD">
      <w:pPr>
        <w:rPr>
          <w:rFonts w:hint="default"/>
          <w:color w:val="auto"/>
          <w:lang w:val="en-US" w:eastAsia="zh-CN"/>
        </w:rPr>
        <w:sectPr>
          <w:pgSz w:w="11906" w:h="16839"/>
          <w:pgMar w:top="1417" w:right="1417" w:bottom="1417" w:left="1417" w:header="850" w:footer="992" w:gutter="0"/>
          <w:pgNumType w:fmt="decimal"/>
          <w:cols w:space="425" w:num="1"/>
          <w:rtlGutter w:val="0"/>
          <w:docGrid w:linePitch="312" w:charSpace="0"/>
        </w:sectPr>
      </w:pPr>
    </w:p>
    <w:p w14:paraId="1E8F7704">
      <w:pPr>
        <w:pStyle w:val="2"/>
        <w:numPr>
          <w:ilvl w:val="0"/>
          <w:numId w:val="1"/>
        </w:numPr>
        <w:bidi w:val="0"/>
        <w:ind w:left="0" w:leftChars="0" w:firstLine="0" w:firstLineChars="0"/>
        <w:rPr>
          <w:rFonts w:hint="default" w:ascii="Times New Roman" w:hAnsi="Times New Roman" w:cs="Times New Roman"/>
          <w:color w:val="auto"/>
          <w:lang w:val="en-US" w:eastAsia="zh-CN"/>
        </w:rPr>
      </w:pPr>
      <w:bookmarkStart w:id="402" w:name="_Toc21010"/>
      <w:bookmarkStart w:id="403" w:name="_Toc17899"/>
      <w:bookmarkStart w:id="404" w:name="_Toc23887"/>
      <w:bookmarkStart w:id="405" w:name="_Toc3189"/>
      <w:bookmarkStart w:id="406" w:name="_Toc28425"/>
      <w:bookmarkStart w:id="407" w:name="_Toc6520"/>
      <w:r>
        <w:rPr>
          <w:rFonts w:hint="default" w:ascii="Times New Roman" w:hAnsi="Times New Roman" w:cs="Times New Roman"/>
          <w:color w:val="auto"/>
          <w:lang w:val="en-US" w:eastAsia="zh-CN"/>
        </w:rPr>
        <w:t>评价方法选择和评价单元划分</w:t>
      </w:r>
      <w:bookmarkEnd w:id="402"/>
      <w:bookmarkEnd w:id="403"/>
      <w:bookmarkEnd w:id="404"/>
      <w:bookmarkEnd w:id="405"/>
      <w:bookmarkEnd w:id="406"/>
      <w:bookmarkEnd w:id="407"/>
    </w:p>
    <w:p w14:paraId="4BAB8D18">
      <w:pPr>
        <w:rPr>
          <w:rFonts w:hint="default"/>
          <w:color w:val="auto"/>
          <w:lang w:val="en-US" w:eastAsia="zh-CN"/>
        </w:rPr>
      </w:pPr>
      <w:r>
        <w:rPr>
          <w:rFonts w:hint="default"/>
          <w:color w:val="auto"/>
          <w:lang w:val="en-US" w:eastAsia="zh-CN"/>
        </w:rPr>
        <w:t>划分评价单元的目的是为便于评价工作的有序进行，并有利于提高评价工作的准确性。安全评价方法是对系统的危险因素、有害因素及其危险、危害程度进行分析、评价的工具。</w:t>
      </w:r>
    </w:p>
    <w:p w14:paraId="5CF62765">
      <w:pPr>
        <w:pStyle w:val="3"/>
        <w:bidi w:val="0"/>
        <w:rPr>
          <w:rFonts w:hint="default"/>
          <w:color w:val="auto"/>
          <w:lang w:val="en-US" w:eastAsia="zh-CN"/>
        </w:rPr>
      </w:pPr>
      <w:bookmarkStart w:id="408" w:name="_Toc27058"/>
      <w:bookmarkStart w:id="409" w:name="_Toc28563"/>
      <w:bookmarkStart w:id="410" w:name="_Toc24012"/>
      <w:bookmarkStart w:id="411" w:name="_Toc14120"/>
      <w:bookmarkStart w:id="412" w:name="_Toc30987"/>
      <w:bookmarkStart w:id="413" w:name="_Toc25592"/>
      <w:r>
        <w:rPr>
          <w:rFonts w:hint="eastAsia"/>
          <w:color w:val="auto"/>
          <w:lang w:val="en-US" w:eastAsia="zh-CN"/>
        </w:rPr>
        <w:t>4.1 评价单元划分</w:t>
      </w:r>
      <w:bookmarkEnd w:id="408"/>
      <w:bookmarkEnd w:id="409"/>
      <w:bookmarkEnd w:id="410"/>
      <w:bookmarkEnd w:id="411"/>
      <w:bookmarkEnd w:id="412"/>
      <w:bookmarkEnd w:id="413"/>
    </w:p>
    <w:p w14:paraId="471ABC61">
      <w:pPr>
        <w:rPr>
          <w:rFonts w:hint="default"/>
          <w:color w:val="auto"/>
          <w:lang w:val="en-US" w:eastAsia="zh-CN"/>
        </w:rPr>
      </w:pPr>
      <w:r>
        <w:rPr>
          <w:rFonts w:hint="default"/>
          <w:color w:val="auto"/>
          <w:lang w:val="en-US" w:eastAsia="zh-CN"/>
        </w:rPr>
        <w:t>按照评价单元的划分原则和方法，考虑该工程项目中危险、有害因素的危害程度以及露天开采的特殊工艺，划分如下评价单元：安全管理、</w:t>
      </w:r>
      <w:r>
        <w:rPr>
          <w:rFonts w:hint="eastAsia"/>
          <w:color w:val="auto"/>
          <w:lang w:val="en-US" w:eastAsia="zh-CN"/>
        </w:rPr>
        <w:t>露天</w:t>
      </w:r>
      <w:r>
        <w:rPr>
          <w:rFonts w:hint="default"/>
          <w:color w:val="auto"/>
          <w:lang w:val="en-US" w:eastAsia="zh-CN"/>
        </w:rPr>
        <w:t>采</w:t>
      </w:r>
      <w:r>
        <w:rPr>
          <w:rFonts w:hint="default" w:ascii="Times New Roman" w:hAnsi="Times New Roman" w:eastAsia="宋体" w:cs="Times New Roman"/>
          <w:color w:val="auto"/>
          <w:lang w:val="en-US" w:eastAsia="zh-CN"/>
        </w:rPr>
        <w:t>场、边坡管理、供配电设施、防排水、</w:t>
      </w:r>
      <w:r>
        <w:rPr>
          <w:rFonts w:hint="eastAsia" w:ascii="Times New Roman" w:hAnsi="Times New Roman" w:eastAsia="宋体" w:cs="Times New Roman"/>
          <w:color w:val="auto"/>
          <w:lang w:val="en-US" w:eastAsia="zh-CN"/>
        </w:rPr>
        <w:t>防灭火、</w:t>
      </w:r>
      <w:r>
        <w:rPr>
          <w:rFonts w:hint="default" w:ascii="Times New Roman" w:hAnsi="Times New Roman" w:eastAsia="宋体" w:cs="Times New Roman"/>
          <w:color w:val="auto"/>
          <w:lang w:val="en-US" w:eastAsia="zh-CN"/>
        </w:rPr>
        <w:t>重大事故隐患判定</w:t>
      </w:r>
      <w:r>
        <w:rPr>
          <w:rFonts w:hint="eastAsia" w:ascii="Times New Roman" w:hAnsi="Times New Roman" w:eastAsia="宋体" w:cs="Times New Roman"/>
          <w:color w:val="auto"/>
          <w:lang w:val="en-US" w:eastAsia="zh-CN"/>
        </w:rPr>
        <w:t>和综合安全评价</w:t>
      </w:r>
      <w:r>
        <w:rPr>
          <w:rFonts w:hint="default" w:ascii="Times New Roman" w:hAnsi="Times New Roman" w:eastAsia="宋体" w:cs="Times New Roman"/>
          <w:color w:val="auto"/>
          <w:lang w:val="en-US" w:eastAsia="zh-CN"/>
        </w:rPr>
        <w:t>单元</w:t>
      </w:r>
      <w:r>
        <w:rPr>
          <w:rFonts w:hint="default"/>
          <w:color w:val="auto"/>
          <w:lang w:val="en-US" w:eastAsia="zh-CN"/>
        </w:rPr>
        <w:t>等划分</w:t>
      </w:r>
      <w:r>
        <w:rPr>
          <w:rFonts w:hint="eastAsia"/>
          <w:color w:val="auto"/>
          <w:lang w:val="en-US" w:eastAsia="zh-CN"/>
        </w:rPr>
        <w:t>8</w:t>
      </w:r>
      <w:r>
        <w:rPr>
          <w:rFonts w:hint="default"/>
          <w:color w:val="auto"/>
          <w:lang w:val="en-US" w:eastAsia="zh-CN"/>
        </w:rPr>
        <w:t>个评价单元。</w:t>
      </w:r>
    </w:p>
    <w:p w14:paraId="78BDF51E">
      <w:pPr>
        <w:pStyle w:val="3"/>
        <w:bidi w:val="0"/>
        <w:rPr>
          <w:rFonts w:hint="default"/>
          <w:color w:val="auto"/>
          <w:lang w:val="en-US" w:eastAsia="zh-CN"/>
        </w:rPr>
      </w:pPr>
      <w:bookmarkStart w:id="414" w:name="_Toc27827"/>
      <w:bookmarkStart w:id="415" w:name="_Toc32643"/>
      <w:bookmarkStart w:id="416" w:name="_Toc17993"/>
      <w:bookmarkStart w:id="417" w:name="_Toc25705"/>
      <w:bookmarkStart w:id="418" w:name="_Toc2510"/>
      <w:bookmarkStart w:id="419" w:name="_Toc5054"/>
      <w:r>
        <w:rPr>
          <w:rFonts w:hint="default"/>
          <w:color w:val="auto"/>
          <w:lang w:val="en-US" w:eastAsia="zh-CN"/>
        </w:rPr>
        <w:t>4.</w:t>
      </w:r>
      <w:r>
        <w:rPr>
          <w:rFonts w:hint="eastAsia"/>
          <w:color w:val="auto"/>
          <w:lang w:val="en-US" w:eastAsia="zh-CN"/>
        </w:rPr>
        <w:t>2</w:t>
      </w:r>
      <w:r>
        <w:rPr>
          <w:rFonts w:hint="default"/>
          <w:color w:val="auto"/>
          <w:lang w:val="en-US" w:eastAsia="zh-CN"/>
        </w:rPr>
        <w:t xml:space="preserve"> 评价方法选择</w:t>
      </w:r>
      <w:bookmarkEnd w:id="414"/>
      <w:bookmarkEnd w:id="415"/>
      <w:bookmarkEnd w:id="416"/>
      <w:bookmarkEnd w:id="417"/>
      <w:bookmarkEnd w:id="418"/>
      <w:bookmarkEnd w:id="419"/>
    </w:p>
    <w:p w14:paraId="0C1907C8">
      <w:pPr>
        <w:rPr>
          <w:rFonts w:hint="default"/>
          <w:color w:val="auto"/>
          <w:lang w:val="en-US" w:eastAsia="zh-CN"/>
        </w:rPr>
      </w:pPr>
      <w:r>
        <w:rPr>
          <w:rFonts w:hint="default"/>
          <w:color w:val="auto"/>
          <w:lang w:val="en-US" w:eastAsia="zh-CN"/>
        </w:rPr>
        <w:t>安全评价方法是对系统的危险、有害因素及其危险、危害程度进行定性、定量的分析、评价。评价方法的选择是根据评价的动机、结果的需要，考虑评价对象的特征以及评价方法的特点而确定的。</w:t>
      </w:r>
    </w:p>
    <w:p w14:paraId="43A9CB61">
      <w:pPr>
        <w:rPr>
          <w:rFonts w:hint="default"/>
          <w:color w:val="auto"/>
          <w:lang w:val="en-US" w:eastAsia="zh-CN"/>
        </w:rPr>
      </w:pPr>
      <w:r>
        <w:rPr>
          <w:rFonts w:hint="default"/>
          <w:color w:val="auto"/>
          <w:lang w:val="en-US" w:eastAsia="zh-CN"/>
        </w:rPr>
        <w:t>根据对</w:t>
      </w:r>
      <w:r>
        <w:rPr>
          <w:rFonts w:hint="eastAsia"/>
          <w:color w:val="auto"/>
          <w:lang w:val="en-US" w:eastAsia="zh-CN"/>
        </w:rPr>
        <w:t>本矿山</w:t>
      </w:r>
      <w:r>
        <w:rPr>
          <w:rFonts w:hint="default"/>
          <w:color w:val="auto"/>
          <w:lang w:val="en-US" w:eastAsia="zh-CN"/>
        </w:rPr>
        <w:t>生产过程中危险、有害因素的分析，以及上述评价单元的划分，决定本次评价时采取的评价方法如表4</w:t>
      </w:r>
      <w:r>
        <w:rPr>
          <w:rFonts w:hint="eastAsia"/>
          <w:color w:val="auto"/>
          <w:lang w:val="en-US" w:eastAsia="zh-CN"/>
        </w:rPr>
        <w:t>.3</w:t>
      </w:r>
      <w:r>
        <w:rPr>
          <w:rFonts w:hint="default"/>
          <w:color w:val="auto"/>
          <w:lang w:val="en-US" w:eastAsia="zh-CN"/>
        </w:rPr>
        <w:t>-1所示。</w:t>
      </w:r>
    </w:p>
    <w:p w14:paraId="029EA1AF">
      <w:pPr>
        <w:ind w:left="0" w:leftChars="0" w:firstLine="0" w:firstLineChars="0"/>
        <w:jc w:val="center"/>
        <w:rPr>
          <w:rFonts w:hint="default"/>
          <w:color w:val="auto"/>
          <w:lang w:val="en-US" w:eastAsia="zh-CN"/>
        </w:rPr>
      </w:pPr>
      <w:r>
        <w:rPr>
          <w:rFonts w:hint="default"/>
          <w:color w:val="auto"/>
          <w:lang w:val="en-US" w:eastAsia="zh-CN"/>
        </w:rPr>
        <w:t>表4</w:t>
      </w:r>
      <w:r>
        <w:rPr>
          <w:rFonts w:hint="eastAsia"/>
          <w:color w:val="auto"/>
          <w:lang w:val="en-US" w:eastAsia="zh-CN"/>
        </w:rPr>
        <w:t>.3</w:t>
      </w:r>
      <w:r>
        <w:rPr>
          <w:rFonts w:hint="default"/>
          <w:color w:val="auto"/>
          <w:lang w:val="en-US" w:eastAsia="zh-CN"/>
        </w:rPr>
        <w:t>-1</w:t>
      </w:r>
      <w:r>
        <w:rPr>
          <w:rFonts w:hint="eastAsia"/>
          <w:color w:val="auto"/>
          <w:lang w:val="en-US" w:eastAsia="zh-CN"/>
        </w:rPr>
        <w:t xml:space="preserve"> </w:t>
      </w:r>
      <w:r>
        <w:rPr>
          <w:rFonts w:hint="default"/>
          <w:color w:val="auto"/>
          <w:lang w:val="en-US" w:eastAsia="zh-CN"/>
        </w:rPr>
        <w:t>评价方法一览表</w:t>
      </w:r>
    </w:p>
    <w:tbl>
      <w:tblPr>
        <w:tblStyle w:val="20"/>
        <w:tblW w:w="0" w:type="auto"/>
        <w:jc w:val="center"/>
        <w:tblLayout w:type="fixed"/>
        <w:tblCellMar>
          <w:top w:w="0" w:type="dxa"/>
          <w:left w:w="0" w:type="dxa"/>
          <w:bottom w:w="0" w:type="dxa"/>
          <w:right w:w="0" w:type="dxa"/>
        </w:tblCellMar>
      </w:tblPr>
      <w:tblGrid>
        <w:gridCol w:w="3624"/>
        <w:gridCol w:w="4914"/>
      </w:tblGrid>
      <w:tr w14:paraId="19848844">
        <w:tblPrEx>
          <w:tblCellMar>
            <w:top w:w="0" w:type="dxa"/>
            <w:left w:w="0" w:type="dxa"/>
            <w:bottom w:w="0" w:type="dxa"/>
            <w:right w:w="0" w:type="dxa"/>
          </w:tblCellMar>
        </w:tblPrEx>
        <w:trPr>
          <w:trHeight w:val="566" w:hRule="exact"/>
          <w:jc w:val="center"/>
        </w:trPr>
        <w:tc>
          <w:tcPr>
            <w:tcW w:w="3624" w:type="dxa"/>
            <w:tcBorders>
              <w:top w:val="single" w:color="000000" w:sz="4" w:space="0"/>
              <w:left w:val="single" w:color="000000" w:sz="4" w:space="0"/>
              <w:bottom w:val="single" w:color="000000" w:sz="4" w:space="0"/>
              <w:right w:val="single" w:color="000000" w:sz="4" w:space="0"/>
            </w:tcBorders>
            <w:noWrap w:val="0"/>
            <w:vAlign w:val="center"/>
          </w:tcPr>
          <w:p w14:paraId="7823A7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评价单元</w:t>
            </w:r>
          </w:p>
        </w:tc>
        <w:tc>
          <w:tcPr>
            <w:tcW w:w="4914" w:type="dxa"/>
            <w:tcBorders>
              <w:top w:val="single" w:color="000000" w:sz="4" w:space="0"/>
              <w:left w:val="single" w:color="000000" w:sz="4" w:space="0"/>
              <w:bottom w:val="single" w:color="000000" w:sz="4" w:space="0"/>
              <w:right w:val="single" w:color="000000" w:sz="4" w:space="0"/>
            </w:tcBorders>
            <w:noWrap w:val="0"/>
            <w:vAlign w:val="center"/>
          </w:tcPr>
          <w:p w14:paraId="4C6200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评价方法</w:t>
            </w:r>
          </w:p>
        </w:tc>
      </w:tr>
      <w:tr w14:paraId="1015E0D5">
        <w:tblPrEx>
          <w:tblCellMar>
            <w:top w:w="0" w:type="dxa"/>
            <w:left w:w="0" w:type="dxa"/>
            <w:bottom w:w="0" w:type="dxa"/>
            <w:right w:w="0" w:type="dxa"/>
          </w:tblCellMar>
        </w:tblPrEx>
        <w:trPr>
          <w:trHeight w:val="491" w:hRule="exact"/>
          <w:jc w:val="center"/>
        </w:trPr>
        <w:tc>
          <w:tcPr>
            <w:tcW w:w="3624" w:type="dxa"/>
            <w:tcBorders>
              <w:top w:val="single" w:color="000000" w:sz="4" w:space="0"/>
              <w:left w:val="single" w:color="000000" w:sz="4" w:space="0"/>
              <w:bottom w:val="single" w:color="000000" w:sz="4" w:space="0"/>
              <w:right w:val="single" w:color="000000" w:sz="4" w:space="0"/>
            </w:tcBorders>
            <w:noWrap w:val="0"/>
            <w:vAlign w:val="center"/>
          </w:tcPr>
          <w:p w14:paraId="460D2F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安全管理</w:t>
            </w:r>
          </w:p>
        </w:tc>
        <w:tc>
          <w:tcPr>
            <w:tcW w:w="4914" w:type="dxa"/>
            <w:tcBorders>
              <w:top w:val="single" w:color="000000" w:sz="4" w:space="0"/>
              <w:left w:val="single" w:color="000000" w:sz="4" w:space="0"/>
              <w:bottom w:val="single" w:color="000000" w:sz="4" w:space="0"/>
              <w:right w:val="single" w:color="000000" w:sz="4" w:space="0"/>
            </w:tcBorders>
            <w:noWrap w:val="0"/>
            <w:vAlign w:val="center"/>
          </w:tcPr>
          <w:p w14:paraId="0F95F3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安全检查表法</w:t>
            </w:r>
          </w:p>
        </w:tc>
      </w:tr>
      <w:tr w14:paraId="656213D2">
        <w:tblPrEx>
          <w:tblCellMar>
            <w:top w:w="0" w:type="dxa"/>
            <w:left w:w="0" w:type="dxa"/>
            <w:bottom w:w="0" w:type="dxa"/>
            <w:right w:w="0" w:type="dxa"/>
          </w:tblCellMar>
        </w:tblPrEx>
        <w:trPr>
          <w:trHeight w:val="509" w:hRule="exact"/>
          <w:jc w:val="center"/>
        </w:trPr>
        <w:tc>
          <w:tcPr>
            <w:tcW w:w="3624" w:type="dxa"/>
            <w:tcBorders>
              <w:top w:val="single" w:color="000000" w:sz="4" w:space="0"/>
              <w:left w:val="single" w:color="000000" w:sz="4" w:space="0"/>
              <w:bottom w:val="single" w:color="000000" w:sz="4" w:space="0"/>
              <w:right w:val="single" w:color="000000" w:sz="4" w:space="0"/>
            </w:tcBorders>
            <w:noWrap w:val="0"/>
            <w:vAlign w:val="center"/>
          </w:tcPr>
          <w:p w14:paraId="1C4180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露天采场</w:t>
            </w:r>
          </w:p>
        </w:tc>
        <w:tc>
          <w:tcPr>
            <w:tcW w:w="4914" w:type="dxa"/>
            <w:tcBorders>
              <w:top w:val="single" w:color="000000" w:sz="4" w:space="0"/>
              <w:left w:val="single" w:color="000000" w:sz="4" w:space="0"/>
              <w:bottom w:val="single" w:color="000000" w:sz="4" w:space="0"/>
              <w:right w:val="single" w:color="000000" w:sz="4" w:space="0"/>
            </w:tcBorders>
            <w:noWrap w:val="0"/>
            <w:vAlign w:val="center"/>
          </w:tcPr>
          <w:p w14:paraId="28E6B3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安全检查表法、作业条件危险性评价法</w:t>
            </w:r>
          </w:p>
        </w:tc>
      </w:tr>
      <w:tr w14:paraId="13FF02F1">
        <w:tblPrEx>
          <w:tblCellMar>
            <w:top w:w="0" w:type="dxa"/>
            <w:left w:w="0" w:type="dxa"/>
            <w:bottom w:w="0" w:type="dxa"/>
            <w:right w:w="0" w:type="dxa"/>
          </w:tblCellMar>
        </w:tblPrEx>
        <w:trPr>
          <w:trHeight w:val="466" w:hRule="exact"/>
          <w:jc w:val="center"/>
        </w:trPr>
        <w:tc>
          <w:tcPr>
            <w:tcW w:w="3624" w:type="dxa"/>
            <w:tcBorders>
              <w:top w:val="single" w:color="000000" w:sz="4" w:space="0"/>
              <w:left w:val="single" w:color="000000" w:sz="4" w:space="0"/>
              <w:bottom w:val="single" w:color="000000" w:sz="4" w:space="0"/>
              <w:right w:val="single" w:color="000000" w:sz="4" w:space="0"/>
            </w:tcBorders>
            <w:noWrap w:val="0"/>
            <w:vAlign w:val="center"/>
          </w:tcPr>
          <w:p w14:paraId="300488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边坡管理</w:t>
            </w:r>
          </w:p>
        </w:tc>
        <w:tc>
          <w:tcPr>
            <w:tcW w:w="4914" w:type="dxa"/>
            <w:tcBorders>
              <w:top w:val="single" w:color="000000" w:sz="4" w:space="0"/>
              <w:left w:val="single" w:color="000000" w:sz="4" w:space="0"/>
              <w:bottom w:val="single" w:color="000000" w:sz="4" w:space="0"/>
              <w:right w:val="single" w:color="000000" w:sz="4" w:space="0"/>
            </w:tcBorders>
            <w:noWrap w:val="0"/>
            <w:vAlign w:val="center"/>
          </w:tcPr>
          <w:p w14:paraId="50C0E8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安全检查表法</w:t>
            </w:r>
          </w:p>
        </w:tc>
      </w:tr>
      <w:tr w14:paraId="3D58CB26">
        <w:tblPrEx>
          <w:tblCellMar>
            <w:top w:w="0" w:type="dxa"/>
            <w:left w:w="0" w:type="dxa"/>
            <w:bottom w:w="0" w:type="dxa"/>
            <w:right w:w="0" w:type="dxa"/>
          </w:tblCellMar>
        </w:tblPrEx>
        <w:trPr>
          <w:trHeight w:val="455" w:hRule="exact"/>
          <w:jc w:val="center"/>
        </w:trPr>
        <w:tc>
          <w:tcPr>
            <w:tcW w:w="3624" w:type="dxa"/>
            <w:tcBorders>
              <w:top w:val="single" w:color="000000" w:sz="4" w:space="0"/>
              <w:left w:val="single" w:color="000000" w:sz="4" w:space="0"/>
              <w:bottom w:val="single" w:color="000000" w:sz="4" w:space="0"/>
              <w:right w:val="single" w:color="000000" w:sz="4" w:space="0"/>
            </w:tcBorders>
            <w:noWrap w:val="0"/>
            <w:vAlign w:val="center"/>
          </w:tcPr>
          <w:p w14:paraId="1C99E7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供配电设施</w:t>
            </w:r>
          </w:p>
        </w:tc>
        <w:tc>
          <w:tcPr>
            <w:tcW w:w="4914" w:type="dxa"/>
            <w:tcBorders>
              <w:top w:val="single" w:color="000000" w:sz="4" w:space="0"/>
              <w:left w:val="single" w:color="000000" w:sz="4" w:space="0"/>
              <w:bottom w:val="single" w:color="000000" w:sz="4" w:space="0"/>
              <w:right w:val="single" w:color="000000" w:sz="4" w:space="0"/>
            </w:tcBorders>
            <w:noWrap w:val="0"/>
            <w:vAlign w:val="center"/>
          </w:tcPr>
          <w:p w14:paraId="33EE7A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安全检查表法</w:t>
            </w:r>
          </w:p>
        </w:tc>
      </w:tr>
      <w:tr w14:paraId="37D5AC27">
        <w:tblPrEx>
          <w:tblCellMar>
            <w:top w:w="0" w:type="dxa"/>
            <w:left w:w="0" w:type="dxa"/>
            <w:bottom w:w="0" w:type="dxa"/>
            <w:right w:w="0" w:type="dxa"/>
          </w:tblCellMar>
        </w:tblPrEx>
        <w:trPr>
          <w:trHeight w:val="446" w:hRule="exact"/>
          <w:jc w:val="center"/>
        </w:trPr>
        <w:tc>
          <w:tcPr>
            <w:tcW w:w="3624" w:type="dxa"/>
            <w:tcBorders>
              <w:top w:val="single" w:color="000000" w:sz="4" w:space="0"/>
              <w:left w:val="single" w:color="000000" w:sz="4" w:space="0"/>
              <w:bottom w:val="single" w:color="000000" w:sz="4" w:space="0"/>
              <w:right w:val="single" w:color="000000" w:sz="4" w:space="0"/>
            </w:tcBorders>
            <w:noWrap w:val="0"/>
            <w:vAlign w:val="center"/>
          </w:tcPr>
          <w:p w14:paraId="2F30B4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防排水</w:t>
            </w:r>
          </w:p>
        </w:tc>
        <w:tc>
          <w:tcPr>
            <w:tcW w:w="4914" w:type="dxa"/>
            <w:tcBorders>
              <w:top w:val="single" w:color="000000" w:sz="4" w:space="0"/>
              <w:left w:val="single" w:color="000000" w:sz="4" w:space="0"/>
              <w:bottom w:val="single" w:color="000000" w:sz="4" w:space="0"/>
              <w:right w:val="single" w:color="000000" w:sz="4" w:space="0"/>
            </w:tcBorders>
            <w:noWrap w:val="0"/>
            <w:vAlign w:val="center"/>
          </w:tcPr>
          <w:p w14:paraId="0D8B8A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安全检查表法</w:t>
            </w:r>
          </w:p>
        </w:tc>
      </w:tr>
      <w:tr w14:paraId="5EACAF34">
        <w:tblPrEx>
          <w:tblCellMar>
            <w:top w:w="0" w:type="dxa"/>
            <w:left w:w="0" w:type="dxa"/>
            <w:bottom w:w="0" w:type="dxa"/>
            <w:right w:w="0" w:type="dxa"/>
          </w:tblCellMar>
        </w:tblPrEx>
        <w:trPr>
          <w:trHeight w:val="453" w:hRule="exact"/>
          <w:jc w:val="center"/>
        </w:trPr>
        <w:tc>
          <w:tcPr>
            <w:tcW w:w="3624" w:type="dxa"/>
            <w:tcBorders>
              <w:top w:val="single" w:color="000000" w:sz="4" w:space="0"/>
              <w:left w:val="single" w:color="000000" w:sz="4" w:space="0"/>
              <w:bottom w:val="single" w:color="auto" w:sz="4" w:space="0"/>
              <w:right w:val="single" w:color="000000" w:sz="4" w:space="0"/>
            </w:tcBorders>
            <w:noWrap w:val="0"/>
            <w:vAlign w:val="center"/>
          </w:tcPr>
          <w:p w14:paraId="395913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防灭火</w:t>
            </w:r>
          </w:p>
        </w:tc>
        <w:tc>
          <w:tcPr>
            <w:tcW w:w="4914" w:type="dxa"/>
            <w:tcBorders>
              <w:top w:val="single" w:color="000000" w:sz="4" w:space="0"/>
              <w:left w:val="single" w:color="000000" w:sz="4" w:space="0"/>
              <w:bottom w:val="single" w:color="auto" w:sz="4" w:space="0"/>
              <w:right w:val="single" w:color="000000" w:sz="4" w:space="0"/>
            </w:tcBorders>
            <w:noWrap w:val="0"/>
            <w:vAlign w:val="center"/>
          </w:tcPr>
          <w:p w14:paraId="450AE9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安全检查表法</w:t>
            </w:r>
          </w:p>
        </w:tc>
      </w:tr>
      <w:tr w14:paraId="13A6FE24">
        <w:tblPrEx>
          <w:tblCellMar>
            <w:top w:w="0" w:type="dxa"/>
            <w:left w:w="0" w:type="dxa"/>
            <w:bottom w:w="0" w:type="dxa"/>
            <w:right w:w="0" w:type="dxa"/>
          </w:tblCellMar>
        </w:tblPrEx>
        <w:trPr>
          <w:trHeight w:val="491" w:hRule="exact"/>
          <w:jc w:val="center"/>
        </w:trPr>
        <w:tc>
          <w:tcPr>
            <w:tcW w:w="3624" w:type="dxa"/>
            <w:tcBorders>
              <w:top w:val="single" w:color="000000" w:sz="4" w:space="0"/>
              <w:left w:val="single" w:color="000000" w:sz="4" w:space="0"/>
              <w:bottom w:val="single" w:color="auto" w:sz="4" w:space="0"/>
              <w:right w:val="single" w:color="000000" w:sz="4" w:space="0"/>
            </w:tcBorders>
            <w:noWrap w:val="0"/>
            <w:vAlign w:val="center"/>
          </w:tcPr>
          <w:p w14:paraId="22B789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重大事故隐患判定</w:t>
            </w:r>
          </w:p>
        </w:tc>
        <w:tc>
          <w:tcPr>
            <w:tcW w:w="4914" w:type="dxa"/>
            <w:tcBorders>
              <w:top w:val="single" w:color="000000" w:sz="4" w:space="0"/>
              <w:left w:val="single" w:color="000000" w:sz="4" w:space="0"/>
              <w:bottom w:val="single" w:color="auto" w:sz="4" w:space="0"/>
              <w:right w:val="single" w:color="000000" w:sz="4" w:space="0"/>
            </w:tcBorders>
            <w:noWrap w:val="0"/>
            <w:vAlign w:val="center"/>
          </w:tcPr>
          <w:p w14:paraId="16D4FD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安全检查表法</w:t>
            </w:r>
          </w:p>
        </w:tc>
      </w:tr>
      <w:tr w14:paraId="755AEAC4">
        <w:tblPrEx>
          <w:tblCellMar>
            <w:top w:w="0" w:type="dxa"/>
            <w:left w:w="0" w:type="dxa"/>
            <w:bottom w:w="0" w:type="dxa"/>
            <w:right w:w="0" w:type="dxa"/>
          </w:tblCellMar>
        </w:tblPrEx>
        <w:trPr>
          <w:trHeight w:val="566" w:hRule="exact"/>
          <w:jc w:val="center"/>
        </w:trPr>
        <w:tc>
          <w:tcPr>
            <w:tcW w:w="3624" w:type="dxa"/>
            <w:tcBorders>
              <w:top w:val="single" w:color="auto" w:sz="4" w:space="0"/>
              <w:left w:val="single" w:color="000000" w:sz="4" w:space="0"/>
              <w:bottom w:val="single" w:color="000000" w:sz="4" w:space="0"/>
              <w:right w:val="single" w:color="000000" w:sz="4" w:space="0"/>
            </w:tcBorders>
            <w:noWrap w:val="0"/>
            <w:vAlign w:val="center"/>
          </w:tcPr>
          <w:p w14:paraId="341919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综合安全评价</w:t>
            </w:r>
          </w:p>
        </w:tc>
        <w:tc>
          <w:tcPr>
            <w:tcW w:w="4914" w:type="dxa"/>
            <w:tcBorders>
              <w:top w:val="single" w:color="auto" w:sz="4" w:space="0"/>
              <w:left w:val="single" w:color="000000" w:sz="4" w:space="0"/>
              <w:bottom w:val="single" w:color="000000" w:sz="4" w:space="0"/>
              <w:right w:val="single" w:color="000000" w:sz="4" w:space="0"/>
            </w:tcBorders>
            <w:noWrap w:val="0"/>
            <w:vAlign w:val="center"/>
          </w:tcPr>
          <w:p w14:paraId="2621CE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安全检查表法</w:t>
            </w:r>
          </w:p>
        </w:tc>
      </w:tr>
    </w:tbl>
    <w:p w14:paraId="12D5F731">
      <w:pPr>
        <w:pStyle w:val="3"/>
        <w:bidi w:val="0"/>
        <w:rPr>
          <w:rFonts w:hint="default"/>
          <w:color w:val="auto"/>
          <w:lang w:val="en-US" w:eastAsia="zh-CN"/>
        </w:rPr>
      </w:pPr>
      <w:bookmarkStart w:id="420" w:name="_Toc29006"/>
      <w:bookmarkStart w:id="421" w:name="_Toc16506"/>
      <w:bookmarkStart w:id="422" w:name="_Toc30620"/>
      <w:bookmarkStart w:id="423" w:name="_Toc19661"/>
      <w:bookmarkStart w:id="424" w:name="_Toc14493"/>
      <w:bookmarkStart w:id="425" w:name="_Toc6438"/>
      <w:r>
        <w:rPr>
          <w:rFonts w:hint="default"/>
          <w:color w:val="auto"/>
          <w:lang w:val="en-US" w:eastAsia="zh-CN"/>
        </w:rPr>
        <w:t>4.</w:t>
      </w:r>
      <w:r>
        <w:rPr>
          <w:rFonts w:hint="eastAsia"/>
          <w:color w:val="auto"/>
          <w:lang w:val="en-US" w:eastAsia="zh-CN"/>
        </w:rPr>
        <w:t>3</w:t>
      </w:r>
      <w:r>
        <w:rPr>
          <w:rFonts w:hint="default"/>
          <w:color w:val="auto"/>
          <w:lang w:val="en-US" w:eastAsia="zh-CN"/>
        </w:rPr>
        <w:t xml:space="preserve"> 评价方法简介</w:t>
      </w:r>
      <w:bookmarkEnd w:id="420"/>
      <w:bookmarkEnd w:id="421"/>
      <w:bookmarkEnd w:id="422"/>
      <w:bookmarkEnd w:id="423"/>
      <w:bookmarkEnd w:id="424"/>
      <w:bookmarkEnd w:id="425"/>
    </w:p>
    <w:p w14:paraId="6F9B4D7B">
      <w:pPr>
        <w:pStyle w:val="4"/>
        <w:bidi w:val="0"/>
        <w:rPr>
          <w:rFonts w:hint="default"/>
          <w:color w:val="auto"/>
          <w:lang w:val="en-US" w:eastAsia="zh-CN"/>
        </w:rPr>
      </w:pPr>
      <w:bookmarkStart w:id="426" w:name="_Toc12220"/>
      <w:bookmarkStart w:id="427" w:name="_Toc5814"/>
      <w:bookmarkStart w:id="428" w:name="_Toc3917"/>
      <w:bookmarkStart w:id="429" w:name="_Toc13268"/>
      <w:bookmarkStart w:id="430" w:name="_Toc2174"/>
      <w:bookmarkStart w:id="431" w:name="_Toc27397"/>
      <w:r>
        <w:rPr>
          <w:rFonts w:hint="eastAsia"/>
          <w:color w:val="auto"/>
          <w:lang w:val="en-US" w:eastAsia="zh-CN"/>
        </w:rPr>
        <w:t xml:space="preserve">4.3.1 </w:t>
      </w:r>
      <w:r>
        <w:rPr>
          <w:color w:val="auto"/>
        </w:rPr>
        <w:t>安全检查表法</w:t>
      </w:r>
      <w:bookmarkEnd w:id="426"/>
      <w:bookmarkEnd w:id="427"/>
      <w:bookmarkEnd w:id="428"/>
      <w:bookmarkEnd w:id="429"/>
      <w:bookmarkEnd w:id="430"/>
      <w:bookmarkEnd w:id="431"/>
    </w:p>
    <w:p w14:paraId="0323D31C">
      <w:pPr>
        <w:rPr>
          <w:rFonts w:hint="default"/>
          <w:color w:val="auto"/>
          <w:lang w:val="en-US" w:eastAsia="zh-CN"/>
        </w:rPr>
      </w:pPr>
      <w:r>
        <w:rPr>
          <w:rFonts w:hint="default"/>
          <w:color w:val="auto"/>
          <w:lang w:val="en-US" w:eastAsia="zh-CN"/>
        </w:rPr>
        <w:t>安全检查表分析是将一等系列分析项目列出检查表进行分析以确定系统的状态，这些项目包括设备、贮运、操作、管理等各个方面。评价人员通过确定标准的设计或操作以建立传统的</w:t>
      </w:r>
      <w:r>
        <w:rPr>
          <w:rFonts w:hint="eastAsia"/>
          <w:color w:val="auto"/>
          <w:lang w:val="en-US" w:eastAsia="zh-CN"/>
        </w:rPr>
        <w:t>安全</w:t>
      </w:r>
      <w:r>
        <w:rPr>
          <w:rFonts w:hint="default"/>
          <w:color w:val="auto"/>
          <w:lang w:val="en-US" w:eastAsia="zh-CN"/>
        </w:rPr>
        <w:t>检查表，然后用它产生一系列基于缺陷或差异的问题。所完成的安全检查表包括对提出的问题回答</w:t>
      </w:r>
      <w:r>
        <w:rPr>
          <w:rFonts w:hint="eastAsia" w:ascii="宋体" w:hAnsi="宋体" w:eastAsia="宋体" w:cs="宋体"/>
          <w:color w:val="auto"/>
          <w:lang w:val="en-US" w:eastAsia="zh-CN"/>
        </w:rPr>
        <w:t>“</w:t>
      </w:r>
      <w:r>
        <w:rPr>
          <w:rFonts w:hint="default"/>
          <w:color w:val="auto"/>
          <w:lang w:val="en-US" w:eastAsia="zh-CN"/>
        </w:rPr>
        <w:t>是</w:t>
      </w:r>
      <w:r>
        <w:rPr>
          <w:rFonts w:hint="eastAsia" w:ascii="宋体" w:hAnsi="宋体" w:eastAsia="宋体" w:cs="宋体"/>
          <w:color w:val="auto"/>
          <w:lang w:val="en-US" w:eastAsia="zh-CN"/>
        </w:rPr>
        <w:t>”</w:t>
      </w:r>
      <w:r>
        <w:rPr>
          <w:rFonts w:hint="default"/>
          <w:color w:val="auto"/>
          <w:lang w:val="en-US" w:eastAsia="zh-CN"/>
        </w:rPr>
        <w:t>、</w:t>
      </w:r>
      <w:r>
        <w:rPr>
          <w:rFonts w:hint="eastAsia" w:ascii="宋体" w:hAnsi="宋体" w:eastAsia="宋体" w:cs="宋体"/>
          <w:color w:val="auto"/>
          <w:lang w:val="en-US" w:eastAsia="zh-CN"/>
        </w:rPr>
        <w:t>“</w:t>
      </w:r>
      <w:r>
        <w:rPr>
          <w:rFonts w:hint="default"/>
          <w:color w:val="auto"/>
          <w:lang w:val="en-US" w:eastAsia="zh-CN"/>
        </w:rPr>
        <w:t>否</w:t>
      </w:r>
      <w:r>
        <w:rPr>
          <w:rFonts w:hint="eastAsia" w:ascii="宋体" w:hAnsi="宋体" w:eastAsia="宋体" w:cs="宋体"/>
          <w:color w:val="auto"/>
          <w:lang w:val="en-US" w:eastAsia="zh-CN"/>
        </w:rPr>
        <w:t>”</w:t>
      </w:r>
      <w:r>
        <w:rPr>
          <w:rFonts w:hint="default"/>
          <w:color w:val="auto"/>
          <w:lang w:val="en-US" w:eastAsia="zh-CN"/>
        </w:rPr>
        <w:t>、</w:t>
      </w:r>
      <w:r>
        <w:rPr>
          <w:rFonts w:hint="eastAsia" w:ascii="宋体" w:hAnsi="宋体" w:eastAsia="宋体" w:cs="宋体"/>
          <w:color w:val="auto"/>
          <w:lang w:val="en-US" w:eastAsia="zh-CN"/>
        </w:rPr>
        <w:t>“</w:t>
      </w:r>
      <w:r>
        <w:rPr>
          <w:rFonts w:hint="default"/>
          <w:color w:val="auto"/>
          <w:lang w:val="en-US" w:eastAsia="zh-CN"/>
        </w:rPr>
        <w:t>不符合</w:t>
      </w:r>
      <w:r>
        <w:rPr>
          <w:rFonts w:hint="eastAsia" w:ascii="宋体" w:hAnsi="宋体" w:eastAsia="宋体" w:cs="宋体"/>
          <w:color w:val="auto"/>
          <w:lang w:val="en-US" w:eastAsia="zh-CN"/>
        </w:rPr>
        <w:t>”</w:t>
      </w:r>
      <w:r>
        <w:rPr>
          <w:rFonts w:hint="default"/>
          <w:color w:val="auto"/>
          <w:lang w:val="en-US" w:eastAsia="zh-CN"/>
        </w:rPr>
        <w:t>或</w:t>
      </w:r>
      <w:r>
        <w:rPr>
          <w:rFonts w:hint="eastAsia" w:ascii="宋体" w:hAnsi="宋体" w:eastAsia="宋体" w:cs="宋体"/>
          <w:color w:val="auto"/>
          <w:lang w:val="en-US" w:eastAsia="zh-CN"/>
        </w:rPr>
        <w:t>“</w:t>
      </w:r>
      <w:r>
        <w:rPr>
          <w:rFonts w:hint="default"/>
          <w:color w:val="auto"/>
          <w:lang w:val="en-US" w:eastAsia="zh-CN"/>
        </w:rPr>
        <w:t>需要更多的信息</w:t>
      </w:r>
      <w:r>
        <w:rPr>
          <w:rFonts w:hint="eastAsia" w:ascii="宋体" w:hAnsi="宋体" w:eastAsia="宋体" w:cs="宋体"/>
          <w:color w:val="auto"/>
          <w:lang w:val="en-US" w:eastAsia="zh-CN"/>
        </w:rPr>
        <w:t>”</w:t>
      </w:r>
      <w:r>
        <w:rPr>
          <w:rFonts w:hint="default"/>
          <w:color w:val="auto"/>
          <w:lang w:val="en-US" w:eastAsia="zh-CN"/>
        </w:rPr>
        <w:t>。</w:t>
      </w:r>
    </w:p>
    <w:p w14:paraId="3C7B3413">
      <w:pPr>
        <w:rPr>
          <w:rFonts w:hint="default"/>
          <w:color w:val="auto"/>
          <w:lang w:val="en-US" w:eastAsia="zh-CN"/>
        </w:rPr>
      </w:pPr>
      <w:r>
        <w:rPr>
          <w:rFonts w:hint="default"/>
          <w:color w:val="auto"/>
          <w:lang w:val="en-US" w:eastAsia="zh-CN"/>
        </w:rPr>
        <w:t>1</w:t>
      </w:r>
      <w:r>
        <w:rPr>
          <w:rFonts w:hint="eastAsia"/>
          <w:color w:val="auto"/>
          <w:lang w:val="en-US" w:eastAsia="zh-CN"/>
        </w:rPr>
        <w:t xml:space="preserve">. </w:t>
      </w:r>
      <w:r>
        <w:rPr>
          <w:rFonts w:hint="default"/>
          <w:color w:val="auto"/>
          <w:lang w:val="en-US" w:eastAsia="zh-CN"/>
        </w:rPr>
        <w:t>安全检查表编制的主要依据</w:t>
      </w:r>
      <w:r>
        <w:rPr>
          <w:rFonts w:hint="eastAsia"/>
          <w:color w:val="auto"/>
          <w:lang w:val="en-US" w:eastAsia="zh-CN"/>
        </w:rPr>
        <w:t>：</w:t>
      </w:r>
    </w:p>
    <w:p w14:paraId="3FCF1E78">
      <w:pPr>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有关法律、法规、标准</w:t>
      </w:r>
      <w:r>
        <w:rPr>
          <w:rFonts w:hint="eastAsia"/>
          <w:color w:val="auto"/>
          <w:lang w:val="en-US" w:eastAsia="zh-CN"/>
        </w:rPr>
        <w:t>；</w:t>
      </w:r>
    </w:p>
    <w:p w14:paraId="28AA6C23">
      <w:pPr>
        <w:rPr>
          <w:rFonts w:hint="default"/>
          <w:color w:val="auto"/>
          <w:lang w:val="en-US" w:eastAsia="zh-CN"/>
        </w:rPr>
      </w:pP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事故案例、经验、教训。</w:t>
      </w:r>
    </w:p>
    <w:p w14:paraId="1F3804F6">
      <w:pPr>
        <w:rPr>
          <w:rFonts w:hint="default"/>
          <w:color w:val="auto"/>
          <w:lang w:val="en-US" w:eastAsia="zh-CN"/>
        </w:rPr>
      </w:pPr>
      <w:r>
        <w:rPr>
          <w:rFonts w:hint="default"/>
          <w:color w:val="auto"/>
          <w:lang w:val="en-US" w:eastAsia="zh-CN"/>
        </w:rPr>
        <w:t>2</w:t>
      </w:r>
      <w:r>
        <w:rPr>
          <w:rFonts w:hint="eastAsia"/>
          <w:color w:val="auto"/>
          <w:lang w:val="en-US" w:eastAsia="zh-CN"/>
        </w:rPr>
        <w:t xml:space="preserve">. </w:t>
      </w:r>
      <w:r>
        <w:rPr>
          <w:rFonts w:hint="default"/>
          <w:color w:val="auto"/>
          <w:lang w:val="en-US" w:eastAsia="zh-CN"/>
        </w:rPr>
        <w:t>安全检查表分析三个步骤</w:t>
      </w:r>
      <w:r>
        <w:rPr>
          <w:rFonts w:hint="eastAsia"/>
          <w:color w:val="auto"/>
          <w:lang w:val="en-US" w:eastAsia="zh-CN"/>
        </w:rPr>
        <w:t>：</w:t>
      </w:r>
    </w:p>
    <w:p w14:paraId="18F78FE8">
      <w:pPr>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选择或确定合适的安全检查表</w:t>
      </w:r>
      <w:r>
        <w:rPr>
          <w:rFonts w:hint="eastAsia"/>
          <w:color w:val="auto"/>
          <w:lang w:val="en-US" w:eastAsia="zh-CN"/>
        </w:rPr>
        <w:t>；</w:t>
      </w:r>
    </w:p>
    <w:p w14:paraId="7E82086B">
      <w:pPr>
        <w:rPr>
          <w:rFonts w:hint="default"/>
          <w:color w:val="auto"/>
          <w:lang w:val="en-US" w:eastAsia="zh-CN"/>
        </w:rPr>
      </w:pP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完成分析</w:t>
      </w:r>
      <w:r>
        <w:rPr>
          <w:rFonts w:hint="eastAsia"/>
          <w:color w:val="auto"/>
          <w:lang w:val="en-US" w:eastAsia="zh-CN"/>
        </w:rPr>
        <w:t>；</w:t>
      </w:r>
    </w:p>
    <w:p w14:paraId="23233D8E">
      <w:pPr>
        <w:rPr>
          <w:rFonts w:hint="default"/>
          <w:color w:val="auto"/>
          <w:lang w:val="en-US" w:eastAsia="zh-CN"/>
        </w:rPr>
      </w:pP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编制分析结果文件。</w:t>
      </w:r>
    </w:p>
    <w:p w14:paraId="23D78137">
      <w:pPr>
        <w:rPr>
          <w:rFonts w:hint="default"/>
          <w:color w:val="auto"/>
          <w:lang w:val="en-US" w:eastAsia="zh-CN"/>
        </w:rPr>
      </w:pPr>
      <w:r>
        <w:rPr>
          <w:rFonts w:hint="default"/>
          <w:color w:val="auto"/>
          <w:lang w:val="en-US" w:eastAsia="zh-CN"/>
        </w:rPr>
        <w:t>3</w:t>
      </w:r>
      <w:r>
        <w:rPr>
          <w:rFonts w:hint="eastAsia"/>
          <w:color w:val="auto"/>
          <w:lang w:val="en-US" w:eastAsia="zh-CN"/>
        </w:rPr>
        <w:t xml:space="preserve">. </w:t>
      </w:r>
      <w:r>
        <w:rPr>
          <w:rFonts w:hint="default"/>
          <w:color w:val="auto"/>
          <w:lang w:val="en-US" w:eastAsia="zh-CN"/>
        </w:rPr>
        <w:t>评价程序</w:t>
      </w:r>
      <w:r>
        <w:rPr>
          <w:rFonts w:hint="eastAsia"/>
          <w:color w:val="auto"/>
          <w:lang w:val="en-US" w:eastAsia="zh-CN"/>
        </w:rPr>
        <w:t>：</w:t>
      </w:r>
    </w:p>
    <w:p w14:paraId="68F26834">
      <w:pPr>
        <w:rPr>
          <w:rFonts w:hint="default"/>
          <w:color w:val="auto"/>
          <w:lang w:val="en-US" w:eastAsia="zh-CN"/>
        </w:rPr>
      </w:pP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熟悉评价对象</w:t>
      </w:r>
      <w:r>
        <w:rPr>
          <w:rFonts w:hint="eastAsia"/>
          <w:color w:val="auto"/>
          <w:lang w:val="en-US" w:eastAsia="zh-CN"/>
        </w:rPr>
        <w:t>；</w:t>
      </w:r>
    </w:p>
    <w:p w14:paraId="045790DE">
      <w:pPr>
        <w:rPr>
          <w:rFonts w:hint="default"/>
          <w:color w:val="auto"/>
          <w:lang w:val="en-US" w:eastAsia="zh-CN"/>
        </w:rPr>
      </w:pP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搜集资料，包括法律、法规、标准、事故案例、经验教训等资料</w:t>
      </w:r>
      <w:r>
        <w:rPr>
          <w:rFonts w:hint="eastAsia"/>
          <w:color w:val="auto"/>
          <w:lang w:val="en-US" w:eastAsia="zh-CN"/>
        </w:rPr>
        <w:t>；</w:t>
      </w:r>
    </w:p>
    <w:p w14:paraId="27E3DAE5">
      <w:pPr>
        <w:rPr>
          <w:rFonts w:hint="default"/>
          <w:color w:val="auto"/>
          <w:lang w:val="en-US" w:eastAsia="zh-CN"/>
        </w:rPr>
      </w:pPr>
      <w:r>
        <w:rPr>
          <w:rFonts w:hint="eastAsia"/>
          <w:color w:val="auto"/>
          <w:lang w:val="en-US" w:eastAsia="zh-CN"/>
        </w:rPr>
        <w:t>（</w:t>
      </w:r>
      <w:r>
        <w:rPr>
          <w:rFonts w:hint="default"/>
          <w:color w:val="auto"/>
          <w:lang w:val="en-US" w:eastAsia="zh-CN"/>
        </w:rPr>
        <w:t>3</w:t>
      </w:r>
      <w:r>
        <w:rPr>
          <w:rFonts w:hint="eastAsia"/>
          <w:color w:val="auto"/>
          <w:lang w:val="en-US" w:eastAsia="zh-CN"/>
        </w:rPr>
        <w:t>）</w:t>
      </w:r>
      <w:r>
        <w:rPr>
          <w:rFonts w:hint="default"/>
          <w:color w:val="auto"/>
          <w:lang w:val="en-US" w:eastAsia="zh-CN"/>
        </w:rPr>
        <w:t>编制案例检查表</w:t>
      </w:r>
      <w:r>
        <w:rPr>
          <w:rFonts w:hint="eastAsia"/>
          <w:color w:val="auto"/>
          <w:lang w:val="en-US" w:eastAsia="zh-CN"/>
        </w:rPr>
        <w:t>；</w:t>
      </w:r>
    </w:p>
    <w:p w14:paraId="2F90634F">
      <w:pPr>
        <w:rPr>
          <w:rFonts w:hint="default"/>
          <w:color w:val="auto"/>
          <w:lang w:val="en-US" w:eastAsia="zh-CN"/>
        </w:rPr>
      </w:pP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按检查表逐项检查</w:t>
      </w:r>
      <w:r>
        <w:rPr>
          <w:rFonts w:hint="eastAsia"/>
          <w:color w:val="auto"/>
          <w:lang w:val="en-US" w:eastAsia="zh-CN"/>
        </w:rPr>
        <w:t>；</w:t>
      </w:r>
    </w:p>
    <w:p w14:paraId="0D82602F">
      <w:pPr>
        <w:rPr>
          <w:rFonts w:hint="default"/>
          <w:color w:val="auto"/>
          <w:lang w:val="en-US" w:eastAsia="zh-CN"/>
        </w:rPr>
      </w:pPr>
      <w:r>
        <w:rPr>
          <w:rFonts w:hint="eastAsia"/>
          <w:color w:val="auto"/>
          <w:lang w:val="en-US" w:eastAsia="zh-CN"/>
        </w:rPr>
        <w:t>（</w:t>
      </w:r>
      <w:r>
        <w:rPr>
          <w:rFonts w:hint="default"/>
          <w:color w:val="auto"/>
          <w:lang w:val="en-US" w:eastAsia="zh-CN"/>
        </w:rPr>
        <w:t>5</w:t>
      </w:r>
      <w:r>
        <w:rPr>
          <w:rFonts w:hint="eastAsia"/>
          <w:color w:val="auto"/>
          <w:lang w:val="en-US" w:eastAsia="zh-CN"/>
        </w:rPr>
        <w:t>）</w:t>
      </w:r>
      <w:r>
        <w:rPr>
          <w:rFonts w:hint="default"/>
          <w:color w:val="auto"/>
          <w:lang w:val="en-US" w:eastAsia="zh-CN"/>
        </w:rPr>
        <w:t>分析、评价检查结果</w:t>
      </w:r>
      <w:r>
        <w:rPr>
          <w:rFonts w:hint="eastAsia"/>
          <w:color w:val="auto"/>
          <w:lang w:val="en-US" w:eastAsia="zh-CN"/>
        </w:rPr>
        <w:t>。</w:t>
      </w:r>
    </w:p>
    <w:p w14:paraId="7108A232">
      <w:pPr>
        <w:pStyle w:val="4"/>
        <w:bidi w:val="0"/>
        <w:rPr>
          <w:rFonts w:hint="default"/>
          <w:color w:val="auto"/>
          <w:lang w:val="en-US" w:eastAsia="zh-CN"/>
        </w:rPr>
      </w:pPr>
      <w:bookmarkStart w:id="432" w:name="_Toc17298"/>
      <w:bookmarkStart w:id="433" w:name="_Toc5756"/>
      <w:bookmarkStart w:id="434" w:name="_Toc4662"/>
      <w:bookmarkStart w:id="435" w:name="_Toc14334"/>
      <w:bookmarkStart w:id="436" w:name="_Toc21176"/>
      <w:bookmarkStart w:id="437" w:name="_Toc10801"/>
      <w:r>
        <w:rPr>
          <w:rFonts w:hint="default"/>
          <w:color w:val="auto"/>
          <w:lang w:val="en-US" w:eastAsia="zh-CN"/>
        </w:rPr>
        <w:t>4.</w:t>
      </w:r>
      <w:r>
        <w:rPr>
          <w:rFonts w:hint="eastAsia"/>
          <w:color w:val="auto"/>
          <w:lang w:val="en-US" w:eastAsia="zh-CN"/>
        </w:rPr>
        <w:t>3</w:t>
      </w:r>
      <w:r>
        <w:rPr>
          <w:rFonts w:hint="default"/>
          <w:color w:val="auto"/>
          <w:lang w:val="en-US" w:eastAsia="zh-CN"/>
        </w:rPr>
        <w:t>.2 作业条件危险性分析</w:t>
      </w:r>
      <w:bookmarkEnd w:id="432"/>
      <w:bookmarkEnd w:id="433"/>
      <w:bookmarkEnd w:id="434"/>
      <w:bookmarkEnd w:id="435"/>
      <w:bookmarkEnd w:id="436"/>
      <w:bookmarkEnd w:id="437"/>
    </w:p>
    <w:p w14:paraId="72E222BB">
      <w:pPr>
        <w:bidi w:val="0"/>
        <w:rPr>
          <w:rFonts w:hint="default" w:ascii="Times New Roman" w:hAnsi="Times New Roman" w:cs="Times New Roman"/>
          <w:color w:val="auto"/>
        </w:rPr>
      </w:pPr>
      <w:r>
        <w:rPr>
          <w:rFonts w:hint="default" w:ascii="Times New Roman" w:hAnsi="Times New Roman" w:cs="Times New Roman"/>
          <w:color w:val="auto"/>
          <w:lang w:val="en-US" w:eastAsia="zh-CN"/>
        </w:rPr>
        <w:t>一、</w:t>
      </w:r>
      <w:r>
        <w:rPr>
          <w:rFonts w:hint="default" w:ascii="Times New Roman" w:hAnsi="Times New Roman" w:cs="Times New Roman"/>
          <w:color w:val="auto"/>
        </w:rPr>
        <w:t>评价方法简介</w:t>
      </w:r>
    </w:p>
    <w:p w14:paraId="0C55E627">
      <w:pPr>
        <w:bidi w:val="0"/>
        <w:rPr>
          <w:rFonts w:hint="default" w:ascii="Times New Roman" w:hAnsi="Times New Roman" w:cs="Times New Roman"/>
          <w:color w:val="auto"/>
        </w:rPr>
      </w:pPr>
      <w:r>
        <w:rPr>
          <w:rFonts w:hint="default" w:ascii="Times New Roman" w:hAnsi="Times New Roman" w:cs="Times New Roman"/>
          <w:color w:val="auto"/>
        </w:rPr>
        <w:t>作业条件危险性评价法是一种简单易行的评价操作人员在具有潜在危险性环境中作业时的危险性的半定量评价方法。</w:t>
      </w:r>
    </w:p>
    <w:p w14:paraId="0589E2E1">
      <w:pPr>
        <w:bidi w:val="0"/>
        <w:rPr>
          <w:rFonts w:hint="default" w:ascii="Times New Roman" w:hAnsi="Times New Roman" w:cs="Times New Roman"/>
          <w:color w:val="auto"/>
        </w:rPr>
      </w:pPr>
      <w:r>
        <w:rPr>
          <w:rFonts w:hint="default" w:ascii="Times New Roman" w:hAnsi="Times New Roman" w:cs="Times New Roman"/>
          <w:color w:val="auto"/>
        </w:rPr>
        <w:t>作业条件危险性评价法用与系统风险有关的三种因素指标值之积来评价操作人员伤亡风险大小，这三种因素是L：事故发生的可能性；E：人员暴露于危险环境中的频繁程度；C：一旦发生事故可能造成的后果。给三种因素的不同等级分别确定不同的分值，再以三个分值的乘积D来评价作业条件危险性的大小。即：D＝L×E×C。</w:t>
      </w:r>
    </w:p>
    <w:p w14:paraId="2C579603">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二、评价步骤</w:t>
      </w:r>
    </w:p>
    <w:p w14:paraId="799D7A6B">
      <w:pPr>
        <w:bidi w:val="0"/>
        <w:rPr>
          <w:rFonts w:hint="default" w:ascii="Times New Roman" w:hAnsi="Times New Roman" w:cs="Times New Roman"/>
          <w:color w:val="auto"/>
        </w:rPr>
      </w:pPr>
      <w:r>
        <w:rPr>
          <w:rFonts w:hint="default" w:ascii="Times New Roman" w:hAnsi="Times New Roman" w:cs="Times New Roman"/>
          <w:color w:val="auto"/>
        </w:rPr>
        <w:t>评价步骤为：</w:t>
      </w:r>
    </w:p>
    <w:p w14:paraId="799F74C7">
      <w:pPr>
        <w:bidi w:val="0"/>
        <w:rPr>
          <w:rFonts w:hint="default" w:ascii="Times New Roman" w:hAnsi="Times New Roman" w:cs="Times New Roman"/>
          <w:color w:val="auto"/>
        </w:rPr>
      </w:pPr>
      <w:r>
        <w:rPr>
          <w:rFonts w:hint="default" w:ascii="Times New Roman" w:hAnsi="Times New Roman" w:cs="Times New Roman"/>
          <w:color w:val="auto"/>
        </w:rPr>
        <w:t>1</w:t>
      </w:r>
      <w:r>
        <w:rPr>
          <w:rFonts w:hint="eastAsia"/>
          <w:color w:val="auto"/>
          <w:lang w:val="en-US" w:eastAsia="zh-CN"/>
        </w:rPr>
        <w:t xml:space="preserve">. </w:t>
      </w:r>
      <w:r>
        <w:rPr>
          <w:rFonts w:hint="default" w:ascii="Times New Roman" w:hAnsi="Times New Roman" w:cs="Times New Roman"/>
          <w:color w:val="auto"/>
        </w:rPr>
        <w:t>以类比作业条件比较为基础，由熟悉作业条件的人员组成评价小组；</w:t>
      </w:r>
    </w:p>
    <w:p w14:paraId="3DBA38E8">
      <w:pPr>
        <w:bidi w:val="0"/>
        <w:rPr>
          <w:rFonts w:hint="default" w:ascii="Times New Roman" w:hAnsi="Times New Roman" w:cs="Times New Roman"/>
          <w:color w:val="auto"/>
        </w:rPr>
      </w:pPr>
      <w:r>
        <w:rPr>
          <w:rFonts w:hint="default" w:ascii="Times New Roman" w:hAnsi="Times New Roman" w:cs="Times New Roman"/>
          <w:color w:val="auto"/>
        </w:rPr>
        <w:t>2</w:t>
      </w:r>
      <w:r>
        <w:rPr>
          <w:rFonts w:hint="eastAsia"/>
          <w:color w:val="auto"/>
          <w:lang w:val="en-US" w:eastAsia="zh-CN"/>
        </w:rPr>
        <w:t xml:space="preserve">. </w:t>
      </w:r>
      <w:r>
        <w:rPr>
          <w:rFonts w:hint="default" w:ascii="Times New Roman" w:hAnsi="Times New Roman" w:cs="Times New Roman"/>
          <w:color w:val="auto"/>
        </w:rPr>
        <w:t>由评价小组成员按照标准给L、E、C分别打分，取各组的平均值作为L、E、C的计算分值，用计算的危险性分值D来评价作业条件的危险性等级。</w:t>
      </w:r>
    </w:p>
    <w:p w14:paraId="5F339A47">
      <w:pPr>
        <w:bidi w:val="0"/>
        <w:rPr>
          <w:rFonts w:hint="default" w:ascii="Times New Roman" w:hAnsi="Times New Roman" w:cs="Times New Roman"/>
          <w:color w:val="auto"/>
        </w:rPr>
      </w:pPr>
      <w:r>
        <w:rPr>
          <w:rFonts w:hint="default" w:ascii="Times New Roman" w:hAnsi="Times New Roman" w:cs="Times New Roman"/>
          <w:color w:val="auto"/>
          <w:lang w:val="en-US" w:eastAsia="zh-CN"/>
        </w:rPr>
        <w:t>三、</w:t>
      </w:r>
      <w:r>
        <w:rPr>
          <w:rFonts w:hint="default" w:ascii="Times New Roman" w:hAnsi="Times New Roman" w:cs="Times New Roman"/>
          <w:color w:val="auto"/>
        </w:rPr>
        <w:t>赋分标准</w:t>
      </w:r>
    </w:p>
    <w:p w14:paraId="5DD9B127">
      <w:pPr>
        <w:bidi w:val="0"/>
        <w:rPr>
          <w:rFonts w:hint="default" w:ascii="Times New Roman" w:hAnsi="Times New Roman" w:cs="Times New Roman"/>
          <w:color w:val="auto"/>
        </w:rPr>
      </w:pPr>
      <w:r>
        <w:rPr>
          <w:rFonts w:hint="default" w:ascii="Times New Roman" w:hAnsi="Times New Roman" w:cs="Times New Roman"/>
          <w:color w:val="auto"/>
        </w:rPr>
        <w:t>1</w:t>
      </w:r>
      <w:r>
        <w:rPr>
          <w:rFonts w:hint="eastAsia"/>
          <w:color w:val="auto"/>
          <w:lang w:val="en-US" w:eastAsia="zh-CN"/>
        </w:rPr>
        <w:t xml:space="preserve">. </w:t>
      </w:r>
      <w:r>
        <w:rPr>
          <w:rFonts w:hint="default" w:ascii="Times New Roman" w:hAnsi="Times New Roman" w:cs="Times New Roman"/>
          <w:color w:val="auto"/>
        </w:rPr>
        <w:t>事故发生的可能性（L）</w:t>
      </w:r>
    </w:p>
    <w:p w14:paraId="5FB5F0C2">
      <w:pPr>
        <w:bidi w:val="0"/>
        <w:rPr>
          <w:rFonts w:hint="default" w:ascii="Times New Roman" w:hAnsi="Times New Roman" w:cs="Times New Roman"/>
          <w:color w:val="auto"/>
        </w:rPr>
      </w:pPr>
      <w:r>
        <w:rPr>
          <w:rFonts w:hint="default" w:ascii="Times New Roman" w:hAnsi="Times New Roman" w:cs="Times New Roman"/>
          <w:color w:val="auto"/>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w:t>
      </w:r>
      <w:r>
        <w:rPr>
          <w:rFonts w:hint="default" w:ascii="Times New Roman" w:hAnsi="Times New Roman" w:eastAsia="宋体" w:cs="Times New Roman"/>
          <w:color w:val="auto"/>
          <w:lang w:val="en-US" w:eastAsia="zh-CN"/>
        </w:rPr>
        <w:t>表</w:t>
      </w:r>
      <w:r>
        <w:rPr>
          <w:rFonts w:hint="default"/>
          <w:color w:val="auto"/>
          <w:lang w:val="en-US" w:eastAsia="zh-CN"/>
        </w:rPr>
        <w:t>4</w:t>
      </w:r>
      <w:r>
        <w:rPr>
          <w:rFonts w:hint="eastAsia"/>
          <w:color w:val="auto"/>
          <w:lang w:val="en-US" w:eastAsia="zh-CN"/>
        </w:rPr>
        <w:t>.3</w:t>
      </w:r>
      <w:r>
        <w:rPr>
          <w:rFonts w:hint="default"/>
          <w:color w:val="auto"/>
          <w:lang w:val="en-US" w:eastAsia="zh-CN"/>
        </w:rPr>
        <w:t>-</w:t>
      </w:r>
      <w:r>
        <w:rPr>
          <w:rFonts w:hint="eastAsia"/>
          <w:color w:val="auto"/>
          <w:lang w:val="en-US" w:eastAsia="zh-CN"/>
        </w:rPr>
        <w:t>2</w:t>
      </w:r>
      <w:r>
        <w:rPr>
          <w:rFonts w:hint="default" w:ascii="Times New Roman" w:hAnsi="Times New Roman" w:cs="Times New Roman"/>
          <w:color w:val="auto"/>
        </w:rPr>
        <w:t>。</w:t>
      </w:r>
    </w:p>
    <w:p w14:paraId="37F123F0">
      <w:pPr>
        <w:ind w:left="0" w:leftChars="0" w:firstLine="0" w:firstLineChars="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表</w:t>
      </w:r>
      <w:r>
        <w:rPr>
          <w:rFonts w:hint="default"/>
          <w:color w:val="auto"/>
          <w:lang w:val="en-US" w:eastAsia="zh-CN"/>
        </w:rPr>
        <w:t>4</w:t>
      </w:r>
      <w:r>
        <w:rPr>
          <w:rFonts w:hint="eastAsia"/>
          <w:color w:val="auto"/>
          <w:lang w:val="en-US" w:eastAsia="zh-CN"/>
        </w:rPr>
        <w:t>.3</w:t>
      </w:r>
      <w:r>
        <w:rPr>
          <w:rFonts w:hint="default"/>
          <w:color w:val="auto"/>
          <w:lang w:val="en-US" w:eastAsia="zh-CN"/>
        </w:rPr>
        <w:t>-</w:t>
      </w:r>
      <w:r>
        <w:rPr>
          <w:rFonts w:hint="eastAsia"/>
          <w:color w:val="auto"/>
          <w:lang w:val="en-US" w:eastAsia="zh-CN"/>
        </w:rPr>
        <w:t>2</w:t>
      </w:r>
      <w:r>
        <w:rPr>
          <w:rFonts w:hint="default" w:ascii="Times New Roman" w:hAnsi="Times New Roman" w:eastAsia="宋体" w:cs="Times New Roman"/>
          <w:color w:val="auto"/>
          <w:lang w:val="en-US" w:eastAsia="zh-CN"/>
        </w:rPr>
        <w:t xml:space="preserve"> 事故发生的可能性（L）</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3230"/>
        <w:gridCol w:w="1076"/>
        <w:gridCol w:w="3328"/>
      </w:tblGrid>
      <w:tr w14:paraId="0527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1174" w:type="dxa"/>
            <w:noWrap w:val="0"/>
            <w:vAlign w:val="center"/>
          </w:tcPr>
          <w:p w14:paraId="5CC87D31">
            <w:pPr>
              <w:spacing w:line="240" w:lineRule="auto"/>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分数值</w:t>
            </w:r>
          </w:p>
        </w:tc>
        <w:tc>
          <w:tcPr>
            <w:tcW w:w="3230" w:type="dxa"/>
            <w:noWrap w:val="0"/>
            <w:vAlign w:val="center"/>
          </w:tcPr>
          <w:p w14:paraId="6482FCF3">
            <w:pPr>
              <w:spacing w:line="240" w:lineRule="auto"/>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事故发生的可能性</w:t>
            </w:r>
          </w:p>
        </w:tc>
        <w:tc>
          <w:tcPr>
            <w:tcW w:w="1076" w:type="dxa"/>
            <w:noWrap w:val="0"/>
            <w:vAlign w:val="center"/>
          </w:tcPr>
          <w:p w14:paraId="7AEC46ED">
            <w:pPr>
              <w:spacing w:line="240" w:lineRule="auto"/>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分数值</w:t>
            </w:r>
          </w:p>
        </w:tc>
        <w:tc>
          <w:tcPr>
            <w:tcW w:w="3328" w:type="dxa"/>
            <w:noWrap w:val="0"/>
            <w:vAlign w:val="center"/>
          </w:tcPr>
          <w:p w14:paraId="1EAEB4AB">
            <w:pPr>
              <w:spacing w:line="240" w:lineRule="auto"/>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事故发生的可能性</w:t>
            </w:r>
          </w:p>
        </w:tc>
      </w:tr>
      <w:tr w14:paraId="631B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exact"/>
          <w:jc w:val="center"/>
        </w:trPr>
        <w:tc>
          <w:tcPr>
            <w:tcW w:w="1174" w:type="dxa"/>
            <w:noWrap w:val="0"/>
            <w:vAlign w:val="center"/>
          </w:tcPr>
          <w:p w14:paraId="74685C0D">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3230" w:type="dxa"/>
            <w:noWrap w:val="0"/>
            <w:vAlign w:val="center"/>
          </w:tcPr>
          <w:p w14:paraId="21365501">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完全可以预料到</w:t>
            </w:r>
          </w:p>
        </w:tc>
        <w:tc>
          <w:tcPr>
            <w:tcW w:w="1076" w:type="dxa"/>
            <w:noWrap w:val="0"/>
            <w:vAlign w:val="center"/>
          </w:tcPr>
          <w:p w14:paraId="7F0D63D6">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0.5</w:t>
            </w:r>
          </w:p>
        </w:tc>
        <w:tc>
          <w:tcPr>
            <w:tcW w:w="3328" w:type="dxa"/>
            <w:noWrap w:val="0"/>
            <w:vAlign w:val="center"/>
          </w:tcPr>
          <w:p w14:paraId="75E27A0A">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极不可能，可以设想</w:t>
            </w:r>
          </w:p>
        </w:tc>
      </w:tr>
      <w:tr w14:paraId="4C55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exact"/>
          <w:jc w:val="center"/>
        </w:trPr>
        <w:tc>
          <w:tcPr>
            <w:tcW w:w="1174" w:type="dxa"/>
            <w:noWrap w:val="0"/>
            <w:vAlign w:val="center"/>
          </w:tcPr>
          <w:p w14:paraId="1A281A2A">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3230" w:type="dxa"/>
            <w:noWrap w:val="0"/>
            <w:vAlign w:val="center"/>
          </w:tcPr>
          <w:p w14:paraId="2C16E05B">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相当可能</w:t>
            </w:r>
          </w:p>
        </w:tc>
        <w:tc>
          <w:tcPr>
            <w:tcW w:w="1076" w:type="dxa"/>
            <w:noWrap w:val="0"/>
            <w:vAlign w:val="center"/>
          </w:tcPr>
          <w:p w14:paraId="0E247F87">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0.2</w:t>
            </w:r>
          </w:p>
        </w:tc>
        <w:tc>
          <w:tcPr>
            <w:tcW w:w="3328" w:type="dxa"/>
            <w:noWrap w:val="0"/>
            <w:vAlign w:val="center"/>
          </w:tcPr>
          <w:p w14:paraId="6A5A5171">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极不可能</w:t>
            </w:r>
          </w:p>
        </w:tc>
      </w:tr>
      <w:tr w14:paraId="19DE3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jc w:val="center"/>
        </w:trPr>
        <w:tc>
          <w:tcPr>
            <w:tcW w:w="1174" w:type="dxa"/>
            <w:noWrap w:val="0"/>
            <w:vAlign w:val="center"/>
          </w:tcPr>
          <w:p w14:paraId="7713521A">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3230" w:type="dxa"/>
            <w:noWrap w:val="0"/>
            <w:vAlign w:val="center"/>
          </w:tcPr>
          <w:p w14:paraId="3FEA91A2">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可能，但不经常</w:t>
            </w:r>
          </w:p>
        </w:tc>
        <w:tc>
          <w:tcPr>
            <w:tcW w:w="1076" w:type="dxa"/>
            <w:noWrap w:val="0"/>
            <w:vAlign w:val="center"/>
          </w:tcPr>
          <w:p w14:paraId="03DAA79F">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0.1</w:t>
            </w:r>
          </w:p>
        </w:tc>
        <w:tc>
          <w:tcPr>
            <w:tcW w:w="3328" w:type="dxa"/>
            <w:noWrap w:val="0"/>
            <w:vAlign w:val="center"/>
          </w:tcPr>
          <w:p w14:paraId="7F482A73">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实际不可能</w:t>
            </w:r>
          </w:p>
        </w:tc>
      </w:tr>
      <w:tr w14:paraId="4B4E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exact"/>
          <w:jc w:val="center"/>
        </w:trPr>
        <w:tc>
          <w:tcPr>
            <w:tcW w:w="1174" w:type="dxa"/>
            <w:noWrap w:val="0"/>
            <w:vAlign w:val="center"/>
          </w:tcPr>
          <w:p w14:paraId="053D8FA5">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3230" w:type="dxa"/>
            <w:noWrap w:val="0"/>
            <w:vAlign w:val="center"/>
          </w:tcPr>
          <w:p w14:paraId="5775A202">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可能性小，完全意外</w:t>
            </w:r>
          </w:p>
        </w:tc>
        <w:tc>
          <w:tcPr>
            <w:tcW w:w="1076" w:type="dxa"/>
            <w:noWrap w:val="0"/>
            <w:vAlign w:val="center"/>
          </w:tcPr>
          <w:p w14:paraId="1E3273E2">
            <w:pPr>
              <w:spacing w:line="240" w:lineRule="auto"/>
              <w:ind w:firstLine="0" w:firstLineChars="0"/>
              <w:jc w:val="center"/>
              <w:rPr>
                <w:rFonts w:hint="default" w:ascii="Times New Roman" w:hAnsi="Times New Roman" w:cs="Times New Roman"/>
                <w:color w:val="auto"/>
                <w:sz w:val="21"/>
                <w:szCs w:val="21"/>
              </w:rPr>
            </w:pPr>
          </w:p>
        </w:tc>
        <w:tc>
          <w:tcPr>
            <w:tcW w:w="3328" w:type="dxa"/>
            <w:noWrap w:val="0"/>
            <w:vAlign w:val="center"/>
          </w:tcPr>
          <w:p w14:paraId="1449DD8B">
            <w:pPr>
              <w:spacing w:line="240" w:lineRule="auto"/>
              <w:ind w:firstLine="0" w:firstLineChars="0"/>
              <w:jc w:val="center"/>
              <w:rPr>
                <w:rFonts w:hint="default" w:ascii="Times New Roman" w:hAnsi="Times New Roman" w:cs="Times New Roman"/>
                <w:color w:val="auto"/>
                <w:sz w:val="21"/>
                <w:szCs w:val="21"/>
              </w:rPr>
            </w:pPr>
          </w:p>
        </w:tc>
      </w:tr>
    </w:tbl>
    <w:p w14:paraId="6CAE81A6">
      <w:pPr>
        <w:bidi w:val="0"/>
        <w:rPr>
          <w:rFonts w:hint="default" w:ascii="Times New Roman" w:hAnsi="Times New Roman" w:cs="Times New Roman"/>
          <w:color w:val="auto"/>
        </w:rPr>
      </w:pPr>
      <w:r>
        <w:rPr>
          <w:rFonts w:hint="default" w:ascii="Times New Roman" w:hAnsi="Times New Roman" w:cs="Times New Roman"/>
          <w:color w:val="auto"/>
        </w:rPr>
        <w:t>2</w:t>
      </w:r>
      <w:r>
        <w:rPr>
          <w:rFonts w:hint="eastAsia"/>
          <w:color w:val="auto"/>
          <w:lang w:val="en-US" w:eastAsia="zh-CN"/>
        </w:rPr>
        <w:t xml:space="preserve">. </w:t>
      </w:r>
      <w:r>
        <w:rPr>
          <w:rFonts w:hint="default" w:ascii="Times New Roman" w:hAnsi="Times New Roman" w:cs="Times New Roman"/>
          <w:color w:val="auto"/>
        </w:rPr>
        <w:t>人员暴露于危险环境的频繁程度（E）</w:t>
      </w:r>
    </w:p>
    <w:p w14:paraId="791DA438">
      <w:pPr>
        <w:bidi w:val="0"/>
        <w:rPr>
          <w:rFonts w:hint="default" w:ascii="Times New Roman" w:hAnsi="Times New Roman" w:cs="Times New Roman"/>
          <w:color w:val="auto"/>
        </w:rPr>
      </w:pPr>
      <w:r>
        <w:rPr>
          <w:rFonts w:hint="default" w:ascii="Times New Roman" w:hAnsi="Times New Roman" w:cs="Times New Roman"/>
          <w:color w:val="auto"/>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w:t>
      </w:r>
      <w:r>
        <w:rPr>
          <w:rFonts w:hint="default"/>
          <w:color w:val="auto"/>
          <w:lang w:val="en-US" w:eastAsia="zh-CN"/>
        </w:rPr>
        <w:t>4</w:t>
      </w:r>
      <w:r>
        <w:rPr>
          <w:rFonts w:hint="eastAsia"/>
          <w:color w:val="auto"/>
          <w:lang w:val="en-US" w:eastAsia="zh-CN"/>
        </w:rPr>
        <w:t>.3</w:t>
      </w:r>
      <w:r>
        <w:rPr>
          <w:rFonts w:hint="default"/>
          <w:color w:val="auto"/>
          <w:lang w:val="en-US" w:eastAsia="zh-CN"/>
        </w:rPr>
        <w:t>-</w:t>
      </w:r>
      <w:r>
        <w:rPr>
          <w:rFonts w:hint="eastAsia"/>
          <w:color w:val="auto"/>
          <w:lang w:val="en-US" w:eastAsia="zh-CN"/>
        </w:rPr>
        <w:t>3</w:t>
      </w:r>
      <w:r>
        <w:rPr>
          <w:rFonts w:hint="default" w:ascii="Times New Roman" w:hAnsi="Times New Roman" w:cs="Times New Roman"/>
          <w:color w:val="auto"/>
        </w:rPr>
        <w:t>。</w:t>
      </w:r>
    </w:p>
    <w:p w14:paraId="015EF2A4">
      <w:pPr>
        <w:pStyle w:val="25"/>
        <w:jc w:val="center"/>
        <w:rPr>
          <w:rFonts w:hint="default" w:ascii="Times New Roman" w:hAnsi="Times New Roman" w:eastAsia="宋体" w:cs="Times New Roman"/>
          <w:color w:val="auto"/>
          <w:kern w:val="2"/>
          <w:sz w:val="28"/>
          <w:szCs w:val="24"/>
          <w:lang w:val="en-US" w:eastAsia="zh-CN" w:bidi="ar-SA"/>
        </w:rPr>
      </w:pPr>
      <w:r>
        <w:rPr>
          <w:rFonts w:hint="default" w:ascii="Times New Roman" w:hAnsi="Times New Roman" w:eastAsia="宋体" w:cs="Times New Roman"/>
          <w:color w:val="auto"/>
          <w:kern w:val="2"/>
          <w:sz w:val="28"/>
          <w:szCs w:val="24"/>
          <w:lang w:val="en-US" w:eastAsia="zh-CN" w:bidi="ar-SA"/>
        </w:rPr>
        <w:t>表4.3-3 人员暴露于危险环境的频繁程度（E）</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4"/>
        <w:gridCol w:w="2895"/>
        <w:gridCol w:w="1154"/>
        <w:gridCol w:w="3355"/>
      </w:tblGrid>
      <w:tr w14:paraId="34703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1304" w:type="dxa"/>
            <w:noWrap w:val="0"/>
            <w:vAlign w:val="center"/>
          </w:tcPr>
          <w:p w14:paraId="5807EE5D">
            <w:pPr>
              <w:spacing w:line="280" w:lineRule="exact"/>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分数值</w:t>
            </w:r>
          </w:p>
        </w:tc>
        <w:tc>
          <w:tcPr>
            <w:tcW w:w="2895" w:type="dxa"/>
            <w:noWrap w:val="0"/>
            <w:vAlign w:val="center"/>
          </w:tcPr>
          <w:p w14:paraId="43DBE7EE">
            <w:pPr>
              <w:spacing w:line="280" w:lineRule="exact"/>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人员暴露于危险</w:t>
            </w:r>
          </w:p>
          <w:p w14:paraId="3CAE1C28">
            <w:pPr>
              <w:spacing w:line="280" w:lineRule="exact"/>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环境的频繁程度</w:t>
            </w:r>
          </w:p>
        </w:tc>
        <w:tc>
          <w:tcPr>
            <w:tcW w:w="1154" w:type="dxa"/>
            <w:noWrap w:val="0"/>
            <w:vAlign w:val="center"/>
          </w:tcPr>
          <w:p w14:paraId="52B2EB39">
            <w:pPr>
              <w:spacing w:line="280" w:lineRule="exact"/>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分数值</w:t>
            </w:r>
          </w:p>
        </w:tc>
        <w:tc>
          <w:tcPr>
            <w:tcW w:w="3355" w:type="dxa"/>
            <w:noWrap w:val="0"/>
            <w:vAlign w:val="center"/>
          </w:tcPr>
          <w:p w14:paraId="6C544279">
            <w:pPr>
              <w:spacing w:line="280" w:lineRule="exact"/>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人员暴露于危险</w:t>
            </w:r>
          </w:p>
          <w:p w14:paraId="34B2A914">
            <w:pPr>
              <w:spacing w:line="280" w:lineRule="exact"/>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环境的频繁程度</w:t>
            </w:r>
          </w:p>
        </w:tc>
      </w:tr>
      <w:tr w14:paraId="5A525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 w:hRule="atLeast"/>
          <w:jc w:val="center"/>
        </w:trPr>
        <w:tc>
          <w:tcPr>
            <w:tcW w:w="1304" w:type="dxa"/>
            <w:noWrap w:val="0"/>
            <w:vAlign w:val="center"/>
          </w:tcPr>
          <w:p w14:paraId="5A6D05C2">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2895" w:type="dxa"/>
            <w:noWrap w:val="0"/>
            <w:vAlign w:val="center"/>
          </w:tcPr>
          <w:p w14:paraId="1C104CF4">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连续暴露</w:t>
            </w:r>
          </w:p>
        </w:tc>
        <w:tc>
          <w:tcPr>
            <w:tcW w:w="1154" w:type="dxa"/>
            <w:noWrap w:val="0"/>
            <w:vAlign w:val="center"/>
          </w:tcPr>
          <w:p w14:paraId="28E4F2C7">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3355" w:type="dxa"/>
            <w:noWrap w:val="0"/>
            <w:vAlign w:val="center"/>
          </w:tcPr>
          <w:p w14:paraId="4CDFEE01">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每月一次暴露</w:t>
            </w:r>
          </w:p>
        </w:tc>
      </w:tr>
      <w:tr w14:paraId="141D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304" w:type="dxa"/>
            <w:noWrap w:val="0"/>
            <w:vAlign w:val="center"/>
          </w:tcPr>
          <w:p w14:paraId="632F24C0">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2895" w:type="dxa"/>
            <w:noWrap w:val="0"/>
            <w:vAlign w:val="center"/>
          </w:tcPr>
          <w:p w14:paraId="20D83D23">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每天工作时间暴露</w:t>
            </w:r>
          </w:p>
        </w:tc>
        <w:tc>
          <w:tcPr>
            <w:tcW w:w="1154" w:type="dxa"/>
            <w:noWrap w:val="0"/>
            <w:vAlign w:val="center"/>
          </w:tcPr>
          <w:p w14:paraId="15839DDC">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3355" w:type="dxa"/>
            <w:noWrap w:val="0"/>
            <w:vAlign w:val="center"/>
          </w:tcPr>
          <w:p w14:paraId="171A2E25">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每年几次暴露</w:t>
            </w:r>
          </w:p>
        </w:tc>
      </w:tr>
      <w:tr w14:paraId="02D0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jc w:val="center"/>
        </w:trPr>
        <w:tc>
          <w:tcPr>
            <w:tcW w:w="1304" w:type="dxa"/>
            <w:noWrap w:val="0"/>
            <w:vAlign w:val="center"/>
          </w:tcPr>
          <w:p w14:paraId="5242E6B2">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2895" w:type="dxa"/>
            <w:noWrap w:val="0"/>
            <w:vAlign w:val="center"/>
          </w:tcPr>
          <w:p w14:paraId="5E2FFF32">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每周一次，或偶然暴露</w:t>
            </w:r>
          </w:p>
        </w:tc>
        <w:tc>
          <w:tcPr>
            <w:tcW w:w="1154" w:type="dxa"/>
            <w:noWrap w:val="0"/>
            <w:vAlign w:val="center"/>
          </w:tcPr>
          <w:p w14:paraId="6FEF13C8">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0.5</w:t>
            </w:r>
          </w:p>
        </w:tc>
        <w:tc>
          <w:tcPr>
            <w:tcW w:w="3355" w:type="dxa"/>
            <w:noWrap w:val="0"/>
            <w:vAlign w:val="center"/>
          </w:tcPr>
          <w:p w14:paraId="54DBE899">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非常罕见的暴露</w:t>
            </w:r>
          </w:p>
        </w:tc>
      </w:tr>
    </w:tbl>
    <w:p w14:paraId="41D825CF">
      <w:pPr>
        <w:bidi w:val="0"/>
        <w:rPr>
          <w:rFonts w:hint="default" w:ascii="Times New Roman" w:hAnsi="Times New Roman" w:cs="Times New Roman"/>
          <w:color w:val="auto"/>
        </w:rPr>
      </w:pPr>
      <w:r>
        <w:rPr>
          <w:rFonts w:hint="default" w:ascii="Times New Roman" w:hAnsi="Times New Roman" w:cs="Times New Roman"/>
          <w:color w:val="auto"/>
        </w:rPr>
        <w:t>3</w:t>
      </w:r>
      <w:r>
        <w:rPr>
          <w:rFonts w:hint="eastAsia"/>
          <w:color w:val="auto"/>
          <w:lang w:val="en-US" w:eastAsia="zh-CN"/>
        </w:rPr>
        <w:t xml:space="preserve">. </w:t>
      </w:r>
      <w:r>
        <w:rPr>
          <w:rFonts w:hint="default" w:ascii="Times New Roman" w:hAnsi="Times New Roman" w:cs="Times New Roman"/>
          <w:color w:val="auto"/>
        </w:rPr>
        <w:t>发生事故可能造成的后果（C）</w:t>
      </w:r>
    </w:p>
    <w:p w14:paraId="160683E6">
      <w:pPr>
        <w:bidi w:val="0"/>
        <w:rPr>
          <w:rFonts w:hint="default" w:ascii="Times New Roman" w:hAnsi="Times New Roman" w:cs="Times New Roman"/>
          <w:color w:val="auto"/>
        </w:rPr>
      </w:pPr>
      <w:r>
        <w:rPr>
          <w:rFonts w:hint="default" w:ascii="Times New Roman" w:hAnsi="Times New Roman" w:cs="Times New Roman"/>
          <w:color w:val="auto"/>
        </w:rPr>
        <w:t>事故造成的人员伤亡和财产损失的范围变化很大，所以规定分数值为1-100。把需要治疗的轻微伤害或较小财产损失的分数值规定为1，造成多人死亡或重大财产损失的分数值规定为100，介于两者之间的情况规定若干个中间值。见</w:t>
      </w:r>
      <w:r>
        <w:rPr>
          <w:rFonts w:hint="default" w:ascii="Times New Roman" w:hAnsi="Times New Roman" w:eastAsia="宋体" w:cs="Times New Roman"/>
          <w:color w:val="auto"/>
          <w:kern w:val="2"/>
          <w:sz w:val="28"/>
          <w:szCs w:val="24"/>
          <w:lang w:val="en-US" w:eastAsia="zh-CN" w:bidi="ar-SA"/>
        </w:rPr>
        <w:t>表4.3-</w:t>
      </w:r>
      <w:r>
        <w:rPr>
          <w:rFonts w:hint="eastAsia" w:ascii="Times New Roman" w:hAnsi="Times New Roman" w:eastAsia="宋体" w:cs="Times New Roman"/>
          <w:color w:val="auto"/>
          <w:kern w:val="2"/>
          <w:sz w:val="28"/>
          <w:szCs w:val="24"/>
          <w:lang w:val="en-US" w:eastAsia="zh-CN" w:bidi="ar-SA"/>
        </w:rPr>
        <w:t>4</w:t>
      </w:r>
      <w:r>
        <w:rPr>
          <w:rFonts w:hint="default" w:ascii="Times New Roman" w:hAnsi="Times New Roman" w:cs="Times New Roman"/>
          <w:color w:val="auto"/>
        </w:rPr>
        <w:t>。</w:t>
      </w:r>
    </w:p>
    <w:p w14:paraId="154C0007">
      <w:pPr>
        <w:pStyle w:val="25"/>
        <w:jc w:val="center"/>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表4.3-</w:t>
      </w:r>
      <w:r>
        <w:rPr>
          <w:rFonts w:hint="eastAsia" w:ascii="Times New Roman" w:hAnsi="Times New Roman" w:eastAsia="宋体" w:cs="Times New Roman"/>
          <w:color w:val="auto"/>
          <w:kern w:val="2"/>
          <w:sz w:val="28"/>
          <w:szCs w:val="28"/>
          <w:lang w:val="en-US" w:eastAsia="zh-CN" w:bidi="ar-SA"/>
        </w:rPr>
        <w:t>4</w:t>
      </w:r>
      <w:r>
        <w:rPr>
          <w:rFonts w:hint="default" w:ascii="Times New Roman" w:hAnsi="Times New Roman" w:eastAsia="宋体" w:cs="Times New Roman"/>
          <w:color w:val="auto"/>
          <w:kern w:val="2"/>
          <w:sz w:val="28"/>
          <w:szCs w:val="28"/>
          <w:lang w:val="en-US" w:eastAsia="zh-CN" w:bidi="ar-SA"/>
        </w:rPr>
        <w:t xml:space="preserve"> 发生事故可能造成的后果（C）</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3708"/>
        <w:gridCol w:w="1060"/>
        <w:gridCol w:w="3178"/>
      </w:tblGrid>
      <w:tr w14:paraId="0662B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59" w:type="dxa"/>
            <w:noWrap w:val="0"/>
            <w:vAlign w:val="center"/>
          </w:tcPr>
          <w:p w14:paraId="0B8403DA">
            <w:pPr>
              <w:spacing w:line="400" w:lineRule="exact"/>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分数值</w:t>
            </w:r>
          </w:p>
        </w:tc>
        <w:tc>
          <w:tcPr>
            <w:tcW w:w="3708" w:type="dxa"/>
            <w:noWrap w:val="0"/>
            <w:vAlign w:val="center"/>
          </w:tcPr>
          <w:p w14:paraId="1518A571">
            <w:pPr>
              <w:spacing w:line="400" w:lineRule="exact"/>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发生事故可能造成的后果</w:t>
            </w:r>
          </w:p>
        </w:tc>
        <w:tc>
          <w:tcPr>
            <w:tcW w:w="1060" w:type="dxa"/>
            <w:noWrap w:val="0"/>
            <w:vAlign w:val="center"/>
          </w:tcPr>
          <w:p w14:paraId="63DF614B">
            <w:pPr>
              <w:spacing w:line="400" w:lineRule="exact"/>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分数值</w:t>
            </w:r>
          </w:p>
        </w:tc>
        <w:tc>
          <w:tcPr>
            <w:tcW w:w="3178" w:type="dxa"/>
            <w:noWrap w:val="0"/>
            <w:vAlign w:val="center"/>
          </w:tcPr>
          <w:p w14:paraId="611FE906">
            <w:pPr>
              <w:spacing w:line="400" w:lineRule="exact"/>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发生事故可能造成的后果</w:t>
            </w:r>
          </w:p>
        </w:tc>
      </w:tr>
      <w:tr w14:paraId="4684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059" w:type="dxa"/>
            <w:noWrap w:val="0"/>
            <w:vAlign w:val="center"/>
          </w:tcPr>
          <w:p w14:paraId="01FDC9DD">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w:t>
            </w:r>
          </w:p>
        </w:tc>
        <w:tc>
          <w:tcPr>
            <w:tcW w:w="3708" w:type="dxa"/>
            <w:noWrap w:val="0"/>
            <w:vAlign w:val="center"/>
          </w:tcPr>
          <w:p w14:paraId="1FEB44DF">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大灾难，多人死亡或重大财产损失</w:t>
            </w:r>
          </w:p>
        </w:tc>
        <w:tc>
          <w:tcPr>
            <w:tcW w:w="1060" w:type="dxa"/>
            <w:noWrap w:val="0"/>
            <w:vAlign w:val="center"/>
          </w:tcPr>
          <w:p w14:paraId="2CC0D218">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w:t>
            </w:r>
          </w:p>
        </w:tc>
        <w:tc>
          <w:tcPr>
            <w:tcW w:w="3178" w:type="dxa"/>
            <w:noWrap w:val="0"/>
            <w:vAlign w:val="center"/>
          </w:tcPr>
          <w:p w14:paraId="09E60F28">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严重，重伤或较小的财产损失</w:t>
            </w:r>
          </w:p>
        </w:tc>
      </w:tr>
      <w:tr w14:paraId="2B68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059" w:type="dxa"/>
            <w:noWrap w:val="0"/>
            <w:vAlign w:val="center"/>
          </w:tcPr>
          <w:p w14:paraId="7760346D">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w:t>
            </w:r>
          </w:p>
        </w:tc>
        <w:tc>
          <w:tcPr>
            <w:tcW w:w="3708" w:type="dxa"/>
            <w:noWrap w:val="0"/>
            <w:vAlign w:val="center"/>
          </w:tcPr>
          <w:p w14:paraId="2C3FA97E">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灾难，数人死亡或很大财产损失</w:t>
            </w:r>
          </w:p>
        </w:tc>
        <w:tc>
          <w:tcPr>
            <w:tcW w:w="1060" w:type="dxa"/>
            <w:noWrap w:val="0"/>
            <w:vAlign w:val="center"/>
          </w:tcPr>
          <w:p w14:paraId="1B509D9D">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3178" w:type="dxa"/>
            <w:noWrap w:val="0"/>
            <w:vAlign w:val="center"/>
          </w:tcPr>
          <w:p w14:paraId="28761A39">
            <w:pPr>
              <w:spacing w:line="40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重大，致残或很小的财产损失</w:t>
            </w:r>
          </w:p>
        </w:tc>
      </w:tr>
      <w:tr w14:paraId="11AE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59" w:type="dxa"/>
            <w:noWrap w:val="0"/>
            <w:vAlign w:val="center"/>
          </w:tcPr>
          <w:p w14:paraId="46BAB53E">
            <w:pPr>
              <w:spacing w:line="28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w:t>
            </w:r>
          </w:p>
        </w:tc>
        <w:tc>
          <w:tcPr>
            <w:tcW w:w="3708" w:type="dxa"/>
            <w:noWrap w:val="0"/>
            <w:vAlign w:val="center"/>
          </w:tcPr>
          <w:p w14:paraId="74E58BC6">
            <w:pPr>
              <w:spacing w:line="28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非常严重，一人死亡</w:t>
            </w:r>
          </w:p>
          <w:p w14:paraId="27B5136C">
            <w:pPr>
              <w:spacing w:line="28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或一定的财产损失</w:t>
            </w:r>
          </w:p>
        </w:tc>
        <w:tc>
          <w:tcPr>
            <w:tcW w:w="1060" w:type="dxa"/>
            <w:noWrap w:val="0"/>
            <w:vAlign w:val="center"/>
          </w:tcPr>
          <w:p w14:paraId="5FA7A78B">
            <w:pPr>
              <w:spacing w:line="28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3178" w:type="dxa"/>
            <w:noWrap w:val="0"/>
            <w:vAlign w:val="center"/>
          </w:tcPr>
          <w:p w14:paraId="68873953">
            <w:pPr>
              <w:spacing w:line="28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引人注目，</w:t>
            </w:r>
          </w:p>
          <w:p w14:paraId="72C6AF4E">
            <w:pPr>
              <w:spacing w:line="280" w:lineRule="exact"/>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不利于基本的安全卫生要求</w:t>
            </w:r>
          </w:p>
        </w:tc>
      </w:tr>
    </w:tbl>
    <w:p w14:paraId="279148EA">
      <w:pPr>
        <w:numPr>
          <w:ilvl w:val="0"/>
          <w:numId w:val="2"/>
        </w:numPr>
        <w:bidi w:val="0"/>
        <w:rPr>
          <w:rFonts w:hint="default" w:ascii="Times New Roman" w:hAnsi="Times New Roman" w:cs="Times New Roman"/>
          <w:color w:val="auto"/>
          <w:lang w:val="en-US" w:eastAsia="zh-CN"/>
        </w:rPr>
      </w:pPr>
      <w:r>
        <w:rPr>
          <w:rFonts w:hint="default" w:ascii="Times New Roman" w:hAnsi="Times New Roman" w:cs="Times New Roman"/>
          <w:color w:val="auto"/>
        </w:rPr>
        <w:t>危险等级划分标准</w:t>
      </w:r>
    </w:p>
    <w:p w14:paraId="6726ED2C">
      <w:pPr>
        <w:bidi w:val="0"/>
        <w:rPr>
          <w:rFonts w:hint="default" w:ascii="Times New Roman" w:hAnsi="Times New Roman" w:cs="Times New Roman"/>
          <w:color w:val="auto"/>
        </w:rPr>
      </w:pPr>
      <w:r>
        <w:rPr>
          <w:rFonts w:hint="default" w:ascii="Times New Roman" w:hAnsi="Times New Roman" w:cs="Times New Roman"/>
          <w:color w:val="auto"/>
        </w:rPr>
        <w:t>根据经验，危险性分值在20分以下为低危险性，这样的危险比日常生活中骑自行车去上班还要安全些，如果危险性分值在20-70之间，为一般危险，需要注意；如果危险性分值在70-160之间，有显著的危险性，需要采取措施整改；如果危险性分值在160-320之间，有高度危险性，必须立即整改；如果危险性分值大于320，极度危险，应立即停止作业，彻底整改。按危险性分值划分危险性等级的标准见</w:t>
      </w:r>
      <w:r>
        <w:rPr>
          <w:rFonts w:hint="default" w:ascii="Times New Roman" w:hAnsi="Times New Roman" w:eastAsia="宋体" w:cs="Times New Roman"/>
          <w:color w:val="auto"/>
          <w:kern w:val="2"/>
          <w:sz w:val="28"/>
          <w:szCs w:val="24"/>
          <w:lang w:val="en-US" w:eastAsia="zh-CN" w:bidi="ar-SA"/>
        </w:rPr>
        <w:t>表4.3-</w:t>
      </w:r>
      <w:r>
        <w:rPr>
          <w:rFonts w:hint="eastAsia" w:ascii="Times New Roman" w:hAnsi="Times New Roman" w:eastAsia="宋体" w:cs="Times New Roman"/>
          <w:color w:val="auto"/>
          <w:kern w:val="2"/>
          <w:sz w:val="28"/>
          <w:szCs w:val="24"/>
          <w:lang w:val="en-US" w:eastAsia="zh-CN" w:bidi="ar-SA"/>
        </w:rPr>
        <w:t>5</w:t>
      </w:r>
      <w:r>
        <w:rPr>
          <w:rFonts w:hint="default" w:ascii="Times New Roman" w:hAnsi="Times New Roman" w:cs="Times New Roman"/>
          <w:color w:val="auto"/>
        </w:rPr>
        <w:t>。</w:t>
      </w:r>
    </w:p>
    <w:p w14:paraId="08E2E9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4"/>
          <w:lang w:val="en-US" w:eastAsia="zh-CN" w:bidi="ar-SA"/>
        </w:rPr>
        <w:t>表4.3-</w:t>
      </w:r>
      <w:r>
        <w:rPr>
          <w:rFonts w:hint="eastAsia" w:ascii="Times New Roman" w:hAnsi="Times New Roman" w:eastAsia="宋体" w:cs="Times New Roman"/>
          <w:color w:val="auto"/>
          <w:kern w:val="2"/>
          <w:sz w:val="28"/>
          <w:szCs w:val="24"/>
          <w:lang w:val="en-US" w:eastAsia="zh-CN" w:bidi="ar-SA"/>
        </w:rPr>
        <w:t>5</w:t>
      </w:r>
      <w:r>
        <w:rPr>
          <w:rFonts w:hint="default" w:ascii="Times New Roman" w:hAnsi="Times New Roman" w:eastAsia="宋体" w:cs="Times New Roman"/>
          <w:color w:val="auto"/>
          <w:kern w:val="2"/>
          <w:sz w:val="28"/>
          <w:szCs w:val="28"/>
          <w:lang w:val="en-US" w:eastAsia="zh-CN" w:bidi="ar-SA"/>
        </w:rPr>
        <w:t xml:space="preserve"> 危险性等级划分标准</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2901"/>
        <w:gridCol w:w="1537"/>
        <w:gridCol w:w="3009"/>
      </w:tblGrid>
      <w:tr w14:paraId="1D1B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atLeast"/>
          <w:jc w:val="center"/>
        </w:trPr>
        <w:tc>
          <w:tcPr>
            <w:tcW w:w="1193" w:type="dxa"/>
            <w:noWrap w:val="0"/>
            <w:vAlign w:val="center"/>
          </w:tcPr>
          <w:p w14:paraId="5BB4FC36">
            <w:pPr>
              <w:spacing w:line="240" w:lineRule="auto"/>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D值</w:t>
            </w:r>
          </w:p>
        </w:tc>
        <w:tc>
          <w:tcPr>
            <w:tcW w:w="2901" w:type="dxa"/>
            <w:noWrap w:val="0"/>
            <w:vAlign w:val="center"/>
          </w:tcPr>
          <w:p w14:paraId="27B9D742">
            <w:pPr>
              <w:spacing w:line="240" w:lineRule="auto"/>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危险程度</w:t>
            </w:r>
          </w:p>
        </w:tc>
        <w:tc>
          <w:tcPr>
            <w:tcW w:w="1537" w:type="dxa"/>
            <w:noWrap w:val="0"/>
            <w:vAlign w:val="center"/>
          </w:tcPr>
          <w:p w14:paraId="2D399543">
            <w:pPr>
              <w:spacing w:line="240" w:lineRule="auto"/>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D值</w:t>
            </w:r>
          </w:p>
        </w:tc>
        <w:tc>
          <w:tcPr>
            <w:tcW w:w="3009" w:type="dxa"/>
            <w:noWrap w:val="0"/>
            <w:vAlign w:val="center"/>
          </w:tcPr>
          <w:p w14:paraId="36485030">
            <w:pPr>
              <w:spacing w:line="240" w:lineRule="auto"/>
              <w:ind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危险程度</w:t>
            </w:r>
          </w:p>
        </w:tc>
      </w:tr>
      <w:tr w14:paraId="0474D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1193" w:type="dxa"/>
            <w:noWrap w:val="0"/>
            <w:vAlign w:val="center"/>
          </w:tcPr>
          <w:p w14:paraId="6BFC4C56">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＞320</w:t>
            </w:r>
          </w:p>
        </w:tc>
        <w:tc>
          <w:tcPr>
            <w:tcW w:w="2901" w:type="dxa"/>
            <w:noWrap w:val="0"/>
            <w:vAlign w:val="center"/>
          </w:tcPr>
          <w:p w14:paraId="6100821F">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极其危险，不能继续作业</w:t>
            </w:r>
          </w:p>
        </w:tc>
        <w:tc>
          <w:tcPr>
            <w:tcW w:w="1537" w:type="dxa"/>
            <w:noWrap w:val="0"/>
            <w:vAlign w:val="center"/>
          </w:tcPr>
          <w:p w14:paraId="2CD28A7F">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20－70</w:t>
            </w:r>
          </w:p>
        </w:tc>
        <w:tc>
          <w:tcPr>
            <w:tcW w:w="3009" w:type="dxa"/>
            <w:noWrap w:val="0"/>
            <w:vAlign w:val="center"/>
          </w:tcPr>
          <w:p w14:paraId="34EC48BF">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一般危险，需要注意</w:t>
            </w:r>
          </w:p>
        </w:tc>
      </w:tr>
      <w:tr w14:paraId="71B2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jc w:val="center"/>
        </w:trPr>
        <w:tc>
          <w:tcPr>
            <w:tcW w:w="1193" w:type="dxa"/>
            <w:noWrap w:val="0"/>
            <w:vAlign w:val="center"/>
          </w:tcPr>
          <w:p w14:paraId="66FE7F35">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160－320</w:t>
            </w:r>
          </w:p>
        </w:tc>
        <w:tc>
          <w:tcPr>
            <w:tcW w:w="2901" w:type="dxa"/>
            <w:noWrap w:val="0"/>
            <w:vAlign w:val="center"/>
          </w:tcPr>
          <w:p w14:paraId="5D341728">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高度危险，需立即整改</w:t>
            </w:r>
          </w:p>
        </w:tc>
        <w:tc>
          <w:tcPr>
            <w:tcW w:w="1537" w:type="dxa"/>
            <w:noWrap w:val="0"/>
            <w:vAlign w:val="center"/>
          </w:tcPr>
          <w:p w14:paraId="27476619">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w:t>
            </w:r>
          </w:p>
        </w:tc>
        <w:tc>
          <w:tcPr>
            <w:tcW w:w="3009" w:type="dxa"/>
            <w:noWrap w:val="0"/>
            <w:vAlign w:val="center"/>
          </w:tcPr>
          <w:p w14:paraId="4DD9C175">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稍有危险，可以接受</w:t>
            </w:r>
          </w:p>
        </w:tc>
      </w:tr>
      <w:tr w14:paraId="6BB0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193" w:type="dxa"/>
            <w:noWrap w:val="0"/>
            <w:vAlign w:val="center"/>
          </w:tcPr>
          <w:p w14:paraId="299A32BF">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70－160</w:t>
            </w:r>
          </w:p>
        </w:tc>
        <w:tc>
          <w:tcPr>
            <w:tcW w:w="2901" w:type="dxa"/>
            <w:noWrap w:val="0"/>
            <w:vAlign w:val="center"/>
          </w:tcPr>
          <w:p w14:paraId="2A8C92AC">
            <w:pPr>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显著危险，需要整改</w:t>
            </w:r>
          </w:p>
        </w:tc>
        <w:tc>
          <w:tcPr>
            <w:tcW w:w="1537" w:type="dxa"/>
            <w:noWrap w:val="0"/>
            <w:vAlign w:val="center"/>
          </w:tcPr>
          <w:p w14:paraId="494A2E0E">
            <w:pPr>
              <w:spacing w:line="240" w:lineRule="auto"/>
              <w:ind w:firstLine="0" w:firstLineChars="0"/>
              <w:jc w:val="center"/>
              <w:rPr>
                <w:rFonts w:hint="default" w:ascii="Times New Roman" w:hAnsi="Times New Roman" w:cs="Times New Roman"/>
                <w:color w:val="auto"/>
                <w:sz w:val="21"/>
                <w:szCs w:val="21"/>
              </w:rPr>
            </w:pPr>
          </w:p>
        </w:tc>
        <w:tc>
          <w:tcPr>
            <w:tcW w:w="3009" w:type="dxa"/>
            <w:noWrap w:val="0"/>
            <w:vAlign w:val="center"/>
          </w:tcPr>
          <w:p w14:paraId="50F6E438">
            <w:pPr>
              <w:spacing w:line="240" w:lineRule="auto"/>
              <w:ind w:firstLine="0" w:firstLineChars="0"/>
              <w:jc w:val="center"/>
              <w:rPr>
                <w:rFonts w:hint="default" w:ascii="Times New Roman" w:hAnsi="Times New Roman" w:cs="Times New Roman"/>
                <w:color w:val="auto"/>
                <w:sz w:val="21"/>
                <w:szCs w:val="21"/>
              </w:rPr>
            </w:pPr>
          </w:p>
        </w:tc>
      </w:tr>
    </w:tbl>
    <w:p w14:paraId="161BFF63">
      <w:pPr>
        <w:rPr>
          <w:rFonts w:hint="default"/>
          <w:color w:val="auto"/>
          <w:lang w:val="en-US" w:eastAsia="zh-CN"/>
        </w:rPr>
      </w:pPr>
    </w:p>
    <w:p w14:paraId="3A674648">
      <w:pPr>
        <w:rPr>
          <w:rFonts w:hint="default"/>
          <w:color w:val="auto"/>
          <w:lang w:val="en-US" w:eastAsia="zh-CN"/>
        </w:rPr>
      </w:pPr>
      <w:r>
        <w:rPr>
          <w:rFonts w:hint="default"/>
          <w:color w:val="auto"/>
          <w:lang w:val="en-US" w:eastAsia="zh-CN"/>
        </w:rPr>
        <w:br w:type="page"/>
      </w:r>
    </w:p>
    <w:p w14:paraId="49B8F4B3">
      <w:pPr>
        <w:pStyle w:val="25"/>
        <w:rPr>
          <w:rFonts w:hint="default"/>
          <w:color w:val="auto"/>
          <w:lang w:val="en-US" w:eastAsia="zh-CN"/>
        </w:rPr>
      </w:pPr>
    </w:p>
    <w:p w14:paraId="3EBCD2C1">
      <w:pPr>
        <w:pStyle w:val="2"/>
        <w:numPr>
          <w:ilvl w:val="0"/>
          <w:numId w:val="1"/>
        </w:numPr>
        <w:bidi w:val="0"/>
        <w:ind w:left="0" w:leftChars="0" w:firstLine="0" w:firstLineChars="0"/>
        <w:rPr>
          <w:rFonts w:hint="default" w:ascii="Times New Roman" w:hAnsi="Times New Roman" w:cs="Times New Roman"/>
          <w:color w:val="auto"/>
          <w:lang w:val="en-US" w:eastAsia="zh-CN"/>
        </w:rPr>
      </w:pPr>
      <w:bookmarkStart w:id="438" w:name="_Toc29016"/>
      <w:bookmarkStart w:id="439" w:name="_Toc6845"/>
      <w:bookmarkStart w:id="440" w:name="_Toc24175"/>
      <w:bookmarkStart w:id="441" w:name="_Toc12793"/>
      <w:bookmarkStart w:id="442" w:name="_Toc31819"/>
      <w:bookmarkStart w:id="443" w:name="_Toc6798"/>
      <w:r>
        <w:rPr>
          <w:rFonts w:hint="default" w:ascii="Times New Roman" w:hAnsi="Times New Roman" w:cs="Times New Roman"/>
          <w:color w:val="auto"/>
          <w:lang w:val="en-US" w:eastAsia="zh-CN"/>
        </w:rPr>
        <w:t>定性定量评价</w:t>
      </w:r>
      <w:bookmarkEnd w:id="438"/>
      <w:bookmarkEnd w:id="439"/>
      <w:bookmarkEnd w:id="440"/>
      <w:bookmarkEnd w:id="441"/>
      <w:bookmarkEnd w:id="442"/>
      <w:bookmarkEnd w:id="443"/>
    </w:p>
    <w:p w14:paraId="6CDC7262">
      <w:pPr>
        <w:keepNext w:val="0"/>
        <w:keepLines w:val="0"/>
        <w:widowControl/>
        <w:suppressLineNumbers w:val="0"/>
        <w:jc w:val="left"/>
        <w:rPr>
          <w:rFonts w:hint="default"/>
          <w:color w:val="auto"/>
          <w:lang w:val="en-US" w:eastAsia="zh-CN"/>
        </w:rPr>
      </w:pPr>
      <w:r>
        <w:rPr>
          <w:rFonts w:hint="default"/>
          <w:color w:val="auto"/>
          <w:lang w:val="en-US" w:eastAsia="zh-CN"/>
        </w:rPr>
        <w:t>采用原江西省安全生产监督管理局制订的《江西省非煤露天矿山安全检査表》，</w:t>
      </w:r>
      <w:r>
        <w:rPr>
          <w:rFonts w:hint="eastAsia" w:ascii="宋体" w:hAnsi="宋体" w:eastAsia="宋体" w:cs="宋体"/>
          <w:color w:val="auto"/>
          <w:kern w:val="0"/>
          <w:sz w:val="28"/>
          <w:szCs w:val="28"/>
          <w:lang w:val="en-US" w:eastAsia="zh-CN" w:bidi="ar"/>
        </w:rPr>
        <w:t>并</w:t>
      </w:r>
      <w:r>
        <w:rPr>
          <w:rFonts w:hint="default"/>
          <w:color w:val="auto"/>
          <w:lang w:val="en-US" w:eastAsia="zh-CN"/>
        </w:rPr>
        <w:t>依照最新的法律法规、标准规范等对相关条款进行调整</w:t>
      </w:r>
      <w:r>
        <w:rPr>
          <w:rFonts w:hint="eastAsia"/>
          <w:color w:val="auto"/>
          <w:lang w:val="en-US" w:eastAsia="zh-CN"/>
        </w:rPr>
        <w:t>，</w:t>
      </w:r>
      <w:r>
        <w:rPr>
          <w:rFonts w:hint="eastAsia" w:ascii="宋体" w:cs="宋体"/>
          <w:color w:val="auto"/>
          <w:sz w:val="28"/>
          <w:szCs w:val="28"/>
          <w:lang w:bidi="ar-SA"/>
        </w:rPr>
        <w:t>对</w:t>
      </w:r>
      <w:r>
        <w:rPr>
          <w:rFonts w:hint="eastAsia" w:ascii="宋体" w:cs="宋体"/>
          <w:color w:val="auto"/>
          <w:sz w:val="28"/>
          <w:szCs w:val="28"/>
          <w:lang w:val="en-US" w:eastAsia="zh-CN" w:bidi="ar-SA"/>
        </w:rPr>
        <w:t>鄱阳县响水滩乡禾互山建筑用石料矿</w:t>
      </w:r>
      <w:r>
        <w:rPr>
          <w:rFonts w:hint="eastAsia" w:ascii="宋体" w:cs="宋体"/>
          <w:color w:val="auto"/>
          <w:sz w:val="28"/>
          <w:szCs w:val="28"/>
          <w:lang w:val="zh-CN" w:eastAsia="zh-CN" w:bidi="ar-SA"/>
        </w:rPr>
        <w:t>露天开采工程各评价单元及整个系统</w:t>
      </w:r>
      <w:r>
        <w:rPr>
          <w:rFonts w:hint="eastAsia" w:ascii="宋体" w:cs="宋体"/>
          <w:color w:val="auto"/>
          <w:sz w:val="28"/>
          <w:szCs w:val="28"/>
          <w:lang w:bidi="ar-SA"/>
        </w:rPr>
        <w:t>进行评价。</w:t>
      </w:r>
    </w:p>
    <w:p w14:paraId="2126FE6F">
      <w:pPr>
        <w:pStyle w:val="3"/>
        <w:bidi w:val="0"/>
        <w:rPr>
          <w:rFonts w:hint="default"/>
          <w:color w:val="auto"/>
          <w:lang w:val="en-US" w:eastAsia="zh-CN"/>
        </w:rPr>
      </w:pPr>
      <w:bookmarkStart w:id="444" w:name="_Toc13000"/>
      <w:bookmarkStart w:id="445" w:name="_Toc23463"/>
      <w:bookmarkStart w:id="446" w:name="_Toc15020"/>
      <w:bookmarkStart w:id="447" w:name="_Toc20308"/>
      <w:bookmarkStart w:id="448" w:name="_Toc4723"/>
      <w:bookmarkStart w:id="449" w:name="_Toc31767"/>
      <w:r>
        <w:rPr>
          <w:rFonts w:hint="default"/>
          <w:color w:val="auto"/>
          <w:lang w:val="en-US" w:eastAsia="zh-CN"/>
        </w:rPr>
        <w:t>5.1 安全管理单元</w:t>
      </w:r>
      <w:bookmarkEnd w:id="444"/>
      <w:bookmarkEnd w:id="445"/>
      <w:bookmarkEnd w:id="446"/>
      <w:bookmarkEnd w:id="447"/>
      <w:bookmarkEnd w:id="448"/>
      <w:bookmarkEnd w:id="449"/>
    </w:p>
    <w:p w14:paraId="4EAD1E4A">
      <w:pPr>
        <w:pStyle w:val="4"/>
        <w:bidi w:val="0"/>
        <w:rPr>
          <w:rFonts w:hint="default"/>
          <w:color w:val="auto"/>
          <w:lang w:val="en-US" w:eastAsia="zh-CN"/>
        </w:rPr>
      </w:pPr>
      <w:bookmarkStart w:id="450" w:name="_Toc11152"/>
      <w:bookmarkStart w:id="451" w:name="_Toc4765"/>
      <w:bookmarkStart w:id="452" w:name="_Toc8357"/>
      <w:bookmarkStart w:id="453" w:name="_Toc31852"/>
      <w:bookmarkStart w:id="454" w:name="_Toc28737"/>
      <w:bookmarkStart w:id="455" w:name="_Toc4616"/>
      <w:r>
        <w:rPr>
          <w:rFonts w:hint="eastAsia"/>
          <w:color w:val="auto"/>
          <w:lang w:val="en-US" w:eastAsia="zh-CN"/>
        </w:rPr>
        <w:t>5.1.1 安全管理安全检查表</w:t>
      </w:r>
      <w:bookmarkEnd w:id="450"/>
      <w:bookmarkEnd w:id="451"/>
      <w:bookmarkEnd w:id="452"/>
      <w:bookmarkEnd w:id="453"/>
      <w:bookmarkEnd w:id="454"/>
      <w:bookmarkEnd w:id="455"/>
    </w:p>
    <w:p w14:paraId="712454B7">
      <w:pPr>
        <w:rPr>
          <w:rFonts w:hint="default"/>
          <w:color w:val="auto"/>
          <w:lang w:val="en-US" w:eastAsia="zh-CN"/>
        </w:rPr>
      </w:pPr>
      <w:r>
        <w:rPr>
          <w:rFonts w:hint="default"/>
          <w:color w:val="auto"/>
          <w:lang w:val="en-US" w:eastAsia="zh-CN"/>
        </w:rPr>
        <w:t>安全管理安全检查表如</w:t>
      </w:r>
      <w:r>
        <w:rPr>
          <w:rFonts w:hint="eastAsia"/>
          <w:color w:val="auto"/>
          <w:lang w:val="en-US" w:eastAsia="zh-CN"/>
        </w:rPr>
        <w:t>见</w:t>
      </w:r>
      <w:r>
        <w:rPr>
          <w:rFonts w:hint="default"/>
          <w:color w:val="auto"/>
          <w:lang w:val="en-US" w:eastAsia="zh-CN"/>
        </w:rPr>
        <w:t>5</w:t>
      </w:r>
      <w:r>
        <w:rPr>
          <w:rFonts w:hint="eastAsia"/>
          <w:color w:val="auto"/>
          <w:lang w:val="en-US" w:eastAsia="zh-CN"/>
        </w:rPr>
        <w:t>.1</w:t>
      </w:r>
      <w:r>
        <w:rPr>
          <w:rFonts w:hint="default"/>
          <w:color w:val="auto"/>
          <w:lang w:val="en-US" w:eastAsia="zh-CN"/>
        </w:rPr>
        <w:t>-1所示。</w:t>
      </w:r>
    </w:p>
    <w:p w14:paraId="2E98B70F">
      <w:pPr>
        <w:ind w:left="0" w:leftChars="0" w:firstLine="0" w:firstLineChars="0"/>
        <w:jc w:val="center"/>
        <w:rPr>
          <w:rFonts w:hint="eastAsia"/>
          <w:color w:val="auto"/>
          <w:lang w:val="en-US" w:eastAsia="zh-CN"/>
        </w:rPr>
      </w:pPr>
      <w:r>
        <w:rPr>
          <w:rFonts w:hint="default"/>
          <w:color w:val="auto"/>
          <w:lang w:val="en-US" w:eastAsia="zh-CN"/>
        </w:rPr>
        <w:t>表5</w:t>
      </w:r>
      <w:r>
        <w:rPr>
          <w:rFonts w:hint="eastAsia"/>
          <w:color w:val="auto"/>
          <w:lang w:val="en-US" w:eastAsia="zh-CN"/>
        </w:rPr>
        <w:t>.1</w:t>
      </w:r>
      <w:r>
        <w:rPr>
          <w:rFonts w:hint="default"/>
          <w:color w:val="auto"/>
          <w:lang w:val="en-US" w:eastAsia="zh-CN"/>
        </w:rPr>
        <w:t>-1</w:t>
      </w:r>
      <w:r>
        <w:rPr>
          <w:rFonts w:hint="eastAsia"/>
          <w:color w:val="auto"/>
          <w:lang w:val="en-US" w:eastAsia="zh-CN"/>
        </w:rPr>
        <w:t xml:space="preserve"> 安全管理检查表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2444"/>
        <w:gridCol w:w="1863"/>
        <w:gridCol w:w="894"/>
        <w:gridCol w:w="957"/>
        <w:gridCol w:w="669"/>
        <w:gridCol w:w="847"/>
        <w:gridCol w:w="642"/>
      </w:tblGrid>
      <w:tr w14:paraId="2F6F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Align w:val="center"/>
          </w:tcPr>
          <w:p w14:paraId="6EA6D54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b/>
                <w:bCs/>
                <w:color w:val="auto"/>
                <w:sz w:val="21"/>
                <w:szCs w:val="21"/>
                <w:vertAlign w:val="baseline"/>
                <w:lang w:val="en-US" w:eastAsia="zh-CN"/>
              </w:rPr>
            </w:pPr>
            <w:r>
              <w:rPr>
                <w:rFonts w:hint="eastAsia"/>
                <w:b/>
                <w:bCs/>
                <w:color w:val="auto"/>
                <w:sz w:val="21"/>
                <w:szCs w:val="21"/>
                <w:vertAlign w:val="baseline"/>
                <w:lang w:val="en-US" w:eastAsia="zh-CN"/>
              </w:rPr>
              <w:t>检查</w:t>
            </w:r>
          </w:p>
          <w:p w14:paraId="0C7B79C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项目</w:t>
            </w:r>
          </w:p>
        </w:tc>
        <w:tc>
          <w:tcPr>
            <w:tcW w:w="2444" w:type="dxa"/>
            <w:vAlign w:val="center"/>
          </w:tcPr>
          <w:p w14:paraId="23F209D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检查内容</w:t>
            </w:r>
          </w:p>
        </w:tc>
        <w:tc>
          <w:tcPr>
            <w:tcW w:w="1863" w:type="dxa"/>
            <w:vAlign w:val="center"/>
          </w:tcPr>
          <w:p w14:paraId="60D96C8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检查依据</w:t>
            </w:r>
          </w:p>
        </w:tc>
        <w:tc>
          <w:tcPr>
            <w:tcW w:w="894" w:type="dxa"/>
            <w:vAlign w:val="center"/>
          </w:tcPr>
          <w:p w14:paraId="77FD109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检查方法及地点</w:t>
            </w:r>
          </w:p>
        </w:tc>
        <w:tc>
          <w:tcPr>
            <w:tcW w:w="957" w:type="dxa"/>
            <w:vAlign w:val="center"/>
          </w:tcPr>
          <w:p w14:paraId="2AD4A85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检查</w:t>
            </w:r>
          </w:p>
          <w:p w14:paraId="03E1C0E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记录</w:t>
            </w:r>
          </w:p>
        </w:tc>
        <w:tc>
          <w:tcPr>
            <w:tcW w:w="669" w:type="dxa"/>
            <w:vAlign w:val="center"/>
          </w:tcPr>
          <w:p w14:paraId="7C0B8F7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标准</w:t>
            </w:r>
          </w:p>
          <w:p w14:paraId="4B730ED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分值</w:t>
            </w:r>
          </w:p>
        </w:tc>
        <w:tc>
          <w:tcPr>
            <w:tcW w:w="847" w:type="dxa"/>
            <w:vAlign w:val="center"/>
          </w:tcPr>
          <w:p w14:paraId="682C79A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评分</w:t>
            </w:r>
          </w:p>
          <w:p w14:paraId="44576A5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标准</w:t>
            </w:r>
          </w:p>
        </w:tc>
        <w:tc>
          <w:tcPr>
            <w:tcW w:w="642" w:type="dxa"/>
            <w:vAlign w:val="center"/>
          </w:tcPr>
          <w:p w14:paraId="65EE14B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得分</w:t>
            </w:r>
          </w:p>
        </w:tc>
      </w:tr>
      <w:tr w14:paraId="4023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restart"/>
            <w:vAlign w:val="center"/>
          </w:tcPr>
          <w:p w14:paraId="4F4F634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 相关证照（协议）</w:t>
            </w:r>
          </w:p>
        </w:tc>
        <w:tc>
          <w:tcPr>
            <w:tcW w:w="2444" w:type="dxa"/>
            <w:vAlign w:val="center"/>
          </w:tcPr>
          <w:p w14:paraId="21737B8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w:t>
            </w:r>
            <w:r>
              <w:rPr>
                <w:rFonts w:hint="eastAsia"/>
                <w:color w:val="auto"/>
                <w:sz w:val="21"/>
                <w:szCs w:val="21"/>
                <w:vertAlign w:val="baseline"/>
                <w:lang w:val="en-US" w:eastAsia="zh-CN"/>
              </w:rPr>
              <w:t>1</w:t>
            </w:r>
            <w:r>
              <w:rPr>
                <w:rFonts w:hint="default"/>
                <w:color w:val="auto"/>
                <w:sz w:val="21"/>
                <w:szCs w:val="21"/>
                <w:vertAlign w:val="baseline"/>
                <w:lang w:val="en-US" w:eastAsia="zh-CN"/>
              </w:rPr>
              <w:t xml:space="preserve"> 安全生产许可证</w:t>
            </w:r>
          </w:p>
        </w:tc>
        <w:tc>
          <w:tcPr>
            <w:tcW w:w="1863" w:type="dxa"/>
            <w:vAlign w:val="center"/>
          </w:tcPr>
          <w:p w14:paraId="4A97EB8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《安全生产许可证条例》第二条</w:t>
            </w:r>
          </w:p>
        </w:tc>
        <w:tc>
          <w:tcPr>
            <w:tcW w:w="894" w:type="dxa"/>
            <w:vAlign w:val="center"/>
          </w:tcPr>
          <w:p w14:paraId="549DC77F">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17221A4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ascii="Times New Roman" w:hAnsi="Times New Roman" w:eastAsia="宋体" w:cs="Times New Roman"/>
                <w:color w:val="auto"/>
                <w:kern w:val="2"/>
                <w:sz w:val="21"/>
                <w:szCs w:val="21"/>
                <w:vertAlign w:val="baseline"/>
                <w:lang w:val="en-US" w:eastAsia="zh-CN" w:bidi="ar-SA"/>
              </w:rPr>
              <w:t>效证件</w:t>
            </w:r>
          </w:p>
        </w:tc>
        <w:tc>
          <w:tcPr>
            <w:tcW w:w="957" w:type="dxa"/>
            <w:vAlign w:val="center"/>
          </w:tcPr>
          <w:p w14:paraId="72B1B26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s="Times New Roman"/>
                <w:color w:val="auto"/>
                <w:kern w:val="2"/>
                <w:sz w:val="21"/>
                <w:szCs w:val="21"/>
                <w:vertAlign w:val="baseline"/>
                <w:lang w:val="en-US" w:eastAsia="zh-CN" w:bidi="ar-SA"/>
              </w:rPr>
              <w:t>已到期，目前企业已停产</w:t>
            </w:r>
          </w:p>
        </w:tc>
        <w:tc>
          <w:tcPr>
            <w:tcW w:w="669" w:type="dxa"/>
            <w:vAlign w:val="center"/>
          </w:tcPr>
          <w:p w14:paraId="33594CD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c>
          <w:tcPr>
            <w:tcW w:w="847" w:type="dxa"/>
            <w:vAlign w:val="center"/>
          </w:tcPr>
          <w:p w14:paraId="6FC9A0D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ascii="Times New Roman" w:hAnsi="Times New Roman" w:eastAsia="宋体" w:cs="Times New Roman"/>
                <w:color w:val="auto"/>
                <w:kern w:val="2"/>
                <w:sz w:val="21"/>
                <w:szCs w:val="21"/>
                <w:vertAlign w:val="baseline"/>
                <w:lang w:val="en-US" w:eastAsia="zh-CN" w:bidi="ar-SA"/>
              </w:rPr>
              <w:t>否决项</w:t>
            </w:r>
          </w:p>
        </w:tc>
        <w:tc>
          <w:tcPr>
            <w:tcW w:w="642" w:type="dxa"/>
            <w:vAlign w:val="center"/>
          </w:tcPr>
          <w:p w14:paraId="43EC236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r>
      <w:tr w14:paraId="4791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72" w:type="dxa"/>
            <w:vMerge w:val="continue"/>
            <w:vAlign w:val="center"/>
          </w:tcPr>
          <w:p w14:paraId="7269378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2444" w:type="dxa"/>
            <w:vAlign w:val="center"/>
          </w:tcPr>
          <w:p w14:paraId="254A135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1.2 工商营业执照</w:t>
            </w:r>
          </w:p>
        </w:tc>
        <w:tc>
          <w:tcPr>
            <w:tcW w:w="1863" w:type="dxa"/>
            <w:vAlign w:val="center"/>
          </w:tcPr>
          <w:p w14:paraId="10DD7A9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安监总局令第20号第八条第（二）款</w:t>
            </w:r>
          </w:p>
        </w:tc>
        <w:tc>
          <w:tcPr>
            <w:tcW w:w="894" w:type="dxa"/>
            <w:vAlign w:val="center"/>
          </w:tcPr>
          <w:p w14:paraId="2C2A35A2">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0F26B2A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ascii="Times New Roman" w:hAnsi="Times New Roman" w:eastAsia="宋体" w:cs="Times New Roman"/>
                <w:color w:val="auto"/>
                <w:kern w:val="2"/>
                <w:sz w:val="21"/>
                <w:szCs w:val="21"/>
                <w:vertAlign w:val="baseline"/>
                <w:lang w:val="en-US" w:eastAsia="zh-CN" w:bidi="ar-SA"/>
              </w:rPr>
              <w:t>效证件</w:t>
            </w:r>
          </w:p>
        </w:tc>
        <w:tc>
          <w:tcPr>
            <w:tcW w:w="957" w:type="dxa"/>
            <w:vAlign w:val="center"/>
          </w:tcPr>
          <w:p w14:paraId="3C371A5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s="Times New Roman"/>
                <w:color w:val="auto"/>
                <w:kern w:val="2"/>
                <w:sz w:val="21"/>
                <w:szCs w:val="21"/>
                <w:vertAlign w:val="baseline"/>
                <w:lang w:val="en-US" w:eastAsia="zh-CN" w:bidi="ar-SA"/>
              </w:rPr>
              <w:t>合格</w:t>
            </w:r>
          </w:p>
        </w:tc>
        <w:tc>
          <w:tcPr>
            <w:tcW w:w="669" w:type="dxa"/>
            <w:vAlign w:val="center"/>
          </w:tcPr>
          <w:p w14:paraId="6DF04DF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c>
          <w:tcPr>
            <w:tcW w:w="847" w:type="dxa"/>
            <w:vAlign w:val="center"/>
          </w:tcPr>
          <w:p w14:paraId="4675E2E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ascii="Times New Roman" w:hAnsi="Times New Roman" w:eastAsia="宋体" w:cs="Times New Roman"/>
                <w:color w:val="auto"/>
                <w:kern w:val="2"/>
                <w:sz w:val="21"/>
                <w:szCs w:val="21"/>
                <w:vertAlign w:val="baseline"/>
                <w:lang w:val="en-US" w:eastAsia="zh-CN" w:bidi="ar-SA"/>
              </w:rPr>
              <w:t>否决项</w:t>
            </w:r>
          </w:p>
        </w:tc>
        <w:tc>
          <w:tcPr>
            <w:tcW w:w="642" w:type="dxa"/>
            <w:vAlign w:val="center"/>
          </w:tcPr>
          <w:p w14:paraId="3F7D3F1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r>
      <w:tr w14:paraId="3522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72" w:type="dxa"/>
            <w:vMerge w:val="continue"/>
            <w:vAlign w:val="center"/>
          </w:tcPr>
          <w:p w14:paraId="27C8213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2444" w:type="dxa"/>
            <w:vAlign w:val="center"/>
          </w:tcPr>
          <w:p w14:paraId="635244D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1.3 采矿许可证</w:t>
            </w:r>
          </w:p>
        </w:tc>
        <w:tc>
          <w:tcPr>
            <w:tcW w:w="1863" w:type="dxa"/>
            <w:vAlign w:val="center"/>
          </w:tcPr>
          <w:p w14:paraId="135CCBD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安监总局令第20号第八条第（三）款</w:t>
            </w:r>
          </w:p>
        </w:tc>
        <w:tc>
          <w:tcPr>
            <w:tcW w:w="894" w:type="dxa"/>
            <w:vAlign w:val="center"/>
          </w:tcPr>
          <w:p w14:paraId="200A7CAD">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0642CC0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ascii="Times New Roman" w:hAnsi="Times New Roman" w:eastAsia="宋体" w:cs="Times New Roman"/>
                <w:color w:val="auto"/>
                <w:kern w:val="2"/>
                <w:sz w:val="21"/>
                <w:szCs w:val="21"/>
                <w:vertAlign w:val="baseline"/>
                <w:lang w:val="en-US" w:eastAsia="zh-CN" w:bidi="ar-SA"/>
              </w:rPr>
              <w:t>效证件</w:t>
            </w:r>
          </w:p>
        </w:tc>
        <w:tc>
          <w:tcPr>
            <w:tcW w:w="957" w:type="dxa"/>
            <w:vAlign w:val="center"/>
          </w:tcPr>
          <w:p w14:paraId="447F053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s="Times New Roman"/>
                <w:color w:val="auto"/>
                <w:kern w:val="2"/>
                <w:sz w:val="21"/>
                <w:szCs w:val="21"/>
                <w:vertAlign w:val="baseline"/>
                <w:lang w:val="en-US" w:eastAsia="zh-CN" w:bidi="ar-SA"/>
              </w:rPr>
              <w:t>合格</w:t>
            </w:r>
          </w:p>
        </w:tc>
        <w:tc>
          <w:tcPr>
            <w:tcW w:w="669" w:type="dxa"/>
            <w:vAlign w:val="center"/>
          </w:tcPr>
          <w:p w14:paraId="63137E9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c>
          <w:tcPr>
            <w:tcW w:w="847" w:type="dxa"/>
            <w:vAlign w:val="center"/>
          </w:tcPr>
          <w:p w14:paraId="43AE9C1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ascii="Times New Roman" w:hAnsi="Times New Roman" w:eastAsia="宋体" w:cs="Times New Roman"/>
                <w:color w:val="auto"/>
                <w:kern w:val="2"/>
                <w:sz w:val="21"/>
                <w:szCs w:val="21"/>
                <w:vertAlign w:val="baseline"/>
                <w:lang w:val="en-US" w:eastAsia="zh-CN" w:bidi="ar-SA"/>
              </w:rPr>
              <w:t>否决项</w:t>
            </w:r>
          </w:p>
        </w:tc>
        <w:tc>
          <w:tcPr>
            <w:tcW w:w="642" w:type="dxa"/>
            <w:vAlign w:val="center"/>
          </w:tcPr>
          <w:p w14:paraId="5F4C493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r>
      <w:tr w14:paraId="5466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972" w:type="dxa"/>
            <w:vMerge w:val="continue"/>
            <w:vAlign w:val="center"/>
          </w:tcPr>
          <w:p w14:paraId="33B7507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2444" w:type="dxa"/>
            <w:vAlign w:val="center"/>
          </w:tcPr>
          <w:p w14:paraId="5A72872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1.4 民用爆破作业单位许可证</w:t>
            </w:r>
          </w:p>
        </w:tc>
        <w:tc>
          <w:tcPr>
            <w:tcW w:w="1863" w:type="dxa"/>
            <w:vAlign w:val="center"/>
          </w:tcPr>
          <w:p w14:paraId="553B95E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《民用爆炸物品管理条例》第三条</w:t>
            </w:r>
          </w:p>
        </w:tc>
        <w:tc>
          <w:tcPr>
            <w:tcW w:w="894" w:type="dxa"/>
            <w:vAlign w:val="center"/>
          </w:tcPr>
          <w:p w14:paraId="0334A50E">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2431FE1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ascii="Times New Roman" w:hAnsi="Times New Roman" w:eastAsia="宋体" w:cs="Times New Roman"/>
                <w:color w:val="auto"/>
                <w:kern w:val="2"/>
                <w:sz w:val="21"/>
                <w:szCs w:val="21"/>
                <w:vertAlign w:val="baseline"/>
                <w:lang w:val="en-US" w:eastAsia="zh-CN" w:bidi="ar-SA"/>
              </w:rPr>
              <w:t>效证件</w:t>
            </w:r>
          </w:p>
        </w:tc>
        <w:tc>
          <w:tcPr>
            <w:tcW w:w="957" w:type="dxa"/>
            <w:vAlign w:val="center"/>
          </w:tcPr>
          <w:p w14:paraId="53EC39E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ascii="Times New Roman" w:hAnsi="Times New Roman" w:eastAsia="宋体" w:cs="Times New Roman"/>
                <w:color w:val="auto"/>
                <w:kern w:val="2"/>
                <w:sz w:val="21"/>
                <w:szCs w:val="21"/>
                <w:vertAlign w:val="baseline"/>
                <w:lang w:val="en-US" w:eastAsia="zh-CN" w:bidi="ar-SA"/>
              </w:rPr>
              <w:t>委外</w:t>
            </w:r>
            <w:r>
              <w:rPr>
                <w:rFonts w:hint="eastAsia" w:ascii="Times New Roman" w:hAnsi="Times New Roman" w:eastAsia="宋体" w:cs="Times New Roman"/>
                <w:color w:val="auto"/>
                <w:kern w:val="2"/>
                <w:sz w:val="21"/>
                <w:szCs w:val="21"/>
                <w:vertAlign w:val="baseline"/>
                <w:lang w:val="en-US" w:eastAsia="zh-CN" w:bidi="ar-SA"/>
              </w:rPr>
              <w:t>，外包单位证件合格</w:t>
            </w:r>
          </w:p>
        </w:tc>
        <w:tc>
          <w:tcPr>
            <w:tcW w:w="669" w:type="dxa"/>
            <w:vAlign w:val="center"/>
          </w:tcPr>
          <w:p w14:paraId="121C46D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c>
          <w:tcPr>
            <w:tcW w:w="847" w:type="dxa"/>
            <w:vAlign w:val="center"/>
          </w:tcPr>
          <w:p w14:paraId="15BD006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ascii="Times New Roman" w:hAnsi="Times New Roman" w:eastAsia="宋体" w:cs="Times New Roman"/>
                <w:color w:val="auto"/>
                <w:kern w:val="2"/>
                <w:sz w:val="21"/>
                <w:szCs w:val="21"/>
                <w:vertAlign w:val="baseline"/>
                <w:lang w:val="en-US" w:eastAsia="zh-CN" w:bidi="ar-SA"/>
              </w:rPr>
              <w:t>否决项</w:t>
            </w:r>
          </w:p>
        </w:tc>
        <w:tc>
          <w:tcPr>
            <w:tcW w:w="642" w:type="dxa"/>
            <w:vAlign w:val="center"/>
          </w:tcPr>
          <w:p w14:paraId="54DF0CD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r>
      <w:tr w14:paraId="47A5C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72" w:type="dxa"/>
            <w:vMerge w:val="continue"/>
            <w:vAlign w:val="center"/>
          </w:tcPr>
          <w:p w14:paraId="71FB063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2444" w:type="dxa"/>
            <w:vAlign w:val="center"/>
          </w:tcPr>
          <w:p w14:paraId="285E6AA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1.5 矿山主要负责人安全资格证</w:t>
            </w:r>
          </w:p>
        </w:tc>
        <w:tc>
          <w:tcPr>
            <w:tcW w:w="1863" w:type="dxa"/>
            <w:vAlign w:val="center"/>
          </w:tcPr>
          <w:p w14:paraId="10E02B3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《安全生产法》</w:t>
            </w:r>
          </w:p>
          <w:p w14:paraId="26B57F5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第二十七条</w:t>
            </w:r>
          </w:p>
        </w:tc>
        <w:tc>
          <w:tcPr>
            <w:tcW w:w="894" w:type="dxa"/>
            <w:vAlign w:val="center"/>
          </w:tcPr>
          <w:p w14:paraId="177F217C">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781FC9E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ascii="Times New Roman" w:hAnsi="Times New Roman" w:eastAsia="宋体" w:cs="Times New Roman"/>
                <w:color w:val="auto"/>
                <w:kern w:val="2"/>
                <w:sz w:val="21"/>
                <w:szCs w:val="21"/>
                <w:vertAlign w:val="baseline"/>
                <w:lang w:val="en-US" w:eastAsia="zh-CN" w:bidi="ar-SA"/>
              </w:rPr>
              <w:t>效证件</w:t>
            </w:r>
          </w:p>
        </w:tc>
        <w:tc>
          <w:tcPr>
            <w:tcW w:w="957" w:type="dxa"/>
            <w:vAlign w:val="center"/>
          </w:tcPr>
          <w:p w14:paraId="3FD425A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s="Times New Roman"/>
                <w:color w:val="auto"/>
                <w:kern w:val="2"/>
                <w:sz w:val="21"/>
                <w:szCs w:val="21"/>
                <w:vertAlign w:val="baseline"/>
                <w:lang w:val="en-US" w:eastAsia="zh-CN" w:bidi="ar-SA"/>
              </w:rPr>
              <w:t>已报名参加培训</w:t>
            </w:r>
          </w:p>
        </w:tc>
        <w:tc>
          <w:tcPr>
            <w:tcW w:w="669" w:type="dxa"/>
            <w:vAlign w:val="center"/>
          </w:tcPr>
          <w:p w14:paraId="3881663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c>
          <w:tcPr>
            <w:tcW w:w="847" w:type="dxa"/>
            <w:vAlign w:val="center"/>
          </w:tcPr>
          <w:p w14:paraId="6966DEB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ascii="Times New Roman" w:hAnsi="Times New Roman" w:eastAsia="宋体" w:cs="Times New Roman"/>
                <w:color w:val="auto"/>
                <w:kern w:val="2"/>
                <w:sz w:val="21"/>
                <w:szCs w:val="21"/>
                <w:vertAlign w:val="baseline"/>
                <w:lang w:val="en-US" w:eastAsia="zh-CN" w:bidi="ar-SA"/>
              </w:rPr>
              <w:t>否决项</w:t>
            </w:r>
          </w:p>
        </w:tc>
        <w:tc>
          <w:tcPr>
            <w:tcW w:w="642" w:type="dxa"/>
            <w:vAlign w:val="center"/>
          </w:tcPr>
          <w:p w14:paraId="3D42702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r>
      <w:tr w14:paraId="3825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972" w:type="dxa"/>
            <w:vMerge w:val="continue"/>
            <w:shd w:val="clear" w:color="auto" w:fill="auto"/>
            <w:vAlign w:val="center"/>
          </w:tcPr>
          <w:p w14:paraId="5F70B42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2444" w:type="dxa"/>
            <w:shd w:val="clear" w:color="auto" w:fill="auto"/>
            <w:vAlign w:val="center"/>
          </w:tcPr>
          <w:p w14:paraId="0B1A422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1.6 安全管理人员资格证</w:t>
            </w:r>
          </w:p>
        </w:tc>
        <w:tc>
          <w:tcPr>
            <w:tcW w:w="1863" w:type="dxa"/>
            <w:shd w:val="clear" w:color="auto" w:fill="auto"/>
            <w:vAlign w:val="center"/>
          </w:tcPr>
          <w:p w14:paraId="326EB22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《安全生产法》</w:t>
            </w:r>
          </w:p>
          <w:p w14:paraId="292C6BE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color w:val="auto"/>
                <w:sz w:val="21"/>
                <w:szCs w:val="21"/>
                <w:vertAlign w:val="baseline"/>
                <w:lang w:val="en-US" w:eastAsia="zh-CN"/>
              </w:rPr>
              <w:t>第二十七条</w:t>
            </w:r>
          </w:p>
        </w:tc>
        <w:tc>
          <w:tcPr>
            <w:tcW w:w="894" w:type="dxa"/>
            <w:shd w:val="clear" w:color="auto" w:fill="auto"/>
            <w:vAlign w:val="center"/>
          </w:tcPr>
          <w:p w14:paraId="620FDD21">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6F149B8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效证件</w:t>
            </w:r>
          </w:p>
        </w:tc>
        <w:tc>
          <w:tcPr>
            <w:tcW w:w="957" w:type="dxa"/>
            <w:shd w:val="clear" w:color="auto" w:fill="auto"/>
            <w:vAlign w:val="center"/>
          </w:tcPr>
          <w:p w14:paraId="4B2E46E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已报名参加培训</w:t>
            </w:r>
          </w:p>
        </w:tc>
        <w:tc>
          <w:tcPr>
            <w:tcW w:w="669" w:type="dxa"/>
            <w:shd w:val="clear" w:color="auto" w:fill="auto"/>
            <w:vAlign w:val="center"/>
          </w:tcPr>
          <w:p w14:paraId="243E282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w:t>
            </w:r>
          </w:p>
        </w:tc>
        <w:tc>
          <w:tcPr>
            <w:tcW w:w="847" w:type="dxa"/>
            <w:shd w:val="clear" w:color="auto" w:fill="auto"/>
            <w:vAlign w:val="center"/>
          </w:tcPr>
          <w:p w14:paraId="242C0FB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否决项</w:t>
            </w:r>
          </w:p>
        </w:tc>
        <w:tc>
          <w:tcPr>
            <w:tcW w:w="642" w:type="dxa"/>
            <w:shd w:val="clear" w:color="auto" w:fill="auto"/>
            <w:vAlign w:val="center"/>
          </w:tcPr>
          <w:p w14:paraId="13DD966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w:t>
            </w:r>
          </w:p>
        </w:tc>
      </w:tr>
      <w:tr w14:paraId="376A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972" w:type="dxa"/>
            <w:vMerge w:val="continue"/>
            <w:shd w:val="clear" w:color="auto" w:fill="auto"/>
            <w:vAlign w:val="center"/>
          </w:tcPr>
          <w:p w14:paraId="69CB400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2444" w:type="dxa"/>
            <w:shd w:val="clear" w:color="auto" w:fill="auto"/>
            <w:vAlign w:val="center"/>
          </w:tcPr>
          <w:p w14:paraId="1A7D913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1.7 特种作业人员上岗资格证</w:t>
            </w:r>
          </w:p>
        </w:tc>
        <w:tc>
          <w:tcPr>
            <w:tcW w:w="1863" w:type="dxa"/>
            <w:shd w:val="clear" w:color="auto" w:fill="auto"/>
            <w:vAlign w:val="center"/>
          </w:tcPr>
          <w:p w14:paraId="1F3ACD7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《安全生产法》</w:t>
            </w:r>
          </w:p>
          <w:p w14:paraId="3AAC87B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第三十条</w:t>
            </w:r>
          </w:p>
        </w:tc>
        <w:tc>
          <w:tcPr>
            <w:tcW w:w="894" w:type="dxa"/>
            <w:shd w:val="clear" w:color="auto" w:fill="auto"/>
            <w:vAlign w:val="center"/>
          </w:tcPr>
          <w:p w14:paraId="1E78BBFF">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2914D33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效证件</w:t>
            </w:r>
          </w:p>
        </w:tc>
        <w:tc>
          <w:tcPr>
            <w:tcW w:w="957" w:type="dxa"/>
            <w:shd w:val="clear" w:color="auto" w:fill="auto"/>
            <w:vAlign w:val="center"/>
          </w:tcPr>
          <w:p w14:paraId="163DD84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根据需要</w:t>
            </w:r>
            <w:r>
              <w:rPr>
                <w:rFonts w:hint="default" w:ascii="Times New Roman" w:hAnsi="Times New Roman" w:eastAsia="宋体" w:cs="Times New Roman"/>
                <w:color w:val="auto"/>
                <w:kern w:val="2"/>
                <w:sz w:val="21"/>
                <w:szCs w:val="21"/>
                <w:vertAlign w:val="baseline"/>
                <w:lang w:val="en-US" w:eastAsia="zh-CN" w:bidi="ar-SA"/>
              </w:rPr>
              <w:t>委外</w:t>
            </w:r>
          </w:p>
        </w:tc>
        <w:tc>
          <w:tcPr>
            <w:tcW w:w="669" w:type="dxa"/>
            <w:shd w:val="clear" w:color="auto" w:fill="auto"/>
            <w:vAlign w:val="center"/>
          </w:tcPr>
          <w:p w14:paraId="24B136F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w:t>
            </w:r>
          </w:p>
        </w:tc>
        <w:tc>
          <w:tcPr>
            <w:tcW w:w="847" w:type="dxa"/>
            <w:shd w:val="clear" w:color="auto" w:fill="auto"/>
            <w:vAlign w:val="center"/>
          </w:tcPr>
          <w:p w14:paraId="119C3ED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否决项</w:t>
            </w:r>
          </w:p>
        </w:tc>
        <w:tc>
          <w:tcPr>
            <w:tcW w:w="642" w:type="dxa"/>
            <w:shd w:val="clear" w:color="auto" w:fill="auto"/>
            <w:vAlign w:val="center"/>
          </w:tcPr>
          <w:p w14:paraId="4DC1A16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w:t>
            </w:r>
          </w:p>
        </w:tc>
      </w:tr>
      <w:tr w14:paraId="7503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72" w:type="dxa"/>
            <w:vMerge w:val="continue"/>
            <w:shd w:val="clear" w:color="auto" w:fill="auto"/>
            <w:vAlign w:val="center"/>
          </w:tcPr>
          <w:p w14:paraId="59590BA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2444" w:type="dxa"/>
            <w:shd w:val="clear" w:color="auto" w:fill="auto"/>
            <w:vAlign w:val="center"/>
          </w:tcPr>
          <w:p w14:paraId="383D5E8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1.8 从业人员应当进行安全生产教育和培训，未经安全生产教育和培训合格的从业人员，不得上岗作业</w:t>
            </w:r>
          </w:p>
        </w:tc>
        <w:tc>
          <w:tcPr>
            <w:tcW w:w="1863" w:type="dxa"/>
            <w:shd w:val="clear" w:color="auto" w:fill="auto"/>
            <w:vAlign w:val="center"/>
          </w:tcPr>
          <w:p w14:paraId="5C60C6A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《安全生产法》</w:t>
            </w:r>
          </w:p>
          <w:p w14:paraId="25CA617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第二十八条</w:t>
            </w:r>
          </w:p>
        </w:tc>
        <w:tc>
          <w:tcPr>
            <w:tcW w:w="894" w:type="dxa"/>
            <w:shd w:val="clear" w:color="auto" w:fill="auto"/>
            <w:vAlign w:val="center"/>
          </w:tcPr>
          <w:p w14:paraId="552146A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w:t>
            </w:r>
            <w:r>
              <w:rPr>
                <w:rFonts w:hint="eastAsia" w:ascii="Times New Roman" w:hAnsi="Times New Roman" w:eastAsia="宋体" w:cs="Times New Roman"/>
                <w:color w:val="auto"/>
                <w:kern w:val="2"/>
                <w:sz w:val="21"/>
                <w:szCs w:val="21"/>
                <w:vertAlign w:val="baseline"/>
                <w:lang w:val="en-US" w:eastAsia="zh-CN" w:bidi="ar-SA"/>
              </w:rPr>
              <w:t>培训记录</w:t>
            </w:r>
          </w:p>
        </w:tc>
        <w:tc>
          <w:tcPr>
            <w:tcW w:w="957" w:type="dxa"/>
            <w:shd w:val="clear" w:color="auto" w:fill="auto"/>
            <w:vAlign w:val="center"/>
          </w:tcPr>
          <w:p w14:paraId="4309009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合格</w:t>
            </w:r>
          </w:p>
        </w:tc>
        <w:tc>
          <w:tcPr>
            <w:tcW w:w="669" w:type="dxa"/>
            <w:shd w:val="clear" w:color="auto" w:fill="auto"/>
            <w:vAlign w:val="center"/>
          </w:tcPr>
          <w:p w14:paraId="1D82450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w:t>
            </w:r>
          </w:p>
        </w:tc>
        <w:tc>
          <w:tcPr>
            <w:tcW w:w="847" w:type="dxa"/>
            <w:shd w:val="clear" w:color="auto" w:fill="auto"/>
            <w:vAlign w:val="center"/>
          </w:tcPr>
          <w:p w14:paraId="5D8C192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否决项</w:t>
            </w:r>
          </w:p>
        </w:tc>
        <w:tc>
          <w:tcPr>
            <w:tcW w:w="642" w:type="dxa"/>
            <w:shd w:val="clear" w:color="auto" w:fill="auto"/>
            <w:vAlign w:val="center"/>
          </w:tcPr>
          <w:p w14:paraId="68A7A04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w:t>
            </w:r>
          </w:p>
        </w:tc>
      </w:tr>
      <w:tr w14:paraId="5102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972" w:type="dxa"/>
            <w:vMerge w:val="continue"/>
            <w:shd w:val="clear" w:color="auto" w:fill="auto"/>
            <w:vAlign w:val="center"/>
          </w:tcPr>
          <w:p w14:paraId="7A5CB65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2444" w:type="dxa"/>
            <w:shd w:val="clear" w:color="auto" w:fill="auto"/>
            <w:vAlign w:val="center"/>
          </w:tcPr>
          <w:p w14:paraId="5EBE644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1.9 危险化学品安全使用许可证</w:t>
            </w:r>
          </w:p>
        </w:tc>
        <w:tc>
          <w:tcPr>
            <w:tcW w:w="1863" w:type="dxa"/>
            <w:shd w:val="clear" w:color="auto" w:fill="auto"/>
            <w:vAlign w:val="center"/>
          </w:tcPr>
          <w:p w14:paraId="02C35AF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《危险化学品安全管理条例》第六条</w:t>
            </w:r>
          </w:p>
        </w:tc>
        <w:tc>
          <w:tcPr>
            <w:tcW w:w="894" w:type="dxa"/>
            <w:shd w:val="clear" w:color="auto" w:fill="auto"/>
            <w:vAlign w:val="center"/>
          </w:tcPr>
          <w:p w14:paraId="635223D0">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5A51F0B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效证件</w:t>
            </w:r>
          </w:p>
        </w:tc>
        <w:tc>
          <w:tcPr>
            <w:tcW w:w="957" w:type="dxa"/>
            <w:shd w:val="clear" w:color="auto" w:fill="auto"/>
            <w:vAlign w:val="center"/>
          </w:tcPr>
          <w:p w14:paraId="44BB133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不涉及</w:t>
            </w:r>
          </w:p>
        </w:tc>
        <w:tc>
          <w:tcPr>
            <w:tcW w:w="669" w:type="dxa"/>
            <w:shd w:val="clear" w:color="auto" w:fill="auto"/>
            <w:vAlign w:val="center"/>
          </w:tcPr>
          <w:p w14:paraId="37E578C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w:t>
            </w:r>
          </w:p>
        </w:tc>
        <w:tc>
          <w:tcPr>
            <w:tcW w:w="847" w:type="dxa"/>
            <w:shd w:val="clear" w:color="auto" w:fill="auto"/>
            <w:vAlign w:val="center"/>
          </w:tcPr>
          <w:p w14:paraId="3089405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否决项</w:t>
            </w:r>
          </w:p>
        </w:tc>
        <w:tc>
          <w:tcPr>
            <w:tcW w:w="642" w:type="dxa"/>
            <w:shd w:val="clear" w:color="auto" w:fill="auto"/>
            <w:vAlign w:val="center"/>
          </w:tcPr>
          <w:p w14:paraId="1B411C8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w:t>
            </w:r>
          </w:p>
        </w:tc>
      </w:tr>
      <w:tr w14:paraId="20A6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972" w:type="dxa"/>
            <w:vMerge w:val="continue"/>
            <w:shd w:val="clear" w:color="auto" w:fill="auto"/>
            <w:vAlign w:val="center"/>
          </w:tcPr>
          <w:p w14:paraId="7605187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2444" w:type="dxa"/>
            <w:shd w:val="clear" w:color="auto" w:fill="auto"/>
            <w:vAlign w:val="center"/>
          </w:tcPr>
          <w:p w14:paraId="3CE5945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1.10 与承包的采掘施工单位签订采掘施工</w:t>
            </w:r>
            <w:r>
              <w:rPr>
                <w:rFonts w:hint="eastAsia" w:cs="Times New Roman"/>
                <w:color w:val="auto"/>
                <w:kern w:val="2"/>
                <w:sz w:val="21"/>
                <w:szCs w:val="21"/>
                <w:vertAlign w:val="baseline"/>
                <w:lang w:val="en-US" w:eastAsia="zh-CN" w:bidi="ar-SA"/>
              </w:rPr>
              <w:t>合同</w:t>
            </w:r>
          </w:p>
        </w:tc>
        <w:tc>
          <w:tcPr>
            <w:tcW w:w="1863" w:type="dxa"/>
            <w:shd w:val="clear" w:color="auto" w:fill="auto"/>
            <w:vAlign w:val="center"/>
          </w:tcPr>
          <w:p w14:paraId="3869833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《安全生产法》</w:t>
            </w:r>
          </w:p>
          <w:p w14:paraId="3FE70DF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第四十</w:t>
            </w:r>
            <w:r>
              <w:rPr>
                <w:rFonts w:hint="eastAsia" w:cs="Times New Roman"/>
                <w:color w:val="auto"/>
                <w:kern w:val="2"/>
                <w:sz w:val="21"/>
                <w:szCs w:val="21"/>
                <w:vertAlign w:val="baseline"/>
                <w:lang w:val="en-US" w:eastAsia="zh-CN" w:bidi="ar-SA"/>
              </w:rPr>
              <w:t>九</w:t>
            </w:r>
            <w:r>
              <w:rPr>
                <w:rFonts w:hint="default" w:ascii="Times New Roman" w:hAnsi="Times New Roman" w:eastAsia="宋体" w:cs="Times New Roman"/>
                <w:color w:val="auto"/>
                <w:kern w:val="2"/>
                <w:sz w:val="21"/>
                <w:szCs w:val="21"/>
                <w:vertAlign w:val="baseline"/>
                <w:lang w:val="en-US" w:eastAsia="zh-CN" w:bidi="ar-SA"/>
              </w:rPr>
              <w:t>条</w:t>
            </w:r>
          </w:p>
        </w:tc>
        <w:tc>
          <w:tcPr>
            <w:tcW w:w="894" w:type="dxa"/>
            <w:shd w:val="clear" w:color="auto" w:fill="auto"/>
            <w:vAlign w:val="center"/>
          </w:tcPr>
          <w:p w14:paraId="1D368624">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769DE90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效证件</w:t>
            </w:r>
          </w:p>
        </w:tc>
        <w:tc>
          <w:tcPr>
            <w:tcW w:w="957" w:type="dxa"/>
            <w:shd w:val="clear" w:color="auto" w:fill="auto"/>
            <w:vAlign w:val="center"/>
          </w:tcPr>
          <w:p w14:paraId="02FF8EB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不涉及</w:t>
            </w:r>
          </w:p>
        </w:tc>
        <w:tc>
          <w:tcPr>
            <w:tcW w:w="669" w:type="dxa"/>
            <w:shd w:val="clear" w:color="auto" w:fill="auto"/>
            <w:vAlign w:val="center"/>
          </w:tcPr>
          <w:p w14:paraId="0DEAB49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w:t>
            </w:r>
          </w:p>
        </w:tc>
        <w:tc>
          <w:tcPr>
            <w:tcW w:w="847" w:type="dxa"/>
            <w:shd w:val="clear" w:color="auto" w:fill="auto"/>
            <w:vAlign w:val="center"/>
          </w:tcPr>
          <w:p w14:paraId="56F38D0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否决项</w:t>
            </w:r>
          </w:p>
        </w:tc>
        <w:tc>
          <w:tcPr>
            <w:tcW w:w="642" w:type="dxa"/>
            <w:shd w:val="clear" w:color="auto" w:fill="auto"/>
            <w:vAlign w:val="center"/>
          </w:tcPr>
          <w:p w14:paraId="72AEE6A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w:t>
            </w:r>
          </w:p>
        </w:tc>
      </w:tr>
      <w:tr w14:paraId="62F6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972" w:type="dxa"/>
            <w:vMerge w:val="continue"/>
            <w:shd w:val="clear" w:color="auto" w:fill="auto"/>
            <w:vAlign w:val="center"/>
          </w:tcPr>
          <w:p w14:paraId="38359DF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2444" w:type="dxa"/>
            <w:shd w:val="clear" w:color="auto" w:fill="auto"/>
            <w:vAlign w:val="center"/>
          </w:tcPr>
          <w:p w14:paraId="775F798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1.11</w:t>
            </w:r>
            <w:r>
              <w:rPr>
                <w:rFonts w:hint="default" w:ascii="Times New Roman" w:hAnsi="Times New Roman" w:eastAsia="宋体" w:cs="Times New Roman"/>
                <w:color w:val="auto"/>
                <w:kern w:val="2"/>
                <w:sz w:val="21"/>
                <w:szCs w:val="21"/>
                <w:vertAlign w:val="baseline"/>
                <w:lang w:val="en-US" w:eastAsia="zh-CN" w:bidi="ar-SA"/>
              </w:rPr>
              <w:t xml:space="preserve"> 与外包单位签订安全生产管理协议</w:t>
            </w:r>
          </w:p>
        </w:tc>
        <w:tc>
          <w:tcPr>
            <w:tcW w:w="1863" w:type="dxa"/>
            <w:shd w:val="clear" w:color="auto" w:fill="auto"/>
            <w:vAlign w:val="center"/>
          </w:tcPr>
          <w:p w14:paraId="7A77A85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《安全生产法》</w:t>
            </w:r>
          </w:p>
          <w:p w14:paraId="65C653F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第四十</w:t>
            </w:r>
            <w:r>
              <w:rPr>
                <w:rFonts w:hint="eastAsia" w:ascii="Times New Roman" w:hAnsi="Times New Roman" w:eastAsia="宋体" w:cs="Times New Roman"/>
                <w:color w:val="auto"/>
                <w:kern w:val="2"/>
                <w:sz w:val="21"/>
                <w:szCs w:val="21"/>
                <w:vertAlign w:val="baseline"/>
                <w:lang w:val="en-US" w:eastAsia="zh-CN" w:bidi="ar-SA"/>
              </w:rPr>
              <w:t>九</w:t>
            </w:r>
            <w:r>
              <w:rPr>
                <w:rFonts w:hint="default" w:ascii="Times New Roman" w:hAnsi="Times New Roman" w:eastAsia="宋体" w:cs="Times New Roman"/>
                <w:color w:val="auto"/>
                <w:kern w:val="2"/>
                <w:sz w:val="21"/>
                <w:szCs w:val="21"/>
                <w:vertAlign w:val="baseline"/>
                <w:lang w:val="en-US" w:eastAsia="zh-CN" w:bidi="ar-SA"/>
              </w:rPr>
              <w:t>条</w:t>
            </w:r>
          </w:p>
        </w:tc>
        <w:tc>
          <w:tcPr>
            <w:tcW w:w="894" w:type="dxa"/>
            <w:shd w:val="clear" w:color="auto" w:fill="auto"/>
            <w:vAlign w:val="center"/>
          </w:tcPr>
          <w:p w14:paraId="0B04BBD8">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6D582B2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效证件</w:t>
            </w:r>
          </w:p>
        </w:tc>
        <w:tc>
          <w:tcPr>
            <w:tcW w:w="957" w:type="dxa"/>
            <w:shd w:val="clear" w:color="auto" w:fill="auto"/>
            <w:vAlign w:val="center"/>
          </w:tcPr>
          <w:p w14:paraId="422D282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合格</w:t>
            </w:r>
          </w:p>
        </w:tc>
        <w:tc>
          <w:tcPr>
            <w:tcW w:w="669" w:type="dxa"/>
            <w:shd w:val="clear" w:color="auto" w:fill="auto"/>
            <w:vAlign w:val="center"/>
          </w:tcPr>
          <w:p w14:paraId="4A9A22D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w:t>
            </w:r>
          </w:p>
        </w:tc>
        <w:tc>
          <w:tcPr>
            <w:tcW w:w="847" w:type="dxa"/>
            <w:shd w:val="clear" w:color="auto" w:fill="auto"/>
            <w:vAlign w:val="center"/>
          </w:tcPr>
          <w:p w14:paraId="71BB0CE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否决项</w:t>
            </w:r>
          </w:p>
        </w:tc>
        <w:tc>
          <w:tcPr>
            <w:tcW w:w="642" w:type="dxa"/>
            <w:shd w:val="clear" w:color="auto" w:fill="auto"/>
            <w:vAlign w:val="center"/>
          </w:tcPr>
          <w:p w14:paraId="2B78E0F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w:t>
            </w:r>
          </w:p>
        </w:tc>
      </w:tr>
      <w:tr w14:paraId="6CDB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972" w:type="dxa"/>
            <w:vMerge w:val="continue"/>
            <w:shd w:val="clear" w:color="auto" w:fill="auto"/>
            <w:vAlign w:val="center"/>
          </w:tcPr>
          <w:p w14:paraId="23262C2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2444" w:type="dxa"/>
            <w:shd w:val="clear" w:color="auto" w:fill="auto"/>
            <w:vAlign w:val="center"/>
          </w:tcPr>
          <w:p w14:paraId="40B9FDC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1.12</w:t>
            </w:r>
            <w:r>
              <w:rPr>
                <w:rFonts w:hint="default" w:ascii="Times New Roman" w:hAnsi="Times New Roman" w:eastAsia="宋体" w:cs="Times New Roman"/>
                <w:color w:val="auto"/>
                <w:kern w:val="2"/>
                <w:sz w:val="21"/>
                <w:szCs w:val="21"/>
                <w:vertAlign w:val="baseline"/>
                <w:lang w:val="en-US" w:eastAsia="zh-CN" w:bidi="ar-SA"/>
              </w:rPr>
              <w:t xml:space="preserve"> </w:t>
            </w:r>
            <w:r>
              <w:rPr>
                <w:rFonts w:hint="eastAsia" w:ascii="Times New Roman" w:hAnsi="Times New Roman" w:eastAsia="宋体" w:cs="Times New Roman"/>
                <w:color w:val="auto"/>
                <w:kern w:val="2"/>
                <w:sz w:val="21"/>
                <w:szCs w:val="21"/>
                <w:vertAlign w:val="baseline"/>
                <w:lang w:val="en-US" w:eastAsia="zh-CN" w:bidi="ar-SA"/>
              </w:rPr>
              <w:t>企业安全生产标准化建设</w:t>
            </w:r>
          </w:p>
        </w:tc>
        <w:tc>
          <w:tcPr>
            <w:tcW w:w="1863" w:type="dxa"/>
            <w:shd w:val="clear" w:color="auto" w:fill="auto"/>
            <w:vAlign w:val="center"/>
          </w:tcPr>
          <w:p w14:paraId="03886EE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《安全生产法》第四条</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《关于进一步加强非煤矿山安全生产标准化建设工作的通知》赣安监管一字</w:t>
            </w:r>
          </w:p>
          <w:p w14:paraId="5229DBA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微软雅黑" w:hAnsi="Times New Roman" w:eastAsia="微软雅黑" w:cs="微软雅黑"/>
                <w:color w:val="auto"/>
                <w:spacing w:val="-11"/>
                <w:kern w:val="2"/>
                <w:sz w:val="21"/>
                <w:szCs w:val="21"/>
                <w:lang w:val="en-US" w:eastAsia="zh-CN" w:bidi="ar-SA"/>
              </w:rPr>
              <w:t>〔</w:t>
            </w:r>
            <w:r>
              <w:rPr>
                <w:rFonts w:hint="eastAsia" w:ascii="Times New Roman" w:hAnsi="Times New Roman" w:eastAsia="宋体" w:cs="Times New Roman"/>
                <w:color w:val="auto"/>
                <w:spacing w:val="-11"/>
                <w:kern w:val="2"/>
                <w:sz w:val="21"/>
                <w:szCs w:val="21"/>
                <w:lang w:val="en-US" w:eastAsia="zh-CN" w:bidi="ar-SA"/>
              </w:rPr>
              <w:t>20</w:t>
            </w:r>
            <w:r>
              <w:rPr>
                <w:rFonts w:hint="eastAsia" w:cs="Times New Roman"/>
                <w:color w:val="auto"/>
                <w:spacing w:val="-11"/>
                <w:kern w:val="2"/>
                <w:sz w:val="21"/>
                <w:szCs w:val="21"/>
                <w:lang w:val="en-US" w:eastAsia="zh-CN" w:bidi="ar-SA"/>
              </w:rPr>
              <w:t>11</w:t>
            </w:r>
            <w:r>
              <w:rPr>
                <w:rFonts w:hint="eastAsia" w:ascii="微软雅黑" w:hAnsi="Times New Roman" w:eastAsia="微软雅黑" w:cs="微软雅黑"/>
                <w:color w:val="auto"/>
                <w:spacing w:val="-11"/>
                <w:kern w:val="2"/>
                <w:sz w:val="21"/>
                <w:szCs w:val="21"/>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261号</w:t>
            </w:r>
          </w:p>
        </w:tc>
        <w:tc>
          <w:tcPr>
            <w:tcW w:w="894" w:type="dxa"/>
            <w:shd w:val="clear" w:color="auto" w:fill="auto"/>
            <w:vAlign w:val="center"/>
          </w:tcPr>
          <w:p w14:paraId="6371BE7A">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50C1BF6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效证件</w:t>
            </w:r>
          </w:p>
        </w:tc>
        <w:tc>
          <w:tcPr>
            <w:tcW w:w="957" w:type="dxa"/>
            <w:shd w:val="clear" w:color="auto" w:fill="auto"/>
            <w:vAlign w:val="center"/>
          </w:tcPr>
          <w:p w14:paraId="25C3188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已到期，已暂停定级相关工作</w:t>
            </w:r>
          </w:p>
        </w:tc>
        <w:tc>
          <w:tcPr>
            <w:tcW w:w="669" w:type="dxa"/>
            <w:shd w:val="clear" w:color="auto" w:fill="auto"/>
            <w:vAlign w:val="center"/>
          </w:tcPr>
          <w:p w14:paraId="352BA6F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w:t>
            </w:r>
          </w:p>
        </w:tc>
        <w:tc>
          <w:tcPr>
            <w:tcW w:w="847" w:type="dxa"/>
            <w:shd w:val="clear" w:color="auto" w:fill="auto"/>
            <w:vAlign w:val="center"/>
          </w:tcPr>
          <w:p w14:paraId="12901CA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否决项</w:t>
            </w:r>
          </w:p>
        </w:tc>
        <w:tc>
          <w:tcPr>
            <w:tcW w:w="642" w:type="dxa"/>
            <w:shd w:val="clear" w:color="auto" w:fill="auto"/>
            <w:vAlign w:val="center"/>
          </w:tcPr>
          <w:p w14:paraId="2FF821D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w:t>
            </w:r>
          </w:p>
        </w:tc>
      </w:tr>
      <w:tr w14:paraId="4B0D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972" w:type="dxa"/>
            <w:vMerge w:val="restart"/>
            <w:shd w:val="clear" w:color="auto" w:fill="auto"/>
            <w:vAlign w:val="center"/>
          </w:tcPr>
          <w:p w14:paraId="7FDDB56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w:t>
            </w:r>
            <w:r>
              <w:rPr>
                <w:rFonts w:hint="eastAsia"/>
                <w:color w:val="auto"/>
                <w:sz w:val="21"/>
                <w:szCs w:val="21"/>
                <w:vertAlign w:val="baseline"/>
                <w:lang w:val="en-US" w:eastAsia="zh-CN"/>
              </w:rPr>
              <w:t xml:space="preserve">. </w:t>
            </w:r>
            <w:r>
              <w:rPr>
                <w:rFonts w:hint="default" w:ascii="Times New Roman" w:hAnsi="Times New Roman" w:eastAsia="宋体" w:cs="Times New Roman"/>
                <w:color w:val="auto"/>
                <w:kern w:val="2"/>
                <w:sz w:val="21"/>
                <w:szCs w:val="21"/>
                <w:vertAlign w:val="baseline"/>
                <w:lang w:val="en-US" w:eastAsia="zh-CN" w:bidi="ar-SA"/>
              </w:rPr>
              <w:t>安全生产管理体系和制度建设</w:t>
            </w:r>
          </w:p>
        </w:tc>
        <w:tc>
          <w:tcPr>
            <w:tcW w:w="2444" w:type="dxa"/>
            <w:shd w:val="clear" w:color="auto" w:fill="auto"/>
            <w:vAlign w:val="center"/>
          </w:tcPr>
          <w:p w14:paraId="4EB71B6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2.1 应建立安全生产管理体系</w:t>
            </w:r>
          </w:p>
        </w:tc>
        <w:tc>
          <w:tcPr>
            <w:tcW w:w="1863" w:type="dxa"/>
            <w:shd w:val="clear" w:color="auto" w:fill="auto"/>
            <w:vAlign w:val="center"/>
          </w:tcPr>
          <w:p w14:paraId="736D19C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《安全生产法》</w:t>
            </w:r>
          </w:p>
          <w:p w14:paraId="2612101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第二十四条</w:t>
            </w:r>
          </w:p>
        </w:tc>
        <w:tc>
          <w:tcPr>
            <w:tcW w:w="894" w:type="dxa"/>
            <w:shd w:val="clear" w:color="auto" w:fill="auto"/>
            <w:vAlign w:val="center"/>
          </w:tcPr>
          <w:p w14:paraId="429649FA">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04689ED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效证件</w:t>
            </w:r>
          </w:p>
        </w:tc>
        <w:tc>
          <w:tcPr>
            <w:tcW w:w="957" w:type="dxa"/>
            <w:shd w:val="clear" w:color="auto" w:fill="auto"/>
            <w:vAlign w:val="center"/>
          </w:tcPr>
          <w:p w14:paraId="2F4C675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已建立</w:t>
            </w:r>
          </w:p>
        </w:tc>
        <w:tc>
          <w:tcPr>
            <w:tcW w:w="669" w:type="dxa"/>
            <w:shd w:val="clear" w:color="auto" w:fill="auto"/>
            <w:vAlign w:val="center"/>
          </w:tcPr>
          <w:p w14:paraId="5DD75E6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w:t>
            </w:r>
          </w:p>
        </w:tc>
        <w:tc>
          <w:tcPr>
            <w:tcW w:w="847" w:type="dxa"/>
            <w:shd w:val="clear" w:color="auto" w:fill="auto"/>
            <w:vAlign w:val="center"/>
          </w:tcPr>
          <w:p w14:paraId="1ED4B37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未建立不得分</w:t>
            </w:r>
          </w:p>
        </w:tc>
        <w:tc>
          <w:tcPr>
            <w:tcW w:w="642" w:type="dxa"/>
            <w:shd w:val="clear" w:color="auto" w:fill="auto"/>
            <w:vAlign w:val="center"/>
          </w:tcPr>
          <w:p w14:paraId="399FC44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w:t>
            </w:r>
          </w:p>
        </w:tc>
      </w:tr>
      <w:tr w14:paraId="327C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shd w:val="clear" w:color="auto" w:fill="auto"/>
            <w:vAlign w:val="center"/>
          </w:tcPr>
          <w:p w14:paraId="588B119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2444" w:type="dxa"/>
            <w:shd w:val="clear" w:color="auto" w:fill="auto"/>
            <w:vAlign w:val="center"/>
          </w:tcPr>
          <w:p w14:paraId="7AF189C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2.2 设置安全管理机构或配备专职人员</w:t>
            </w:r>
          </w:p>
        </w:tc>
        <w:tc>
          <w:tcPr>
            <w:tcW w:w="1863" w:type="dxa"/>
            <w:shd w:val="clear" w:color="auto" w:fill="auto"/>
            <w:vAlign w:val="center"/>
          </w:tcPr>
          <w:p w14:paraId="053716F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《安全生产法》</w:t>
            </w:r>
          </w:p>
          <w:p w14:paraId="4C4D9FE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第二十四条</w:t>
            </w:r>
          </w:p>
        </w:tc>
        <w:tc>
          <w:tcPr>
            <w:tcW w:w="894" w:type="dxa"/>
            <w:shd w:val="clear" w:color="auto" w:fill="auto"/>
            <w:vAlign w:val="center"/>
          </w:tcPr>
          <w:p w14:paraId="13378406">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5209C04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效证件</w:t>
            </w:r>
          </w:p>
        </w:tc>
        <w:tc>
          <w:tcPr>
            <w:tcW w:w="957" w:type="dxa"/>
            <w:shd w:val="clear" w:color="auto" w:fill="auto"/>
            <w:vAlign w:val="center"/>
          </w:tcPr>
          <w:p w14:paraId="704837C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已设置和配备</w:t>
            </w:r>
          </w:p>
        </w:tc>
        <w:tc>
          <w:tcPr>
            <w:tcW w:w="669" w:type="dxa"/>
            <w:shd w:val="clear" w:color="auto" w:fill="auto"/>
            <w:vAlign w:val="center"/>
          </w:tcPr>
          <w:p w14:paraId="1665472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w:t>
            </w:r>
          </w:p>
        </w:tc>
        <w:tc>
          <w:tcPr>
            <w:tcW w:w="847" w:type="dxa"/>
            <w:shd w:val="clear" w:color="auto" w:fill="auto"/>
            <w:vAlign w:val="center"/>
          </w:tcPr>
          <w:p w14:paraId="689764A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未建立不得分</w:t>
            </w:r>
          </w:p>
        </w:tc>
        <w:tc>
          <w:tcPr>
            <w:tcW w:w="642" w:type="dxa"/>
            <w:shd w:val="clear" w:color="auto" w:fill="auto"/>
            <w:vAlign w:val="center"/>
          </w:tcPr>
          <w:p w14:paraId="5BF0BCE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w:t>
            </w:r>
          </w:p>
        </w:tc>
      </w:tr>
      <w:tr w14:paraId="4413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shd w:val="clear" w:color="auto" w:fill="auto"/>
            <w:vAlign w:val="center"/>
          </w:tcPr>
          <w:p w14:paraId="10B8C83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2444" w:type="dxa"/>
            <w:shd w:val="clear" w:color="auto" w:fill="auto"/>
            <w:vAlign w:val="center"/>
          </w:tcPr>
          <w:p w14:paraId="10CB8D4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2.3 专职安全生产管理人员数量露天矿山应当不少于2人</w:t>
            </w:r>
          </w:p>
        </w:tc>
        <w:tc>
          <w:tcPr>
            <w:tcW w:w="1863" w:type="dxa"/>
            <w:shd w:val="clear" w:color="auto" w:fill="auto"/>
            <w:vAlign w:val="center"/>
          </w:tcPr>
          <w:p w14:paraId="454FCAA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矿安[2022]4号</w:t>
            </w:r>
          </w:p>
          <w:p w14:paraId="21566E1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第（十）条</w:t>
            </w:r>
          </w:p>
        </w:tc>
        <w:tc>
          <w:tcPr>
            <w:tcW w:w="894" w:type="dxa"/>
            <w:shd w:val="clear" w:color="auto" w:fill="auto"/>
            <w:vAlign w:val="center"/>
          </w:tcPr>
          <w:p w14:paraId="6D9FE12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查有效证件、证书</w:t>
            </w:r>
          </w:p>
        </w:tc>
        <w:tc>
          <w:tcPr>
            <w:tcW w:w="957" w:type="dxa"/>
            <w:shd w:val="clear" w:color="auto" w:fill="auto"/>
            <w:vAlign w:val="center"/>
          </w:tcPr>
          <w:p w14:paraId="1735294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满足</w:t>
            </w:r>
          </w:p>
        </w:tc>
        <w:tc>
          <w:tcPr>
            <w:tcW w:w="669" w:type="dxa"/>
            <w:shd w:val="clear" w:color="auto" w:fill="auto"/>
            <w:vAlign w:val="center"/>
          </w:tcPr>
          <w:p w14:paraId="4F3ED6F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c>
          <w:tcPr>
            <w:tcW w:w="847" w:type="dxa"/>
            <w:shd w:val="clear" w:color="auto" w:fill="auto"/>
            <w:vAlign w:val="center"/>
          </w:tcPr>
          <w:p w14:paraId="3873B49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未建立不得分</w:t>
            </w:r>
          </w:p>
        </w:tc>
        <w:tc>
          <w:tcPr>
            <w:tcW w:w="642" w:type="dxa"/>
            <w:shd w:val="clear" w:color="auto" w:fill="auto"/>
            <w:vAlign w:val="center"/>
          </w:tcPr>
          <w:p w14:paraId="607DA2F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r>
      <w:tr w14:paraId="5D18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shd w:val="clear" w:color="auto" w:fill="auto"/>
            <w:vAlign w:val="center"/>
          </w:tcPr>
          <w:p w14:paraId="668B126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2444" w:type="dxa"/>
            <w:shd w:val="clear" w:color="auto" w:fill="auto"/>
            <w:vAlign w:val="center"/>
          </w:tcPr>
          <w:p w14:paraId="7EED653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2.4 应当有注册安全工程从事安全生产管理工作</w:t>
            </w:r>
          </w:p>
        </w:tc>
        <w:tc>
          <w:tcPr>
            <w:tcW w:w="1863" w:type="dxa"/>
            <w:shd w:val="clear" w:color="auto" w:fill="auto"/>
            <w:vAlign w:val="center"/>
          </w:tcPr>
          <w:p w14:paraId="097CDDB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《安全生产法》</w:t>
            </w:r>
          </w:p>
          <w:p w14:paraId="5ED3152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第二十</w:t>
            </w:r>
            <w:r>
              <w:rPr>
                <w:rFonts w:hint="eastAsia" w:ascii="Times New Roman" w:hAnsi="Times New Roman" w:eastAsia="宋体" w:cs="Times New Roman"/>
                <w:color w:val="auto"/>
                <w:kern w:val="2"/>
                <w:sz w:val="21"/>
                <w:szCs w:val="21"/>
                <w:vertAlign w:val="baseline"/>
                <w:lang w:val="en-US" w:eastAsia="zh-CN" w:bidi="ar-SA"/>
              </w:rPr>
              <w:t>七</w:t>
            </w:r>
            <w:r>
              <w:rPr>
                <w:rFonts w:hint="default" w:ascii="Times New Roman" w:hAnsi="Times New Roman" w:eastAsia="宋体" w:cs="Times New Roman"/>
                <w:color w:val="auto"/>
                <w:kern w:val="2"/>
                <w:sz w:val="21"/>
                <w:szCs w:val="21"/>
                <w:vertAlign w:val="baseline"/>
                <w:lang w:val="en-US" w:eastAsia="zh-CN" w:bidi="ar-SA"/>
              </w:rPr>
              <w:t>条</w:t>
            </w:r>
          </w:p>
        </w:tc>
        <w:tc>
          <w:tcPr>
            <w:tcW w:w="894" w:type="dxa"/>
            <w:shd w:val="clear" w:color="auto" w:fill="auto"/>
            <w:vAlign w:val="center"/>
          </w:tcPr>
          <w:p w14:paraId="7189403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查有效证件、证书</w:t>
            </w:r>
          </w:p>
        </w:tc>
        <w:tc>
          <w:tcPr>
            <w:tcW w:w="957" w:type="dxa"/>
            <w:shd w:val="clear" w:color="auto" w:fill="auto"/>
            <w:vAlign w:val="center"/>
          </w:tcPr>
          <w:p w14:paraId="24085C6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无</w:t>
            </w:r>
          </w:p>
        </w:tc>
        <w:tc>
          <w:tcPr>
            <w:tcW w:w="669" w:type="dxa"/>
            <w:shd w:val="clear" w:color="auto" w:fill="auto"/>
            <w:vAlign w:val="center"/>
          </w:tcPr>
          <w:p w14:paraId="7782D88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w:t>
            </w:r>
          </w:p>
        </w:tc>
        <w:tc>
          <w:tcPr>
            <w:tcW w:w="847" w:type="dxa"/>
            <w:shd w:val="clear" w:color="auto" w:fill="auto"/>
            <w:vAlign w:val="center"/>
          </w:tcPr>
          <w:p w14:paraId="6C73681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42" w:type="dxa"/>
            <w:shd w:val="clear" w:color="auto" w:fill="auto"/>
            <w:vAlign w:val="center"/>
          </w:tcPr>
          <w:p w14:paraId="6EAACA9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0</w:t>
            </w:r>
          </w:p>
        </w:tc>
      </w:tr>
      <w:tr w14:paraId="50C5F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shd w:val="clear" w:color="auto" w:fill="auto"/>
            <w:vAlign w:val="center"/>
          </w:tcPr>
          <w:p w14:paraId="392A161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2444" w:type="dxa"/>
            <w:shd w:val="clear" w:color="auto" w:fill="auto"/>
            <w:vAlign w:val="center"/>
          </w:tcPr>
          <w:p w14:paraId="01CCCAD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2.5 露天矿山应当配备具有采矿、地质、机电等矿山相关专业中专及以上学历或者中级及以上技术职称的专职技术人员，每个专业至少配备1人</w:t>
            </w:r>
          </w:p>
        </w:tc>
        <w:tc>
          <w:tcPr>
            <w:tcW w:w="1863" w:type="dxa"/>
            <w:shd w:val="clear" w:color="auto" w:fill="auto"/>
            <w:vAlign w:val="center"/>
          </w:tcPr>
          <w:p w14:paraId="1607A92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矿安</w:t>
            </w:r>
            <w:r>
              <w:rPr>
                <w:rFonts w:hint="eastAsia" w:asciiTheme="minorEastAsia" w:hAnsiTheme="minorEastAsia" w:eastAsiaTheme="minorEastAsia" w:cstheme="minorEastAsia"/>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2022</w:t>
            </w:r>
            <w:r>
              <w:rPr>
                <w:rFonts w:hint="eastAsia" w:asciiTheme="minorEastAsia" w:hAnsiTheme="minorEastAsia" w:eastAsiaTheme="minorEastAsia" w:cstheme="minorEastAsia"/>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4号</w:t>
            </w:r>
          </w:p>
          <w:p w14:paraId="3D5A9CB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第（十</w:t>
            </w:r>
            <w:r>
              <w:rPr>
                <w:rFonts w:hint="eastAsia" w:ascii="Times New Roman" w:hAnsi="Times New Roman" w:eastAsia="宋体" w:cs="Times New Roman"/>
                <w:color w:val="auto"/>
                <w:kern w:val="2"/>
                <w:sz w:val="21"/>
                <w:szCs w:val="21"/>
                <w:vertAlign w:val="baseline"/>
                <w:lang w:val="en-US" w:eastAsia="zh-CN" w:bidi="ar-SA"/>
              </w:rPr>
              <w:t>一</w:t>
            </w:r>
            <w:r>
              <w:rPr>
                <w:rFonts w:hint="default" w:ascii="Times New Roman" w:hAnsi="Times New Roman" w:eastAsia="宋体" w:cs="Times New Roman"/>
                <w:color w:val="auto"/>
                <w:kern w:val="2"/>
                <w:sz w:val="21"/>
                <w:szCs w:val="21"/>
                <w:vertAlign w:val="baseline"/>
                <w:lang w:val="en-US" w:eastAsia="zh-CN" w:bidi="ar-SA"/>
              </w:rPr>
              <w:t>）条</w:t>
            </w:r>
          </w:p>
        </w:tc>
        <w:tc>
          <w:tcPr>
            <w:tcW w:w="894" w:type="dxa"/>
            <w:shd w:val="clear" w:color="auto" w:fill="auto"/>
            <w:vAlign w:val="center"/>
          </w:tcPr>
          <w:p w14:paraId="5058F50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查有效证件、证书</w:t>
            </w:r>
          </w:p>
        </w:tc>
        <w:tc>
          <w:tcPr>
            <w:tcW w:w="957" w:type="dxa"/>
            <w:shd w:val="clear" w:color="auto" w:fill="auto"/>
            <w:vAlign w:val="center"/>
          </w:tcPr>
          <w:p w14:paraId="03E686D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满足</w:t>
            </w:r>
          </w:p>
        </w:tc>
        <w:tc>
          <w:tcPr>
            <w:tcW w:w="669" w:type="dxa"/>
            <w:shd w:val="clear" w:color="auto" w:fill="auto"/>
            <w:vAlign w:val="center"/>
          </w:tcPr>
          <w:p w14:paraId="0A37032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6</w:t>
            </w:r>
          </w:p>
        </w:tc>
        <w:tc>
          <w:tcPr>
            <w:tcW w:w="847" w:type="dxa"/>
            <w:shd w:val="clear" w:color="auto" w:fill="auto"/>
            <w:vAlign w:val="center"/>
          </w:tcPr>
          <w:p w14:paraId="4738689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缺1项扣2分</w:t>
            </w:r>
          </w:p>
        </w:tc>
        <w:tc>
          <w:tcPr>
            <w:tcW w:w="642" w:type="dxa"/>
            <w:shd w:val="clear" w:color="auto" w:fill="auto"/>
            <w:vAlign w:val="center"/>
          </w:tcPr>
          <w:p w14:paraId="6642A6B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6</w:t>
            </w:r>
          </w:p>
        </w:tc>
      </w:tr>
      <w:tr w14:paraId="1B43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shd w:val="clear" w:color="auto" w:fill="auto"/>
            <w:vAlign w:val="center"/>
          </w:tcPr>
          <w:p w14:paraId="2B9F1D8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2444" w:type="dxa"/>
            <w:shd w:val="clear" w:color="auto" w:fill="auto"/>
            <w:vAlign w:val="center"/>
          </w:tcPr>
          <w:p w14:paraId="11DFB6B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2.6 建立和健全企业全员安全生产责任制，明确各岗位的责任人员、责任范围和考核标准等内容</w:t>
            </w:r>
          </w:p>
        </w:tc>
        <w:tc>
          <w:tcPr>
            <w:tcW w:w="1863" w:type="dxa"/>
            <w:shd w:val="clear" w:color="auto" w:fill="auto"/>
            <w:vAlign w:val="center"/>
          </w:tcPr>
          <w:p w14:paraId="20FC0E9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《安全生产法》</w:t>
            </w:r>
          </w:p>
          <w:p w14:paraId="4D48979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第二十</w:t>
            </w:r>
            <w:r>
              <w:rPr>
                <w:rFonts w:hint="eastAsia" w:ascii="Times New Roman" w:hAnsi="Times New Roman" w:eastAsia="宋体" w:cs="Times New Roman"/>
                <w:color w:val="auto"/>
                <w:kern w:val="2"/>
                <w:sz w:val="21"/>
                <w:szCs w:val="21"/>
                <w:vertAlign w:val="baseline"/>
                <w:lang w:val="en-US" w:eastAsia="zh-CN" w:bidi="ar-SA"/>
              </w:rPr>
              <w:t>二</w:t>
            </w:r>
            <w:r>
              <w:rPr>
                <w:rFonts w:hint="default" w:ascii="Times New Roman" w:hAnsi="Times New Roman" w:eastAsia="宋体" w:cs="Times New Roman"/>
                <w:color w:val="auto"/>
                <w:kern w:val="2"/>
                <w:sz w:val="21"/>
                <w:szCs w:val="21"/>
                <w:vertAlign w:val="baseline"/>
                <w:lang w:val="en-US" w:eastAsia="zh-CN" w:bidi="ar-SA"/>
              </w:rPr>
              <w:t>条</w:t>
            </w:r>
          </w:p>
        </w:tc>
        <w:tc>
          <w:tcPr>
            <w:tcW w:w="894" w:type="dxa"/>
            <w:shd w:val="clear" w:color="auto" w:fill="auto"/>
            <w:vAlign w:val="center"/>
          </w:tcPr>
          <w:p w14:paraId="308CD186">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0405C3A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效文件</w:t>
            </w:r>
          </w:p>
        </w:tc>
        <w:tc>
          <w:tcPr>
            <w:tcW w:w="957" w:type="dxa"/>
            <w:shd w:val="clear" w:color="auto" w:fill="auto"/>
            <w:vAlign w:val="center"/>
          </w:tcPr>
          <w:p w14:paraId="0F52B23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符合</w:t>
            </w:r>
          </w:p>
        </w:tc>
        <w:tc>
          <w:tcPr>
            <w:tcW w:w="669" w:type="dxa"/>
            <w:shd w:val="clear" w:color="auto" w:fill="auto"/>
            <w:vAlign w:val="center"/>
          </w:tcPr>
          <w:p w14:paraId="1966D94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c>
          <w:tcPr>
            <w:tcW w:w="847" w:type="dxa"/>
            <w:shd w:val="clear" w:color="auto" w:fill="auto"/>
            <w:vAlign w:val="center"/>
          </w:tcPr>
          <w:p w14:paraId="2CA2F5D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缺1项扣0.5分</w:t>
            </w:r>
          </w:p>
        </w:tc>
        <w:tc>
          <w:tcPr>
            <w:tcW w:w="642" w:type="dxa"/>
            <w:shd w:val="clear" w:color="auto" w:fill="auto"/>
            <w:vAlign w:val="center"/>
          </w:tcPr>
          <w:p w14:paraId="5B3112E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r>
      <w:tr w14:paraId="7A8C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972" w:type="dxa"/>
            <w:vMerge w:val="continue"/>
            <w:shd w:val="clear" w:color="auto" w:fill="auto"/>
            <w:vAlign w:val="center"/>
          </w:tcPr>
          <w:p w14:paraId="37B2B99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2444" w:type="dxa"/>
            <w:shd w:val="clear" w:color="auto" w:fill="auto"/>
            <w:vAlign w:val="center"/>
          </w:tcPr>
          <w:p w14:paraId="1ECB618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2.7 生产经营单位与从业人员订立劳动合同</w:t>
            </w:r>
          </w:p>
        </w:tc>
        <w:tc>
          <w:tcPr>
            <w:tcW w:w="1863" w:type="dxa"/>
            <w:shd w:val="clear" w:color="auto" w:fill="auto"/>
            <w:vAlign w:val="center"/>
          </w:tcPr>
          <w:p w14:paraId="4972E2C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《安全生产法》</w:t>
            </w:r>
          </w:p>
          <w:p w14:paraId="7869548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第五十二条</w:t>
            </w:r>
          </w:p>
        </w:tc>
        <w:tc>
          <w:tcPr>
            <w:tcW w:w="894" w:type="dxa"/>
            <w:shd w:val="clear" w:color="auto" w:fill="auto"/>
            <w:vAlign w:val="center"/>
          </w:tcPr>
          <w:p w14:paraId="35D7DEEE">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259F8FD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效文件</w:t>
            </w:r>
          </w:p>
        </w:tc>
        <w:tc>
          <w:tcPr>
            <w:tcW w:w="957" w:type="dxa"/>
            <w:shd w:val="clear" w:color="auto" w:fill="auto"/>
            <w:vAlign w:val="center"/>
          </w:tcPr>
          <w:p w14:paraId="507DE6A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已</w:t>
            </w:r>
            <w:r>
              <w:rPr>
                <w:rFonts w:hint="default" w:ascii="Times New Roman" w:hAnsi="Times New Roman" w:eastAsia="宋体" w:cs="Times New Roman"/>
                <w:color w:val="auto"/>
                <w:kern w:val="2"/>
                <w:sz w:val="21"/>
                <w:szCs w:val="21"/>
                <w:vertAlign w:val="baseline"/>
                <w:lang w:val="en-US" w:eastAsia="zh-CN" w:bidi="ar-SA"/>
              </w:rPr>
              <w:t>订立</w:t>
            </w:r>
          </w:p>
        </w:tc>
        <w:tc>
          <w:tcPr>
            <w:tcW w:w="669" w:type="dxa"/>
            <w:shd w:val="clear" w:color="auto" w:fill="auto"/>
            <w:vAlign w:val="center"/>
          </w:tcPr>
          <w:p w14:paraId="49CF64E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w:t>
            </w:r>
          </w:p>
        </w:tc>
        <w:tc>
          <w:tcPr>
            <w:tcW w:w="847" w:type="dxa"/>
            <w:shd w:val="clear" w:color="auto" w:fill="auto"/>
            <w:vAlign w:val="center"/>
          </w:tcPr>
          <w:p w14:paraId="63C976C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未签订不得分</w:t>
            </w:r>
          </w:p>
        </w:tc>
        <w:tc>
          <w:tcPr>
            <w:tcW w:w="642" w:type="dxa"/>
            <w:shd w:val="clear" w:color="auto" w:fill="auto"/>
            <w:vAlign w:val="center"/>
          </w:tcPr>
          <w:p w14:paraId="33FD91D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w:t>
            </w:r>
          </w:p>
        </w:tc>
      </w:tr>
      <w:tr w14:paraId="7BDD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972" w:type="dxa"/>
            <w:vMerge w:val="continue"/>
            <w:shd w:val="clear" w:color="auto" w:fill="auto"/>
            <w:vAlign w:val="center"/>
          </w:tcPr>
          <w:p w14:paraId="441BCAC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2444" w:type="dxa"/>
            <w:shd w:val="clear" w:color="auto" w:fill="auto"/>
            <w:vAlign w:val="center"/>
          </w:tcPr>
          <w:p w14:paraId="7B15A0A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2.8 落实各岗位安全生产责任制</w:t>
            </w:r>
          </w:p>
        </w:tc>
        <w:tc>
          <w:tcPr>
            <w:tcW w:w="1863" w:type="dxa"/>
            <w:shd w:val="clear" w:color="auto" w:fill="auto"/>
            <w:vAlign w:val="center"/>
          </w:tcPr>
          <w:p w14:paraId="7F80221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《安全生产法》</w:t>
            </w:r>
          </w:p>
          <w:p w14:paraId="130913B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第二十</w:t>
            </w:r>
            <w:r>
              <w:rPr>
                <w:rFonts w:hint="eastAsia" w:ascii="Times New Roman" w:hAnsi="Times New Roman" w:eastAsia="宋体" w:cs="Times New Roman"/>
                <w:color w:val="auto"/>
                <w:kern w:val="2"/>
                <w:sz w:val="21"/>
                <w:szCs w:val="21"/>
                <w:vertAlign w:val="baseline"/>
                <w:lang w:val="en-US" w:eastAsia="zh-CN" w:bidi="ar-SA"/>
              </w:rPr>
              <w:t>二</w:t>
            </w:r>
            <w:r>
              <w:rPr>
                <w:rFonts w:hint="default" w:ascii="Times New Roman" w:hAnsi="Times New Roman" w:eastAsia="宋体" w:cs="Times New Roman"/>
                <w:color w:val="auto"/>
                <w:kern w:val="2"/>
                <w:sz w:val="21"/>
                <w:szCs w:val="21"/>
                <w:vertAlign w:val="baseline"/>
                <w:lang w:val="en-US" w:eastAsia="zh-CN" w:bidi="ar-SA"/>
              </w:rPr>
              <w:t>条</w:t>
            </w:r>
          </w:p>
        </w:tc>
        <w:tc>
          <w:tcPr>
            <w:tcW w:w="894" w:type="dxa"/>
            <w:shd w:val="clear" w:color="auto" w:fill="auto"/>
            <w:vAlign w:val="center"/>
          </w:tcPr>
          <w:p w14:paraId="47364E72">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3563B71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效文件</w:t>
            </w:r>
          </w:p>
        </w:tc>
        <w:tc>
          <w:tcPr>
            <w:tcW w:w="957" w:type="dxa"/>
            <w:shd w:val="clear" w:color="auto" w:fill="auto"/>
            <w:vAlign w:val="center"/>
          </w:tcPr>
          <w:p w14:paraId="261E67A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已</w:t>
            </w:r>
            <w:r>
              <w:rPr>
                <w:rFonts w:hint="default" w:ascii="Times New Roman" w:hAnsi="Times New Roman" w:eastAsia="宋体" w:cs="Times New Roman"/>
                <w:color w:val="auto"/>
                <w:kern w:val="2"/>
                <w:sz w:val="21"/>
                <w:szCs w:val="21"/>
                <w:vertAlign w:val="baseline"/>
                <w:lang w:val="en-US" w:eastAsia="zh-CN" w:bidi="ar-SA"/>
              </w:rPr>
              <w:t>落实</w:t>
            </w:r>
          </w:p>
        </w:tc>
        <w:tc>
          <w:tcPr>
            <w:tcW w:w="669" w:type="dxa"/>
            <w:shd w:val="clear" w:color="auto" w:fill="auto"/>
            <w:vAlign w:val="center"/>
          </w:tcPr>
          <w:p w14:paraId="3759C4F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c>
          <w:tcPr>
            <w:tcW w:w="847" w:type="dxa"/>
            <w:shd w:val="clear" w:color="auto" w:fill="auto"/>
            <w:vAlign w:val="center"/>
          </w:tcPr>
          <w:p w14:paraId="1DA45BF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未落实不得分</w:t>
            </w:r>
          </w:p>
        </w:tc>
        <w:tc>
          <w:tcPr>
            <w:tcW w:w="642" w:type="dxa"/>
            <w:shd w:val="clear" w:color="auto" w:fill="auto"/>
            <w:vAlign w:val="center"/>
          </w:tcPr>
          <w:p w14:paraId="165C038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r>
      <w:tr w14:paraId="1EBD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shd w:val="clear" w:color="auto" w:fill="auto"/>
            <w:vAlign w:val="center"/>
          </w:tcPr>
          <w:p w14:paraId="0691122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2444" w:type="dxa"/>
            <w:shd w:val="clear" w:color="auto" w:fill="auto"/>
            <w:vAlign w:val="center"/>
          </w:tcPr>
          <w:p w14:paraId="38E02AF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 建立下列各项安全生产规章制度：</w:t>
            </w:r>
          </w:p>
          <w:p w14:paraId="53F668A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2.9.1 安全检查制度；</w:t>
            </w:r>
          </w:p>
          <w:p w14:paraId="3275019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2.9.2 职业危害预防制度；</w:t>
            </w:r>
          </w:p>
          <w:p w14:paraId="412117F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2.9.3 安全教育培训制度；</w:t>
            </w:r>
          </w:p>
          <w:p w14:paraId="68C4CC8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2.9.4 生产安全事故管理制度；</w:t>
            </w:r>
          </w:p>
          <w:p w14:paraId="0DE7D4B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2.9.5 重大危险源监控和安全隐患排查制度；</w:t>
            </w:r>
          </w:p>
          <w:p w14:paraId="03983AC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2.9.6 设备设施安全管理制度；</w:t>
            </w:r>
          </w:p>
          <w:p w14:paraId="285A057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2.9.7 安全生产档案管理制度；</w:t>
            </w:r>
          </w:p>
          <w:p w14:paraId="6D4B981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2.9.8 安全生产奖惩制度；</w:t>
            </w:r>
          </w:p>
          <w:p w14:paraId="428244A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2.9.9 安全目标管理制度；</w:t>
            </w:r>
          </w:p>
          <w:p w14:paraId="744C0B6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2.9.10 安全例会制度；</w:t>
            </w:r>
          </w:p>
          <w:p w14:paraId="2F3B2EC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2.9.11 事故隐患排查与整改制度；</w:t>
            </w:r>
          </w:p>
          <w:p w14:paraId="3DED87B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2.9.12 安全技术措施审批制度；</w:t>
            </w:r>
          </w:p>
          <w:p w14:paraId="6BD3784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2.9.13 劳动防护用品管理制度；</w:t>
            </w:r>
          </w:p>
          <w:p w14:paraId="4C410DA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2.9.14 应急管理制度；</w:t>
            </w:r>
          </w:p>
          <w:p w14:paraId="355A279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2.9.15 图纸技术资料更新制度；</w:t>
            </w:r>
          </w:p>
          <w:p w14:paraId="4505691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2.7.16安全生产档案管理制度；</w:t>
            </w:r>
          </w:p>
          <w:p w14:paraId="50004F5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2.9.1</w:t>
            </w:r>
            <w:r>
              <w:rPr>
                <w:rFonts w:hint="eastAsia" w:cs="Times New Roman"/>
                <w:color w:val="auto"/>
                <w:kern w:val="2"/>
                <w:sz w:val="21"/>
                <w:szCs w:val="21"/>
                <w:vertAlign w:val="baseline"/>
                <w:lang w:val="en-US" w:eastAsia="zh-CN" w:bidi="ar-SA"/>
              </w:rPr>
              <w:t>7</w:t>
            </w:r>
            <w:r>
              <w:rPr>
                <w:rFonts w:hint="default" w:ascii="Times New Roman" w:hAnsi="Times New Roman" w:eastAsia="宋体" w:cs="Times New Roman"/>
                <w:color w:val="auto"/>
                <w:kern w:val="2"/>
                <w:sz w:val="21"/>
                <w:szCs w:val="21"/>
                <w:vertAlign w:val="baseline"/>
                <w:lang w:val="en-US" w:eastAsia="zh-CN" w:bidi="ar-SA"/>
              </w:rPr>
              <w:t xml:space="preserve"> 安全技术措施专项经费提取和管理制度；</w:t>
            </w:r>
          </w:p>
          <w:p w14:paraId="01DD8E0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2.9.1</w:t>
            </w:r>
            <w:r>
              <w:rPr>
                <w:rFonts w:hint="eastAsia" w:cs="Times New Roman"/>
                <w:color w:val="auto"/>
                <w:kern w:val="2"/>
                <w:sz w:val="21"/>
                <w:szCs w:val="21"/>
                <w:vertAlign w:val="baseline"/>
                <w:lang w:val="en-US" w:eastAsia="zh-CN" w:bidi="ar-SA"/>
              </w:rPr>
              <w:t>8</w:t>
            </w:r>
            <w:r>
              <w:rPr>
                <w:rFonts w:hint="default" w:ascii="Times New Roman" w:hAnsi="Times New Roman" w:eastAsia="宋体" w:cs="Times New Roman"/>
                <w:color w:val="auto"/>
                <w:kern w:val="2"/>
                <w:sz w:val="21"/>
                <w:szCs w:val="21"/>
                <w:vertAlign w:val="baseline"/>
                <w:lang w:val="en-US" w:eastAsia="zh-CN" w:bidi="ar-SA"/>
              </w:rPr>
              <w:t xml:space="preserve"> 特种作业人员管理制度；</w:t>
            </w:r>
          </w:p>
          <w:p w14:paraId="76E6728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2.9.1</w:t>
            </w:r>
            <w:r>
              <w:rPr>
                <w:rFonts w:hint="eastAsia" w:cs="Times New Roman"/>
                <w:color w:val="auto"/>
                <w:kern w:val="2"/>
                <w:sz w:val="21"/>
                <w:szCs w:val="21"/>
                <w:vertAlign w:val="baseline"/>
                <w:lang w:val="en-US" w:eastAsia="zh-CN" w:bidi="ar-SA"/>
              </w:rPr>
              <w:t>9</w:t>
            </w:r>
            <w:r>
              <w:rPr>
                <w:rFonts w:hint="default" w:ascii="Times New Roman" w:hAnsi="Times New Roman" w:eastAsia="宋体" w:cs="Times New Roman"/>
                <w:color w:val="auto"/>
                <w:kern w:val="2"/>
                <w:sz w:val="21"/>
                <w:szCs w:val="21"/>
                <w:vertAlign w:val="baseline"/>
                <w:lang w:val="en-US" w:eastAsia="zh-CN" w:bidi="ar-SA"/>
              </w:rPr>
              <w:t xml:space="preserve"> 露天边坡管理制；</w:t>
            </w:r>
          </w:p>
          <w:p w14:paraId="083549C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2.9.</w:t>
            </w:r>
            <w:r>
              <w:rPr>
                <w:rFonts w:hint="eastAsia" w:cs="Times New Roman"/>
                <w:color w:val="auto"/>
                <w:kern w:val="2"/>
                <w:sz w:val="21"/>
                <w:szCs w:val="21"/>
                <w:vertAlign w:val="baseline"/>
                <w:lang w:val="en-US" w:eastAsia="zh-CN" w:bidi="ar-SA"/>
              </w:rPr>
              <w:t>20</w:t>
            </w:r>
            <w:r>
              <w:rPr>
                <w:rFonts w:hint="default" w:ascii="Times New Roman" w:hAnsi="Times New Roman" w:eastAsia="宋体" w:cs="Times New Roman"/>
                <w:color w:val="auto"/>
                <w:kern w:val="2"/>
                <w:sz w:val="21"/>
                <w:szCs w:val="21"/>
                <w:vertAlign w:val="baseline"/>
                <w:lang w:val="en-US" w:eastAsia="zh-CN" w:bidi="ar-SA"/>
              </w:rPr>
              <w:t xml:space="preserve"> 排土场</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废石场</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管理制度。</w:t>
            </w:r>
          </w:p>
        </w:tc>
        <w:tc>
          <w:tcPr>
            <w:tcW w:w="1863" w:type="dxa"/>
            <w:shd w:val="clear" w:color="auto" w:fill="auto"/>
            <w:vAlign w:val="center"/>
          </w:tcPr>
          <w:p w14:paraId="7D16778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安监总局令第20号第六条</w:t>
            </w:r>
          </w:p>
        </w:tc>
        <w:tc>
          <w:tcPr>
            <w:tcW w:w="894" w:type="dxa"/>
            <w:shd w:val="clear" w:color="auto" w:fill="auto"/>
            <w:vAlign w:val="center"/>
          </w:tcPr>
          <w:p w14:paraId="5033C58D">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457ED5B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效文件</w:t>
            </w:r>
          </w:p>
        </w:tc>
        <w:tc>
          <w:tcPr>
            <w:tcW w:w="957" w:type="dxa"/>
            <w:shd w:val="clear" w:color="auto" w:fill="auto"/>
            <w:vAlign w:val="center"/>
          </w:tcPr>
          <w:p w14:paraId="0A51219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不涉及排土场，缺2.9.6、7、9、12、15、16</w:t>
            </w:r>
          </w:p>
        </w:tc>
        <w:tc>
          <w:tcPr>
            <w:tcW w:w="669" w:type="dxa"/>
            <w:shd w:val="clear" w:color="auto" w:fill="auto"/>
            <w:vAlign w:val="center"/>
          </w:tcPr>
          <w:p w14:paraId="008F2F4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50</w:t>
            </w:r>
          </w:p>
        </w:tc>
        <w:tc>
          <w:tcPr>
            <w:tcW w:w="847" w:type="dxa"/>
            <w:shd w:val="clear" w:color="auto" w:fill="auto"/>
            <w:vAlign w:val="center"/>
          </w:tcPr>
          <w:p w14:paraId="766776E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每缺1项</w:t>
            </w:r>
          </w:p>
          <w:p w14:paraId="0DD573F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扣2.5分</w:t>
            </w:r>
          </w:p>
          <w:p w14:paraId="45AAB4D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不完善项扣1分</w:t>
            </w:r>
          </w:p>
        </w:tc>
        <w:tc>
          <w:tcPr>
            <w:tcW w:w="642" w:type="dxa"/>
            <w:shd w:val="clear" w:color="auto" w:fill="auto"/>
            <w:vAlign w:val="center"/>
          </w:tcPr>
          <w:p w14:paraId="616C11A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35</w:t>
            </w:r>
          </w:p>
        </w:tc>
      </w:tr>
      <w:tr w14:paraId="108F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shd w:val="clear" w:color="auto" w:fill="auto"/>
            <w:vAlign w:val="center"/>
          </w:tcPr>
          <w:p w14:paraId="3CD8D8B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2444" w:type="dxa"/>
            <w:shd w:val="clear" w:color="auto" w:fill="auto"/>
            <w:vAlign w:val="center"/>
          </w:tcPr>
          <w:p w14:paraId="7D97F54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2.10 制定作业安全规程和各工种操作规程</w:t>
            </w:r>
          </w:p>
        </w:tc>
        <w:tc>
          <w:tcPr>
            <w:tcW w:w="1863" w:type="dxa"/>
            <w:shd w:val="clear" w:color="auto" w:fill="auto"/>
            <w:vAlign w:val="center"/>
          </w:tcPr>
          <w:p w14:paraId="36FD169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安监总局令第20号第六条</w:t>
            </w:r>
          </w:p>
        </w:tc>
        <w:tc>
          <w:tcPr>
            <w:tcW w:w="894" w:type="dxa"/>
            <w:shd w:val="clear" w:color="auto" w:fill="auto"/>
            <w:vAlign w:val="center"/>
          </w:tcPr>
          <w:p w14:paraId="4EA7B433">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6D51EC0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效文件</w:t>
            </w:r>
          </w:p>
        </w:tc>
        <w:tc>
          <w:tcPr>
            <w:tcW w:w="957" w:type="dxa"/>
            <w:shd w:val="clear" w:color="auto" w:fill="auto"/>
            <w:vAlign w:val="center"/>
          </w:tcPr>
          <w:p w14:paraId="3FAFF81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已</w:t>
            </w:r>
            <w:r>
              <w:rPr>
                <w:rFonts w:hint="default" w:ascii="Times New Roman" w:hAnsi="Times New Roman" w:eastAsia="宋体" w:cs="Times New Roman"/>
                <w:color w:val="auto"/>
                <w:kern w:val="2"/>
                <w:sz w:val="21"/>
                <w:szCs w:val="21"/>
                <w:vertAlign w:val="baseline"/>
                <w:lang w:val="en-US" w:eastAsia="zh-CN" w:bidi="ar-SA"/>
              </w:rPr>
              <w:t>制定</w:t>
            </w:r>
          </w:p>
        </w:tc>
        <w:tc>
          <w:tcPr>
            <w:tcW w:w="669" w:type="dxa"/>
            <w:shd w:val="clear" w:color="auto" w:fill="auto"/>
            <w:vAlign w:val="center"/>
          </w:tcPr>
          <w:p w14:paraId="68ED1CC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c>
          <w:tcPr>
            <w:tcW w:w="847" w:type="dxa"/>
            <w:shd w:val="clear" w:color="auto" w:fill="auto"/>
            <w:vAlign w:val="center"/>
          </w:tcPr>
          <w:p w14:paraId="5C3D3D5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未制定不得分</w:t>
            </w:r>
          </w:p>
        </w:tc>
        <w:tc>
          <w:tcPr>
            <w:tcW w:w="642" w:type="dxa"/>
            <w:shd w:val="clear" w:color="auto" w:fill="auto"/>
            <w:vAlign w:val="center"/>
          </w:tcPr>
          <w:p w14:paraId="68D7F56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r>
      <w:tr w14:paraId="301D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shd w:val="clear" w:color="auto" w:fill="auto"/>
            <w:vAlign w:val="center"/>
          </w:tcPr>
          <w:p w14:paraId="097E182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3</w:t>
            </w:r>
            <w:r>
              <w:rPr>
                <w:rFonts w:hint="eastAsia"/>
                <w:color w:val="auto"/>
                <w:sz w:val="21"/>
                <w:szCs w:val="21"/>
                <w:vertAlign w:val="baseline"/>
                <w:lang w:val="en-US" w:eastAsia="zh-CN"/>
              </w:rPr>
              <w:t xml:space="preserve">. </w:t>
            </w:r>
            <w:r>
              <w:rPr>
                <w:rFonts w:hint="default" w:ascii="Times New Roman" w:hAnsi="Times New Roman" w:eastAsia="宋体" w:cs="Times New Roman"/>
                <w:color w:val="auto"/>
                <w:kern w:val="2"/>
                <w:sz w:val="21"/>
                <w:szCs w:val="21"/>
                <w:vertAlign w:val="baseline"/>
                <w:lang w:val="en-US" w:eastAsia="zh-CN" w:bidi="ar-SA"/>
              </w:rPr>
              <w:t>安全生产教育培训</w:t>
            </w:r>
          </w:p>
        </w:tc>
        <w:tc>
          <w:tcPr>
            <w:tcW w:w="2444" w:type="dxa"/>
            <w:shd w:val="clear" w:color="auto" w:fill="auto"/>
            <w:vAlign w:val="center"/>
          </w:tcPr>
          <w:p w14:paraId="1813D5FD">
            <w:pPr>
              <w:pStyle w:val="3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3.1 所有从业人员应经</w:t>
            </w:r>
            <w:r>
              <w:rPr>
                <w:rFonts w:hint="eastAsia" w:ascii="Times New Roman" w:hAnsi="Times New Roman" w:eastAsia="宋体"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三级</w:t>
            </w:r>
            <w:r>
              <w:rPr>
                <w:rFonts w:hint="eastAsia" w:ascii="Times New Roman" w:hAnsi="Times New Roman" w:eastAsia="宋体"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安全教育，并经考核合格后，方可上岗作业。露天作业新员工上岗前不少于72学时；</w:t>
            </w:r>
          </w:p>
          <w:p w14:paraId="4ED7CE08">
            <w:pPr>
              <w:pStyle w:val="3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spacing w:val="-6"/>
                <w:kern w:val="2"/>
                <w:sz w:val="21"/>
                <w:szCs w:val="21"/>
                <w:vertAlign w:val="baseline"/>
                <w:lang w:val="en-US" w:eastAsia="zh-CN" w:bidi="ar-SA"/>
              </w:rPr>
            </w:pPr>
            <w:r>
              <w:rPr>
                <w:rFonts w:hint="default" w:ascii="Times New Roman" w:hAnsi="Times New Roman" w:eastAsia="宋体" w:cs="Times New Roman"/>
                <w:color w:val="auto"/>
                <w:spacing w:val="-6"/>
                <w:kern w:val="2"/>
                <w:sz w:val="21"/>
                <w:szCs w:val="21"/>
                <w:vertAlign w:val="baseline"/>
                <w:lang w:val="en-US" w:eastAsia="zh-CN" w:bidi="ar-SA"/>
              </w:rPr>
              <w:t>3.2 矿山主要负责人具备安全生产知识和管理能力；</w:t>
            </w:r>
          </w:p>
          <w:p w14:paraId="5F0414F7">
            <w:pPr>
              <w:pStyle w:val="3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3.3 专职安全管理人员的具备相应安全生产知识和管理能力；</w:t>
            </w:r>
          </w:p>
          <w:p w14:paraId="68C6667C">
            <w:pPr>
              <w:pStyle w:val="3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3.4 调换工程或岗位的人员，应进行新工种、岗位上岗前的安全操作培训；</w:t>
            </w:r>
          </w:p>
          <w:p w14:paraId="09A95104">
            <w:pPr>
              <w:pStyle w:val="3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3.5 采用新技术、新工艺、新材料和新设备的人员应进行相应安全知识、操作技能培训合格后方能上岗作业；</w:t>
            </w:r>
          </w:p>
          <w:p w14:paraId="39E38018">
            <w:pPr>
              <w:pStyle w:val="3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3.6 定期组织实施全员安全再教育，每年不少于20学时。开展班组安全活动，并建立记录；</w:t>
            </w:r>
          </w:p>
          <w:p w14:paraId="1BB08ED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3.7 作业人员的安全教育培训和考核结果应有记录，并存档</w:t>
            </w:r>
            <w:r>
              <w:rPr>
                <w:rFonts w:hint="eastAsia" w:ascii="Times New Roman" w:hAnsi="Times New Roman" w:eastAsia="宋体" w:cs="Times New Roman"/>
                <w:color w:val="auto"/>
                <w:kern w:val="2"/>
                <w:sz w:val="21"/>
                <w:szCs w:val="21"/>
                <w:vertAlign w:val="baseline"/>
                <w:lang w:val="en-US" w:eastAsia="zh-CN" w:bidi="ar-SA"/>
              </w:rPr>
              <w:t>。</w:t>
            </w:r>
          </w:p>
        </w:tc>
        <w:tc>
          <w:tcPr>
            <w:tcW w:w="1863" w:type="dxa"/>
            <w:shd w:val="clear" w:color="auto" w:fill="auto"/>
            <w:vAlign w:val="center"/>
          </w:tcPr>
          <w:p w14:paraId="6AFDA42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《安全生产法》</w:t>
            </w:r>
          </w:p>
          <w:p w14:paraId="3B468D9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第二十七条</w:t>
            </w:r>
          </w:p>
          <w:p w14:paraId="2CD350A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267138B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第4.5条</w:t>
            </w:r>
          </w:p>
        </w:tc>
        <w:tc>
          <w:tcPr>
            <w:tcW w:w="894" w:type="dxa"/>
            <w:shd w:val="clear" w:color="auto" w:fill="auto"/>
            <w:vAlign w:val="center"/>
          </w:tcPr>
          <w:p w14:paraId="75A49836">
            <w:pPr>
              <w:pStyle w:val="38"/>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4F48658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效文件</w:t>
            </w:r>
          </w:p>
        </w:tc>
        <w:tc>
          <w:tcPr>
            <w:tcW w:w="957" w:type="dxa"/>
            <w:shd w:val="clear" w:color="auto" w:fill="auto"/>
            <w:vAlign w:val="center"/>
          </w:tcPr>
          <w:p w14:paraId="1C888ABA">
            <w:pPr>
              <w:pStyle w:val="3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作业人员的安全教育培训和考核结果记录存档不完善</w:t>
            </w:r>
          </w:p>
          <w:p w14:paraId="2C50616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669" w:type="dxa"/>
            <w:shd w:val="clear" w:color="auto" w:fill="auto"/>
            <w:vAlign w:val="center"/>
          </w:tcPr>
          <w:p w14:paraId="253C253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14</w:t>
            </w:r>
          </w:p>
        </w:tc>
        <w:tc>
          <w:tcPr>
            <w:tcW w:w="847" w:type="dxa"/>
            <w:shd w:val="clear" w:color="auto" w:fill="auto"/>
            <w:vAlign w:val="center"/>
          </w:tcPr>
          <w:p w14:paraId="05AF1AD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1项未做到扣2分</w:t>
            </w:r>
          </w:p>
        </w:tc>
        <w:tc>
          <w:tcPr>
            <w:tcW w:w="642" w:type="dxa"/>
            <w:shd w:val="clear" w:color="auto" w:fill="auto"/>
            <w:vAlign w:val="center"/>
          </w:tcPr>
          <w:p w14:paraId="38E6D8B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12</w:t>
            </w:r>
          </w:p>
        </w:tc>
      </w:tr>
      <w:tr w14:paraId="7E43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jc w:val="center"/>
        </w:trPr>
        <w:tc>
          <w:tcPr>
            <w:tcW w:w="972" w:type="dxa"/>
            <w:vMerge w:val="restart"/>
            <w:shd w:val="clear" w:color="auto" w:fill="auto"/>
            <w:vAlign w:val="center"/>
          </w:tcPr>
          <w:p w14:paraId="10C8801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4. 安全检查</w:t>
            </w:r>
          </w:p>
        </w:tc>
        <w:tc>
          <w:tcPr>
            <w:tcW w:w="2444" w:type="dxa"/>
            <w:shd w:val="clear" w:color="auto" w:fill="auto"/>
            <w:vAlign w:val="center"/>
          </w:tcPr>
          <w:p w14:paraId="253D062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4.1 生产经营单位应当对安全生产状况进行经常性检查；</w:t>
            </w:r>
          </w:p>
          <w:p w14:paraId="55102F8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4.2 对检查中发现的事故隐患等安全问题，应当立即处理；</w:t>
            </w:r>
          </w:p>
          <w:p w14:paraId="0721FD1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4.3 检查及处理情况应当如实记录在案。</w:t>
            </w:r>
          </w:p>
        </w:tc>
        <w:tc>
          <w:tcPr>
            <w:tcW w:w="1863" w:type="dxa"/>
            <w:shd w:val="clear" w:color="auto" w:fill="auto"/>
            <w:vAlign w:val="center"/>
          </w:tcPr>
          <w:p w14:paraId="32BB7E4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《安全生产法》</w:t>
            </w:r>
          </w:p>
          <w:p w14:paraId="3063C80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第四十六条</w:t>
            </w:r>
          </w:p>
        </w:tc>
        <w:tc>
          <w:tcPr>
            <w:tcW w:w="894" w:type="dxa"/>
            <w:shd w:val="clear" w:color="auto" w:fill="auto"/>
            <w:vAlign w:val="center"/>
          </w:tcPr>
          <w:p w14:paraId="58B7E28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查看检</w:t>
            </w:r>
          </w:p>
          <w:p w14:paraId="3780A7D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查及处</w:t>
            </w:r>
          </w:p>
          <w:p w14:paraId="6C86BDC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理情况记录</w:t>
            </w:r>
          </w:p>
        </w:tc>
        <w:tc>
          <w:tcPr>
            <w:tcW w:w="957" w:type="dxa"/>
            <w:shd w:val="clear" w:color="auto" w:fill="auto"/>
            <w:vAlign w:val="center"/>
          </w:tcPr>
          <w:p w14:paraId="4BAB84C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符合</w:t>
            </w:r>
          </w:p>
        </w:tc>
        <w:tc>
          <w:tcPr>
            <w:tcW w:w="669" w:type="dxa"/>
            <w:shd w:val="clear" w:color="auto" w:fill="auto"/>
            <w:vAlign w:val="center"/>
          </w:tcPr>
          <w:p w14:paraId="62B6D8C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6</w:t>
            </w:r>
          </w:p>
        </w:tc>
        <w:tc>
          <w:tcPr>
            <w:tcW w:w="847" w:type="dxa"/>
            <w:shd w:val="clear" w:color="auto" w:fill="auto"/>
            <w:vAlign w:val="center"/>
          </w:tcPr>
          <w:p w14:paraId="04D0329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1项未做到扣2分</w:t>
            </w:r>
          </w:p>
        </w:tc>
        <w:tc>
          <w:tcPr>
            <w:tcW w:w="642" w:type="dxa"/>
            <w:shd w:val="clear" w:color="auto" w:fill="auto"/>
            <w:vAlign w:val="center"/>
          </w:tcPr>
          <w:p w14:paraId="7084826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6</w:t>
            </w:r>
          </w:p>
        </w:tc>
      </w:tr>
      <w:tr w14:paraId="47C1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972" w:type="dxa"/>
            <w:vMerge w:val="continue"/>
            <w:shd w:val="clear" w:color="auto" w:fill="auto"/>
            <w:vAlign w:val="center"/>
          </w:tcPr>
          <w:p w14:paraId="23631E5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2444" w:type="dxa"/>
            <w:shd w:val="clear" w:color="auto" w:fill="auto"/>
            <w:vAlign w:val="center"/>
          </w:tcPr>
          <w:p w14:paraId="52B66E3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4.4 生产经营单位应当建立安全风险分级管控制度，按照安全风险分级采取相应的管控措施。</w:t>
            </w:r>
          </w:p>
        </w:tc>
        <w:tc>
          <w:tcPr>
            <w:tcW w:w="1863" w:type="dxa"/>
            <w:shd w:val="clear" w:color="auto" w:fill="auto"/>
            <w:vAlign w:val="center"/>
          </w:tcPr>
          <w:p w14:paraId="7CF71D9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《安全生产法》</w:t>
            </w:r>
          </w:p>
          <w:p w14:paraId="5002400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第四十</w:t>
            </w:r>
            <w:r>
              <w:rPr>
                <w:rFonts w:hint="eastAsia" w:ascii="Times New Roman" w:hAnsi="Times New Roman" w:eastAsia="宋体" w:cs="Times New Roman"/>
                <w:color w:val="auto"/>
                <w:kern w:val="2"/>
                <w:sz w:val="21"/>
                <w:szCs w:val="21"/>
                <w:vertAlign w:val="baseline"/>
                <w:lang w:val="en-US" w:eastAsia="zh-CN" w:bidi="ar-SA"/>
              </w:rPr>
              <w:t>一</w:t>
            </w:r>
            <w:r>
              <w:rPr>
                <w:rFonts w:hint="default" w:ascii="Times New Roman" w:hAnsi="Times New Roman" w:eastAsia="宋体" w:cs="Times New Roman"/>
                <w:color w:val="auto"/>
                <w:kern w:val="2"/>
                <w:sz w:val="21"/>
                <w:szCs w:val="21"/>
                <w:vertAlign w:val="baseline"/>
                <w:lang w:val="en-US" w:eastAsia="zh-CN" w:bidi="ar-SA"/>
              </w:rPr>
              <w:t>条</w:t>
            </w:r>
          </w:p>
        </w:tc>
        <w:tc>
          <w:tcPr>
            <w:tcW w:w="894" w:type="dxa"/>
            <w:shd w:val="clear" w:color="auto" w:fill="auto"/>
            <w:vAlign w:val="center"/>
          </w:tcPr>
          <w:p w14:paraId="11D0323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64D30AB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效文件</w:t>
            </w:r>
          </w:p>
        </w:tc>
        <w:tc>
          <w:tcPr>
            <w:tcW w:w="957" w:type="dxa"/>
            <w:shd w:val="clear" w:color="auto" w:fill="auto"/>
            <w:vAlign w:val="center"/>
          </w:tcPr>
          <w:p w14:paraId="53B6C71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符合</w:t>
            </w:r>
          </w:p>
        </w:tc>
        <w:tc>
          <w:tcPr>
            <w:tcW w:w="669" w:type="dxa"/>
            <w:shd w:val="clear" w:color="auto" w:fill="auto"/>
            <w:vAlign w:val="center"/>
          </w:tcPr>
          <w:p w14:paraId="7723AFA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c>
          <w:tcPr>
            <w:tcW w:w="847" w:type="dxa"/>
            <w:shd w:val="clear" w:color="auto" w:fill="auto"/>
            <w:vAlign w:val="center"/>
          </w:tcPr>
          <w:p w14:paraId="7DD6CE1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42" w:type="dxa"/>
            <w:shd w:val="clear" w:color="auto" w:fill="auto"/>
            <w:vAlign w:val="center"/>
          </w:tcPr>
          <w:p w14:paraId="30FCC30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r>
      <w:tr w14:paraId="4C30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jc w:val="center"/>
        </w:trPr>
        <w:tc>
          <w:tcPr>
            <w:tcW w:w="972" w:type="dxa"/>
            <w:shd w:val="clear" w:color="auto" w:fill="auto"/>
            <w:vAlign w:val="center"/>
          </w:tcPr>
          <w:p w14:paraId="35D37F7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5. 安全投入</w:t>
            </w:r>
          </w:p>
        </w:tc>
        <w:tc>
          <w:tcPr>
            <w:tcW w:w="2444" w:type="dxa"/>
            <w:shd w:val="clear" w:color="auto" w:fill="auto"/>
            <w:vAlign w:val="center"/>
          </w:tcPr>
          <w:p w14:paraId="6D1A315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 提取安全技术措施经费投入符合安全生产要求。</w:t>
            </w:r>
          </w:p>
          <w:p w14:paraId="33BB6CB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5.2 是否有保证安全生产投入的证明文件。</w:t>
            </w:r>
          </w:p>
          <w:p w14:paraId="37C800E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5.3 有安全投入使用计划。</w:t>
            </w:r>
          </w:p>
          <w:p w14:paraId="1AE5A5F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5.4 有投入购置安全设施设备等实物发票。</w:t>
            </w:r>
          </w:p>
        </w:tc>
        <w:tc>
          <w:tcPr>
            <w:tcW w:w="1863" w:type="dxa"/>
            <w:shd w:val="clear" w:color="auto" w:fill="auto"/>
            <w:vAlign w:val="center"/>
          </w:tcPr>
          <w:p w14:paraId="661953A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《安全生产法》</w:t>
            </w:r>
          </w:p>
          <w:p w14:paraId="0B83259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w:t>
            </w:r>
            <w:r>
              <w:rPr>
                <w:rFonts w:hint="eastAsia" w:ascii="Times New Roman" w:hAnsi="Times New Roman" w:eastAsia="宋体" w:cs="Times New Roman"/>
                <w:color w:val="auto"/>
                <w:kern w:val="2"/>
                <w:sz w:val="21"/>
                <w:szCs w:val="21"/>
                <w:vertAlign w:val="baseline"/>
                <w:lang w:val="en-US" w:eastAsia="zh-CN" w:bidi="ar-SA"/>
              </w:rPr>
              <w:t>二十三</w:t>
            </w:r>
            <w:r>
              <w:rPr>
                <w:rFonts w:hint="default" w:ascii="Times New Roman" w:hAnsi="Times New Roman" w:eastAsia="宋体" w:cs="Times New Roman"/>
                <w:color w:val="auto"/>
                <w:kern w:val="2"/>
                <w:sz w:val="21"/>
                <w:szCs w:val="21"/>
                <w:vertAlign w:val="baseline"/>
                <w:lang w:val="en-US" w:eastAsia="zh-CN" w:bidi="ar-SA"/>
              </w:rPr>
              <w:t>条</w:t>
            </w:r>
          </w:p>
        </w:tc>
        <w:tc>
          <w:tcPr>
            <w:tcW w:w="894" w:type="dxa"/>
            <w:shd w:val="clear" w:color="auto" w:fill="auto"/>
            <w:vAlign w:val="center"/>
          </w:tcPr>
          <w:p w14:paraId="070D765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386113D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效文件</w:t>
            </w:r>
          </w:p>
        </w:tc>
        <w:tc>
          <w:tcPr>
            <w:tcW w:w="957" w:type="dxa"/>
            <w:shd w:val="clear" w:color="auto" w:fill="auto"/>
            <w:vAlign w:val="center"/>
          </w:tcPr>
          <w:p w14:paraId="3DDE92C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未见</w:t>
            </w:r>
            <w:r>
              <w:rPr>
                <w:rFonts w:hint="default" w:ascii="Times New Roman" w:hAnsi="Times New Roman" w:eastAsia="宋体" w:cs="Times New Roman"/>
                <w:color w:val="auto"/>
                <w:kern w:val="2"/>
                <w:sz w:val="21"/>
                <w:szCs w:val="21"/>
                <w:vertAlign w:val="baseline"/>
                <w:lang w:val="en-US" w:eastAsia="zh-CN" w:bidi="ar-SA"/>
              </w:rPr>
              <w:t>实物</w:t>
            </w:r>
            <w:r>
              <w:rPr>
                <w:rFonts w:hint="eastAsia" w:cs="Times New Roman"/>
                <w:color w:val="auto"/>
                <w:kern w:val="2"/>
                <w:sz w:val="21"/>
                <w:szCs w:val="21"/>
                <w:vertAlign w:val="baseline"/>
                <w:lang w:val="en-US" w:eastAsia="zh-CN" w:bidi="ar-SA"/>
              </w:rPr>
              <w:t>发票</w:t>
            </w:r>
          </w:p>
        </w:tc>
        <w:tc>
          <w:tcPr>
            <w:tcW w:w="669" w:type="dxa"/>
            <w:shd w:val="clear" w:color="auto" w:fill="auto"/>
            <w:vAlign w:val="center"/>
          </w:tcPr>
          <w:p w14:paraId="010D3A9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8</w:t>
            </w:r>
          </w:p>
        </w:tc>
        <w:tc>
          <w:tcPr>
            <w:tcW w:w="847" w:type="dxa"/>
            <w:shd w:val="clear" w:color="auto" w:fill="auto"/>
            <w:vAlign w:val="center"/>
          </w:tcPr>
          <w:p w14:paraId="6E422D9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1项未做到扣2分</w:t>
            </w:r>
          </w:p>
        </w:tc>
        <w:tc>
          <w:tcPr>
            <w:tcW w:w="642" w:type="dxa"/>
            <w:shd w:val="clear" w:color="auto" w:fill="auto"/>
            <w:vAlign w:val="center"/>
          </w:tcPr>
          <w:p w14:paraId="1C96010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6</w:t>
            </w:r>
          </w:p>
        </w:tc>
      </w:tr>
      <w:tr w14:paraId="555E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8" w:hRule="atLeast"/>
          <w:jc w:val="center"/>
        </w:trPr>
        <w:tc>
          <w:tcPr>
            <w:tcW w:w="972" w:type="dxa"/>
            <w:shd w:val="clear" w:color="auto" w:fill="auto"/>
            <w:vAlign w:val="center"/>
          </w:tcPr>
          <w:p w14:paraId="2C431CF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6. 保险</w:t>
            </w:r>
          </w:p>
        </w:tc>
        <w:tc>
          <w:tcPr>
            <w:tcW w:w="2444" w:type="dxa"/>
            <w:shd w:val="clear" w:color="auto" w:fill="auto"/>
            <w:vAlign w:val="center"/>
          </w:tcPr>
          <w:p w14:paraId="0D8B906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6.1 依法为员工缴纳工伤保险；</w:t>
            </w:r>
          </w:p>
          <w:p w14:paraId="4F79147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6.2 为员工投保安全生产责任保险。</w:t>
            </w:r>
          </w:p>
          <w:p w14:paraId="718DBE1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6.3 保险人数与从事矿山管理、生产的实际人数相符。</w:t>
            </w:r>
          </w:p>
        </w:tc>
        <w:tc>
          <w:tcPr>
            <w:tcW w:w="1863" w:type="dxa"/>
            <w:shd w:val="clear" w:color="auto" w:fill="auto"/>
            <w:vAlign w:val="center"/>
          </w:tcPr>
          <w:p w14:paraId="44B7AC4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《安全生产法》</w:t>
            </w:r>
          </w:p>
          <w:p w14:paraId="2E6D39A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w:t>
            </w:r>
            <w:r>
              <w:rPr>
                <w:rFonts w:hint="eastAsia" w:ascii="Times New Roman" w:hAnsi="Times New Roman" w:eastAsia="宋体" w:cs="Times New Roman"/>
                <w:color w:val="auto"/>
                <w:kern w:val="2"/>
                <w:sz w:val="21"/>
                <w:szCs w:val="21"/>
                <w:vertAlign w:val="baseline"/>
                <w:lang w:val="en-US" w:eastAsia="zh-CN" w:bidi="ar-SA"/>
              </w:rPr>
              <w:t>五十一</w:t>
            </w:r>
            <w:r>
              <w:rPr>
                <w:rFonts w:hint="default" w:ascii="Times New Roman" w:hAnsi="Times New Roman" w:eastAsia="宋体" w:cs="Times New Roman"/>
                <w:color w:val="auto"/>
                <w:kern w:val="2"/>
                <w:sz w:val="21"/>
                <w:szCs w:val="21"/>
                <w:vertAlign w:val="baseline"/>
                <w:lang w:val="en-US" w:eastAsia="zh-CN" w:bidi="ar-SA"/>
              </w:rPr>
              <w:t>条</w:t>
            </w:r>
          </w:p>
        </w:tc>
        <w:tc>
          <w:tcPr>
            <w:tcW w:w="894" w:type="dxa"/>
            <w:shd w:val="clear" w:color="auto" w:fill="auto"/>
            <w:vAlign w:val="center"/>
          </w:tcPr>
          <w:p w14:paraId="68395FC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6D00ED2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效文件</w:t>
            </w:r>
          </w:p>
        </w:tc>
        <w:tc>
          <w:tcPr>
            <w:tcW w:w="957" w:type="dxa"/>
            <w:shd w:val="clear" w:color="auto" w:fill="auto"/>
            <w:vAlign w:val="center"/>
          </w:tcPr>
          <w:p w14:paraId="4F73290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未缴纳工伤保险</w:t>
            </w:r>
          </w:p>
        </w:tc>
        <w:tc>
          <w:tcPr>
            <w:tcW w:w="669" w:type="dxa"/>
            <w:shd w:val="clear" w:color="auto" w:fill="auto"/>
            <w:vAlign w:val="center"/>
          </w:tcPr>
          <w:p w14:paraId="18D9B21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6</w:t>
            </w:r>
          </w:p>
        </w:tc>
        <w:tc>
          <w:tcPr>
            <w:tcW w:w="847" w:type="dxa"/>
            <w:shd w:val="clear" w:color="auto" w:fill="auto"/>
            <w:vAlign w:val="center"/>
          </w:tcPr>
          <w:p w14:paraId="44D62A9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缺1项</w:t>
            </w:r>
          </w:p>
          <w:p w14:paraId="7C0735E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扣2分</w:t>
            </w:r>
          </w:p>
        </w:tc>
        <w:tc>
          <w:tcPr>
            <w:tcW w:w="642" w:type="dxa"/>
            <w:shd w:val="clear" w:color="auto" w:fill="auto"/>
            <w:vAlign w:val="center"/>
          </w:tcPr>
          <w:p w14:paraId="61592C0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4</w:t>
            </w:r>
          </w:p>
        </w:tc>
      </w:tr>
      <w:tr w14:paraId="236F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2" w:type="dxa"/>
            <w:shd w:val="clear" w:color="auto" w:fill="auto"/>
            <w:vAlign w:val="center"/>
          </w:tcPr>
          <w:p w14:paraId="7722005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7. 应急救援</w:t>
            </w:r>
          </w:p>
        </w:tc>
        <w:tc>
          <w:tcPr>
            <w:tcW w:w="2444" w:type="dxa"/>
            <w:shd w:val="clear" w:color="auto" w:fill="auto"/>
            <w:vAlign w:val="center"/>
          </w:tcPr>
          <w:p w14:paraId="699E550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7.1 生产经营单位应当根据有关法律、法规、规章和相关标准，结合本单位组织管理体系、生产规模和可能发生的事故特点（边坡坍塌、排土场泥石流、爆破伤害以及采矿诱发地质灾害等事故），确立本单位的应急预案体系，编制相应的应急预案；</w:t>
            </w:r>
          </w:p>
          <w:p w14:paraId="651658A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7.2 应急预案分为综合应急预案、专项应急预案和现场处置方案；</w:t>
            </w:r>
          </w:p>
          <w:p w14:paraId="2270584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7.3 应急预案经评审及备案；</w:t>
            </w:r>
          </w:p>
          <w:p w14:paraId="3E34588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7.4 是否进行事故应急救援演练；</w:t>
            </w:r>
          </w:p>
          <w:p w14:paraId="0D66FE7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7.5 矿山企业应当每三年进行一次应急预案评估。</w:t>
            </w:r>
          </w:p>
          <w:p w14:paraId="41A5D6A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7.6 应急救援设备、器材配备是否处于适用状态。</w:t>
            </w:r>
          </w:p>
          <w:p w14:paraId="6A62BF9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7.7 矿山单位应当建立应急救援组织；</w:t>
            </w:r>
          </w:p>
          <w:p w14:paraId="09CFF12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7.8 与就近的专业矿山救护队签订应急救援协议。</w:t>
            </w:r>
          </w:p>
        </w:tc>
        <w:tc>
          <w:tcPr>
            <w:tcW w:w="1863" w:type="dxa"/>
            <w:shd w:val="clear" w:color="auto" w:fill="auto"/>
            <w:vAlign w:val="center"/>
          </w:tcPr>
          <w:p w14:paraId="2C3AD92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《生产安全事故应急预案管理办法》第6、12、21、26、33、35、38条《安全生产法》</w:t>
            </w:r>
          </w:p>
          <w:p w14:paraId="74FF0A5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第82条</w:t>
            </w:r>
          </w:p>
          <w:p w14:paraId="5DA024D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《金属非金属矿</w:t>
            </w:r>
          </w:p>
          <w:p w14:paraId="0706961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山安全规程》</w:t>
            </w:r>
          </w:p>
          <w:p w14:paraId="4BF2081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第8.1条</w:t>
            </w:r>
          </w:p>
        </w:tc>
        <w:tc>
          <w:tcPr>
            <w:tcW w:w="894" w:type="dxa"/>
            <w:shd w:val="clear" w:color="auto" w:fill="auto"/>
            <w:vAlign w:val="center"/>
          </w:tcPr>
          <w:p w14:paraId="42DBBD7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查看有</w:t>
            </w:r>
          </w:p>
          <w:p w14:paraId="69DE0E8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效文件</w:t>
            </w:r>
          </w:p>
        </w:tc>
        <w:tc>
          <w:tcPr>
            <w:tcW w:w="957" w:type="dxa"/>
            <w:shd w:val="clear" w:color="auto" w:fill="auto"/>
            <w:vAlign w:val="center"/>
          </w:tcPr>
          <w:p w14:paraId="6DA81C1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未建立应急救援组织。</w:t>
            </w:r>
          </w:p>
        </w:tc>
        <w:tc>
          <w:tcPr>
            <w:tcW w:w="669" w:type="dxa"/>
            <w:shd w:val="clear" w:color="auto" w:fill="auto"/>
            <w:vAlign w:val="center"/>
          </w:tcPr>
          <w:p w14:paraId="1B08CFF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16</w:t>
            </w:r>
          </w:p>
        </w:tc>
        <w:tc>
          <w:tcPr>
            <w:tcW w:w="847" w:type="dxa"/>
            <w:shd w:val="clear" w:color="auto" w:fill="auto"/>
            <w:vAlign w:val="center"/>
          </w:tcPr>
          <w:p w14:paraId="5AE85D3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缺1项</w:t>
            </w:r>
          </w:p>
          <w:p w14:paraId="271DCC8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扣2分，1项不完善扣1分，累计扣满16分为止</w:t>
            </w:r>
          </w:p>
        </w:tc>
        <w:tc>
          <w:tcPr>
            <w:tcW w:w="642" w:type="dxa"/>
            <w:shd w:val="clear" w:color="auto" w:fill="auto"/>
            <w:vAlign w:val="center"/>
          </w:tcPr>
          <w:p w14:paraId="05B08A6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14</w:t>
            </w:r>
          </w:p>
        </w:tc>
      </w:tr>
      <w:tr w14:paraId="47C8A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972" w:type="dxa"/>
            <w:shd w:val="clear" w:color="auto" w:fill="auto"/>
            <w:vAlign w:val="center"/>
          </w:tcPr>
          <w:p w14:paraId="1436405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小计</w:t>
            </w:r>
          </w:p>
        </w:tc>
        <w:tc>
          <w:tcPr>
            <w:tcW w:w="2444" w:type="dxa"/>
            <w:shd w:val="clear" w:color="auto" w:fill="auto"/>
            <w:vAlign w:val="center"/>
          </w:tcPr>
          <w:p w14:paraId="153C72C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s="Times New Roman"/>
                <w:color w:val="auto"/>
                <w:kern w:val="2"/>
                <w:sz w:val="21"/>
                <w:szCs w:val="21"/>
                <w:vertAlign w:val="baseline"/>
                <w:lang w:val="en-US" w:eastAsia="zh-CN" w:bidi="ar-SA"/>
              </w:rPr>
            </w:pPr>
          </w:p>
        </w:tc>
        <w:tc>
          <w:tcPr>
            <w:tcW w:w="1863" w:type="dxa"/>
            <w:shd w:val="clear" w:color="auto" w:fill="auto"/>
            <w:vAlign w:val="center"/>
          </w:tcPr>
          <w:p w14:paraId="0EAF0C2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894" w:type="dxa"/>
            <w:shd w:val="clear" w:color="auto" w:fill="auto"/>
            <w:vAlign w:val="center"/>
          </w:tcPr>
          <w:p w14:paraId="08B305A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957" w:type="dxa"/>
            <w:shd w:val="clear" w:color="auto" w:fill="auto"/>
            <w:vAlign w:val="center"/>
          </w:tcPr>
          <w:p w14:paraId="56B43C6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s="Times New Roman"/>
                <w:color w:val="auto"/>
                <w:kern w:val="2"/>
                <w:sz w:val="21"/>
                <w:szCs w:val="21"/>
                <w:vertAlign w:val="baseline"/>
                <w:lang w:val="en-US" w:eastAsia="zh-CN" w:bidi="ar-SA"/>
              </w:rPr>
            </w:pPr>
          </w:p>
        </w:tc>
        <w:tc>
          <w:tcPr>
            <w:tcW w:w="669" w:type="dxa"/>
            <w:shd w:val="clear" w:color="auto" w:fill="auto"/>
            <w:vAlign w:val="center"/>
          </w:tcPr>
          <w:p w14:paraId="536C051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120</w:t>
            </w:r>
          </w:p>
        </w:tc>
        <w:tc>
          <w:tcPr>
            <w:tcW w:w="847" w:type="dxa"/>
            <w:shd w:val="clear" w:color="auto" w:fill="auto"/>
            <w:vAlign w:val="center"/>
          </w:tcPr>
          <w:p w14:paraId="7CDF6BC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s="Times New Roman"/>
                <w:color w:val="auto"/>
                <w:kern w:val="2"/>
                <w:sz w:val="21"/>
                <w:szCs w:val="21"/>
                <w:vertAlign w:val="baseline"/>
                <w:lang w:val="en-US" w:eastAsia="zh-CN" w:bidi="ar-SA"/>
              </w:rPr>
            </w:pPr>
          </w:p>
        </w:tc>
        <w:tc>
          <w:tcPr>
            <w:tcW w:w="642" w:type="dxa"/>
            <w:shd w:val="clear" w:color="auto" w:fill="auto"/>
            <w:vAlign w:val="center"/>
          </w:tcPr>
          <w:p w14:paraId="4B19497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96</w:t>
            </w:r>
          </w:p>
        </w:tc>
      </w:tr>
    </w:tbl>
    <w:p w14:paraId="79E65B42">
      <w:pPr>
        <w:pStyle w:val="4"/>
        <w:bidi w:val="0"/>
        <w:rPr>
          <w:rFonts w:hint="default"/>
          <w:color w:val="auto"/>
          <w:lang w:val="en-US" w:eastAsia="zh-CN"/>
        </w:rPr>
      </w:pPr>
      <w:bookmarkStart w:id="456" w:name="_Toc22291"/>
      <w:bookmarkStart w:id="457" w:name="_Toc2347"/>
      <w:bookmarkStart w:id="458" w:name="_Toc29785"/>
      <w:bookmarkStart w:id="459" w:name="_Toc29367"/>
      <w:bookmarkStart w:id="460" w:name="_Toc22182"/>
      <w:bookmarkStart w:id="461" w:name="_Toc14300"/>
      <w:r>
        <w:rPr>
          <w:rFonts w:hint="default"/>
          <w:color w:val="auto"/>
          <w:lang w:val="en-US" w:eastAsia="zh-CN"/>
        </w:rPr>
        <w:t>5.1.2</w:t>
      </w:r>
      <w:r>
        <w:rPr>
          <w:rFonts w:hint="eastAsia"/>
          <w:color w:val="auto"/>
          <w:lang w:val="en-US" w:eastAsia="zh-CN"/>
        </w:rPr>
        <w:t xml:space="preserve"> </w:t>
      </w:r>
      <w:r>
        <w:rPr>
          <w:rFonts w:hint="default"/>
          <w:color w:val="auto"/>
          <w:lang w:val="en-US" w:eastAsia="zh-CN"/>
        </w:rPr>
        <w:t>评价小结</w:t>
      </w:r>
      <w:bookmarkEnd w:id="456"/>
      <w:bookmarkEnd w:id="457"/>
      <w:bookmarkEnd w:id="458"/>
      <w:bookmarkEnd w:id="459"/>
      <w:bookmarkEnd w:id="460"/>
      <w:bookmarkEnd w:id="461"/>
    </w:p>
    <w:p w14:paraId="65DC91B8">
      <w:pPr>
        <w:bidi w:val="0"/>
        <w:rPr>
          <w:rFonts w:hint="default"/>
          <w:b w:val="0"/>
          <w:bCs w:val="0"/>
          <w:color w:val="auto"/>
          <w:lang w:val="en-US" w:eastAsia="zh-CN"/>
        </w:rPr>
      </w:pPr>
      <w:r>
        <w:rPr>
          <w:rFonts w:hint="eastAsia"/>
          <w:b w:val="0"/>
          <w:bCs w:val="0"/>
          <w:color w:val="auto"/>
          <w:lang w:val="en-US" w:eastAsia="zh-CN"/>
        </w:rPr>
        <w:t>鄱阳县响水滩乡禾互山建筑用石料矿</w:t>
      </w:r>
      <w:r>
        <w:rPr>
          <w:rFonts w:hint="default"/>
          <w:b w:val="0"/>
          <w:bCs w:val="0"/>
          <w:color w:val="auto"/>
          <w:lang w:val="en-US" w:eastAsia="zh-CN"/>
        </w:rPr>
        <w:t>安全管理单元</w:t>
      </w:r>
      <w:r>
        <w:rPr>
          <w:rFonts w:hint="eastAsia"/>
          <w:b w:val="0"/>
          <w:bCs w:val="0"/>
          <w:color w:val="auto"/>
          <w:lang w:val="en-US" w:eastAsia="zh-CN"/>
        </w:rPr>
        <w:t>安全</w:t>
      </w:r>
      <w:r>
        <w:rPr>
          <w:rFonts w:hint="default"/>
          <w:b w:val="0"/>
          <w:bCs w:val="0"/>
          <w:color w:val="auto"/>
          <w:lang w:val="en-US" w:eastAsia="zh-CN"/>
        </w:rPr>
        <w:t>检查表中否决项</w:t>
      </w:r>
      <w:r>
        <w:rPr>
          <w:rFonts w:hint="eastAsia"/>
          <w:b w:val="0"/>
          <w:bCs w:val="0"/>
          <w:color w:val="auto"/>
          <w:lang w:val="en-US" w:eastAsia="zh-CN"/>
        </w:rPr>
        <w:t>均符合要求，</w:t>
      </w:r>
      <w:r>
        <w:rPr>
          <w:rFonts w:hint="default"/>
          <w:b w:val="0"/>
          <w:bCs w:val="0"/>
          <w:color w:val="auto"/>
          <w:lang w:val="en-US" w:eastAsia="zh-CN"/>
        </w:rPr>
        <w:t>一般项总分1</w:t>
      </w:r>
      <w:r>
        <w:rPr>
          <w:rFonts w:hint="eastAsia"/>
          <w:b w:val="0"/>
          <w:bCs w:val="0"/>
          <w:color w:val="auto"/>
          <w:lang w:val="en-US" w:eastAsia="zh-CN"/>
        </w:rPr>
        <w:t>20</w:t>
      </w:r>
      <w:r>
        <w:rPr>
          <w:rFonts w:hint="default"/>
          <w:b w:val="0"/>
          <w:bCs w:val="0"/>
          <w:color w:val="auto"/>
          <w:lang w:val="en-US" w:eastAsia="zh-CN"/>
        </w:rPr>
        <w:t>分，</w:t>
      </w:r>
      <w:r>
        <w:rPr>
          <w:rFonts w:hint="eastAsia"/>
          <w:b w:val="0"/>
          <w:bCs w:val="0"/>
          <w:color w:val="auto"/>
          <w:lang w:val="en-US" w:eastAsia="zh-CN"/>
        </w:rPr>
        <w:t>得分96</w:t>
      </w:r>
      <w:r>
        <w:rPr>
          <w:rFonts w:hint="default"/>
          <w:b w:val="0"/>
          <w:bCs w:val="0"/>
          <w:color w:val="auto"/>
          <w:lang w:val="en-US" w:eastAsia="zh-CN"/>
        </w:rPr>
        <w:t>分，得分率为</w:t>
      </w:r>
      <w:r>
        <w:rPr>
          <w:rFonts w:hint="eastAsia"/>
          <w:b w:val="0"/>
          <w:bCs w:val="0"/>
          <w:color w:val="auto"/>
          <w:lang w:val="en-US" w:eastAsia="zh-CN"/>
        </w:rPr>
        <w:t>80</w:t>
      </w:r>
      <w:r>
        <w:rPr>
          <w:rFonts w:hint="default"/>
          <w:b w:val="0"/>
          <w:bCs w:val="0"/>
          <w:color w:val="auto"/>
          <w:lang w:val="en-US" w:eastAsia="zh-CN"/>
        </w:rPr>
        <w:t>%。</w:t>
      </w:r>
    </w:p>
    <w:p w14:paraId="547D2A6A">
      <w:pPr>
        <w:bidi w:val="0"/>
        <w:rPr>
          <w:rFonts w:hint="default" w:ascii="Times New Roman" w:hAnsi="Times New Roman" w:eastAsia="宋体" w:cs="Times New Roman"/>
          <w:b w:val="0"/>
          <w:bCs w:val="0"/>
          <w:color w:val="auto"/>
          <w:lang w:val="en-US" w:eastAsia="zh-CN"/>
        </w:rPr>
      </w:pPr>
      <w:r>
        <w:rPr>
          <w:rFonts w:hint="default"/>
          <w:b w:val="0"/>
          <w:bCs w:val="0"/>
          <w:color w:val="auto"/>
          <w:lang w:val="en-US" w:eastAsia="zh-CN"/>
        </w:rPr>
        <w:t>存在的主要问题</w:t>
      </w:r>
      <w:r>
        <w:rPr>
          <w:rFonts w:hint="eastAsia"/>
          <w:b w:val="0"/>
          <w:bCs w:val="0"/>
          <w:color w:val="auto"/>
          <w:lang w:val="en-US" w:eastAsia="zh-CN"/>
        </w:rPr>
        <w:t>：</w:t>
      </w:r>
      <w:r>
        <w:rPr>
          <w:rFonts w:hint="default"/>
          <w:b w:val="0"/>
          <w:bCs w:val="0"/>
          <w:color w:val="auto"/>
          <w:lang w:val="en-US" w:eastAsia="zh-CN"/>
        </w:rPr>
        <w:t>1</w:t>
      </w:r>
      <w:r>
        <w:rPr>
          <w:rFonts w:hint="eastAsia"/>
          <w:b w:val="0"/>
          <w:bCs w:val="0"/>
          <w:color w:val="auto"/>
          <w:lang w:val="en-US" w:eastAsia="zh-CN"/>
        </w:rPr>
        <w:t>）未配备注册安全工程从事安全生产管理工作；2）安全生产规章制度不完善；3）</w:t>
      </w:r>
      <w:r>
        <w:rPr>
          <w:rFonts w:hint="default" w:ascii="Times New Roman" w:hAnsi="Times New Roman" w:eastAsia="宋体" w:cs="Times New Roman"/>
          <w:b w:val="0"/>
          <w:bCs w:val="0"/>
          <w:color w:val="auto"/>
          <w:lang w:val="en-US" w:eastAsia="zh-CN"/>
        </w:rPr>
        <w:t>作业人员的安全教育培训和考核结果记录存档不完善</w:t>
      </w:r>
      <w:r>
        <w:rPr>
          <w:rFonts w:hint="eastAsia" w:ascii="Times New Roman" w:hAnsi="Times New Roman" w:eastAsia="宋体" w:cs="Times New Roman"/>
          <w:b w:val="0"/>
          <w:bCs w:val="0"/>
          <w:color w:val="auto"/>
          <w:lang w:val="en-US" w:eastAsia="zh-CN"/>
        </w:rPr>
        <w:t>；4）未见</w:t>
      </w:r>
      <w:r>
        <w:rPr>
          <w:rFonts w:hint="default" w:ascii="Times New Roman" w:hAnsi="Times New Roman" w:eastAsia="宋体" w:cs="Times New Roman"/>
          <w:b w:val="0"/>
          <w:bCs w:val="0"/>
          <w:color w:val="auto"/>
          <w:lang w:val="en-US" w:eastAsia="zh-CN"/>
        </w:rPr>
        <w:t>购置安全设施设备等实物发票。</w:t>
      </w:r>
      <w:r>
        <w:rPr>
          <w:rFonts w:hint="eastAsia" w:ascii="Times New Roman" w:hAnsi="Times New Roman" w:eastAsia="宋体" w:cs="Times New Roman"/>
          <w:b w:val="0"/>
          <w:bCs w:val="0"/>
          <w:color w:val="auto"/>
          <w:lang w:val="en-US" w:eastAsia="zh-CN"/>
        </w:rPr>
        <w:t>5）没有</w:t>
      </w:r>
      <w:r>
        <w:rPr>
          <w:rFonts w:hint="default" w:ascii="Times New Roman" w:hAnsi="Times New Roman" w:eastAsia="宋体" w:cs="Times New Roman"/>
          <w:b w:val="0"/>
          <w:bCs w:val="0"/>
          <w:color w:val="auto"/>
          <w:lang w:val="en-US" w:eastAsia="zh-CN"/>
        </w:rPr>
        <w:t>为员工缴纳工伤保险</w:t>
      </w:r>
      <w:r>
        <w:rPr>
          <w:rFonts w:hint="eastAsia" w:ascii="Times New Roman" w:hAnsi="Times New Roman" w:eastAsia="宋体" w:cs="Times New Roman"/>
          <w:b w:val="0"/>
          <w:bCs w:val="0"/>
          <w:color w:val="auto"/>
          <w:lang w:val="en-US" w:eastAsia="zh-CN"/>
        </w:rPr>
        <w:t>；5）未建立应急救援组织。</w:t>
      </w:r>
    </w:p>
    <w:p w14:paraId="74606EC1">
      <w:pPr>
        <w:pStyle w:val="3"/>
        <w:bidi w:val="0"/>
        <w:rPr>
          <w:rFonts w:hint="default"/>
          <w:color w:val="auto"/>
          <w:lang w:val="en-US" w:eastAsia="zh-CN"/>
        </w:rPr>
      </w:pPr>
      <w:bookmarkStart w:id="462" w:name="_Toc4233"/>
      <w:bookmarkStart w:id="463" w:name="_Toc25916"/>
      <w:bookmarkStart w:id="464" w:name="_Toc30485"/>
      <w:bookmarkStart w:id="465" w:name="_Toc5312"/>
      <w:bookmarkStart w:id="466" w:name="_Toc18257"/>
      <w:bookmarkStart w:id="467" w:name="_Toc24329"/>
      <w:r>
        <w:rPr>
          <w:rFonts w:hint="eastAsia"/>
          <w:color w:val="auto"/>
          <w:lang w:val="en-US" w:eastAsia="zh-CN"/>
        </w:rPr>
        <w:t>5.2 露天采场单元</w:t>
      </w:r>
      <w:bookmarkEnd w:id="462"/>
      <w:bookmarkEnd w:id="463"/>
      <w:bookmarkEnd w:id="464"/>
      <w:bookmarkEnd w:id="465"/>
      <w:bookmarkEnd w:id="466"/>
      <w:bookmarkEnd w:id="467"/>
    </w:p>
    <w:p w14:paraId="5CD3EFD8">
      <w:pPr>
        <w:pStyle w:val="4"/>
        <w:bidi w:val="0"/>
        <w:rPr>
          <w:rFonts w:hint="default"/>
          <w:color w:val="auto"/>
          <w:lang w:val="en-US" w:eastAsia="zh-CN"/>
        </w:rPr>
      </w:pPr>
      <w:bookmarkStart w:id="468" w:name="_Toc9897"/>
      <w:bookmarkStart w:id="469" w:name="_Toc28062"/>
      <w:bookmarkStart w:id="470" w:name="_Toc21952"/>
      <w:bookmarkStart w:id="471" w:name="_Toc20120"/>
      <w:bookmarkStart w:id="472" w:name="_Toc6854"/>
      <w:bookmarkStart w:id="473" w:name="_Toc138"/>
      <w:r>
        <w:rPr>
          <w:rFonts w:hint="eastAsia"/>
          <w:color w:val="auto"/>
          <w:lang w:val="en-US" w:eastAsia="zh-CN"/>
        </w:rPr>
        <w:t>5.2.1 露天采场安全检查表</w:t>
      </w:r>
      <w:bookmarkEnd w:id="468"/>
      <w:bookmarkEnd w:id="469"/>
      <w:bookmarkEnd w:id="470"/>
      <w:bookmarkEnd w:id="471"/>
      <w:bookmarkEnd w:id="472"/>
      <w:bookmarkEnd w:id="473"/>
    </w:p>
    <w:p w14:paraId="5DDD558A">
      <w:pPr>
        <w:rPr>
          <w:rFonts w:hint="default"/>
          <w:color w:val="auto"/>
          <w:lang w:val="en-US" w:eastAsia="zh-CN"/>
        </w:rPr>
      </w:pPr>
      <w:r>
        <w:rPr>
          <w:rFonts w:hint="default"/>
          <w:color w:val="auto"/>
          <w:lang w:val="en-US" w:eastAsia="zh-CN"/>
        </w:rPr>
        <w:t>露天采场安全检查表</w:t>
      </w:r>
      <w:r>
        <w:rPr>
          <w:rFonts w:hint="eastAsia"/>
          <w:color w:val="auto"/>
          <w:lang w:val="en-US" w:eastAsia="zh-CN"/>
        </w:rPr>
        <w:t>见</w:t>
      </w:r>
      <w:r>
        <w:rPr>
          <w:rFonts w:hint="default"/>
          <w:color w:val="auto"/>
          <w:lang w:val="en-US" w:eastAsia="zh-CN"/>
        </w:rPr>
        <w:t>表5.</w:t>
      </w:r>
      <w:r>
        <w:rPr>
          <w:rFonts w:hint="eastAsia"/>
          <w:color w:val="auto"/>
          <w:lang w:val="en-US" w:eastAsia="zh-CN"/>
        </w:rPr>
        <w:t>2</w:t>
      </w:r>
      <w:r>
        <w:rPr>
          <w:rFonts w:hint="default"/>
          <w:color w:val="auto"/>
          <w:lang w:val="en-US" w:eastAsia="zh-CN"/>
        </w:rPr>
        <w:t>-1所示。</w:t>
      </w:r>
    </w:p>
    <w:p w14:paraId="0968389A">
      <w:pPr>
        <w:ind w:left="0" w:leftChars="0" w:firstLine="0" w:firstLineChars="0"/>
        <w:jc w:val="center"/>
        <w:rPr>
          <w:rFonts w:hint="default"/>
          <w:color w:val="auto"/>
          <w:lang w:val="en-US" w:eastAsia="zh-CN"/>
        </w:rPr>
      </w:pPr>
      <w:r>
        <w:rPr>
          <w:rFonts w:hint="default"/>
          <w:color w:val="auto"/>
          <w:lang w:val="en-US" w:eastAsia="zh-CN"/>
        </w:rPr>
        <w:t>表5.</w:t>
      </w:r>
      <w:r>
        <w:rPr>
          <w:rFonts w:hint="eastAsia"/>
          <w:color w:val="auto"/>
          <w:lang w:val="en-US" w:eastAsia="zh-CN"/>
        </w:rPr>
        <w:t>2</w:t>
      </w:r>
      <w:r>
        <w:rPr>
          <w:rFonts w:hint="default"/>
          <w:color w:val="auto"/>
          <w:lang w:val="en-US" w:eastAsia="zh-CN"/>
        </w:rPr>
        <w:t>-1 露天采场</w:t>
      </w:r>
      <w:r>
        <w:rPr>
          <w:rFonts w:hint="eastAsia"/>
          <w:color w:val="auto"/>
          <w:lang w:val="en-US" w:eastAsia="zh-CN"/>
        </w:rPr>
        <w:t>安全</w:t>
      </w:r>
      <w:r>
        <w:rPr>
          <w:rFonts w:hint="default"/>
          <w:color w:val="auto"/>
          <w:lang w:val="en-US" w:eastAsia="zh-CN"/>
        </w:rPr>
        <w:t>检查表</w:t>
      </w:r>
    </w:p>
    <w:tbl>
      <w:tblPr>
        <w:tblStyle w:val="21"/>
        <w:tblW w:w="9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3016"/>
        <w:gridCol w:w="1535"/>
        <w:gridCol w:w="1120"/>
        <w:gridCol w:w="847"/>
        <w:gridCol w:w="696"/>
        <w:gridCol w:w="933"/>
        <w:gridCol w:w="633"/>
      </w:tblGrid>
      <w:tr w14:paraId="1F76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1" w:type="dxa"/>
            <w:vAlign w:val="center"/>
          </w:tcPr>
          <w:p w14:paraId="76EEE1D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序号</w:t>
            </w:r>
          </w:p>
        </w:tc>
        <w:tc>
          <w:tcPr>
            <w:tcW w:w="3016" w:type="dxa"/>
            <w:vAlign w:val="center"/>
          </w:tcPr>
          <w:p w14:paraId="65101B9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检查内容</w:t>
            </w:r>
          </w:p>
        </w:tc>
        <w:tc>
          <w:tcPr>
            <w:tcW w:w="1535" w:type="dxa"/>
            <w:vAlign w:val="center"/>
          </w:tcPr>
          <w:p w14:paraId="03E09B6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检查依据</w:t>
            </w:r>
          </w:p>
        </w:tc>
        <w:tc>
          <w:tcPr>
            <w:tcW w:w="1120" w:type="dxa"/>
            <w:vAlign w:val="center"/>
          </w:tcPr>
          <w:p w14:paraId="3493CB8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检查方法及地点</w:t>
            </w:r>
          </w:p>
        </w:tc>
        <w:tc>
          <w:tcPr>
            <w:tcW w:w="847" w:type="dxa"/>
            <w:vAlign w:val="center"/>
          </w:tcPr>
          <w:p w14:paraId="54A0120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检查</w:t>
            </w:r>
          </w:p>
          <w:p w14:paraId="106E137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记录</w:t>
            </w:r>
          </w:p>
        </w:tc>
        <w:tc>
          <w:tcPr>
            <w:tcW w:w="696" w:type="dxa"/>
            <w:vAlign w:val="center"/>
          </w:tcPr>
          <w:p w14:paraId="38A1D88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标准</w:t>
            </w:r>
          </w:p>
          <w:p w14:paraId="4881FF6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分值</w:t>
            </w:r>
          </w:p>
        </w:tc>
        <w:tc>
          <w:tcPr>
            <w:tcW w:w="933" w:type="dxa"/>
            <w:vAlign w:val="center"/>
          </w:tcPr>
          <w:p w14:paraId="5A3475E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评分</w:t>
            </w:r>
          </w:p>
          <w:p w14:paraId="27A804F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标准</w:t>
            </w:r>
          </w:p>
        </w:tc>
        <w:tc>
          <w:tcPr>
            <w:tcW w:w="633" w:type="dxa"/>
            <w:vAlign w:val="center"/>
          </w:tcPr>
          <w:p w14:paraId="5312A77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得分</w:t>
            </w:r>
          </w:p>
        </w:tc>
      </w:tr>
      <w:tr w14:paraId="682F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591" w:type="dxa"/>
            <w:vMerge w:val="restart"/>
            <w:vAlign w:val="center"/>
          </w:tcPr>
          <w:p w14:paraId="60E8AB5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 开采技术要求</w:t>
            </w:r>
          </w:p>
        </w:tc>
        <w:tc>
          <w:tcPr>
            <w:tcW w:w="3016" w:type="dxa"/>
            <w:vAlign w:val="center"/>
          </w:tcPr>
          <w:p w14:paraId="44E7A59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w:t>
            </w:r>
            <w:r>
              <w:rPr>
                <w:rFonts w:hint="eastAsia"/>
                <w:color w:val="auto"/>
                <w:sz w:val="21"/>
                <w:szCs w:val="21"/>
                <w:vertAlign w:val="baseline"/>
                <w:lang w:val="en-US" w:eastAsia="zh-CN"/>
              </w:rPr>
              <w:t>1</w:t>
            </w:r>
            <w:r>
              <w:rPr>
                <w:rFonts w:hint="default"/>
                <w:color w:val="auto"/>
                <w:sz w:val="21"/>
                <w:szCs w:val="21"/>
                <w:vertAlign w:val="baseline"/>
                <w:lang w:val="en-US" w:eastAsia="zh-CN"/>
              </w:rPr>
              <w:t xml:space="preserve"> 矿山开采安全设施设计经相应的安全生产监督管理部门审查通过。</w:t>
            </w:r>
          </w:p>
        </w:tc>
        <w:tc>
          <w:tcPr>
            <w:tcW w:w="1535" w:type="dxa"/>
            <w:vAlign w:val="center"/>
          </w:tcPr>
          <w:p w14:paraId="44B852E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国家安监局令第18号</w:t>
            </w:r>
          </w:p>
          <w:p w14:paraId="49DAC23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第五条</w:t>
            </w:r>
          </w:p>
        </w:tc>
        <w:tc>
          <w:tcPr>
            <w:tcW w:w="1120" w:type="dxa"/>
            <w:vAlign w:val="center"/>
          </w:tcPr>
          <w:p w14:paraId="5D74FEC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查看设计批复</w:t>
            </w:r>
          </w:p>
        </w:tc>
        <w:tc>
          <w:tcPr>
            <w:tcW w:w="847" w:type="dxa"/>
            <w:vAlign w:val="center"/>
          </w:tcPr>
          <w:p w14:paraId="661A462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合格</w:t>
            </w:r>
          </w:p>
        </w:tc>
        <w:tc>
          <w:tcPr>
            <w:tcW w:w="696" w:type="dxa"/>
            <w:vAlign w:val="center"/>
          </w:tcPr>
          <w:p w14:paraId="20976BA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c>
          <w:tcPr>
            <w:tcW w:w="933" w:type="dxa"/>
            <w:vAlign w:val="center"/>
          </w:tcPr>
          <w:p w14:paraId="14ADC15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否决项</w:t>
            </w:r>
          </w:p>
        </w:tc>
        <w:tc>
          <w:tcPr>
            <w:tcW w:w="633" w:type="dxa"/>
            <w:vAlign w:val="center"/>
          </w:tcPr>
          <w:p w14:paraId="4A34467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r>
      <w:tr w14:paraId="0227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591" w:type="dxa"/>
            <w:vMerge w:val="continue"/>
            <w:vAlign w:val="center"/>
          </w:tcPr>
          <w:p w14:paraId="4632C18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3016" w:type="dxa"/>
            <w:vAlign w:val="center"/>
          </w:tcPr>
          <w:p w14:paraId="4A39EF0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1.1.1 有遭遇洪水危险的露天矿山应设置专用的防洪、排洪设施。</w:t>
            </w:r>
          </w:p>
        </w:tc>
        <w:tc>
          <w:tcPr>
            <w:tcW w:w="1535" w:type="dxa"/>
            <w:vAlign w:val="center"/>
          </w:tcPr>
          <w:p w14:paraId="742BCE0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5BA251D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5.1.1</w:t>
            </w:r>
          </w:p>
        </w:tc>
        <w:tc>
          <w:tcPr>
            <w:tcW w:w="1120" w:type="dxa"/>
            <w:vAlign w:val="center"/>
          </w:tcPr>
          <w:p w14:paraId="3377FD3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ascii="Times New Roman" w:hAnsi="Times New Roman" w:eastAsia="宋体" w:cs="Times New Roman"/>
                <w:color w:val="auto"/>
                <w:kern w:val="2"/>
                <w:sz w:val="21"/>
                <w:szCs w:val="21"/>
                <w:vertAlign w:val="baseline"/>
                <w:lang w:val="en-US" w:eastAsia="zh-CN" w:bidi="ar-SA"/>
              </w:rPr>
              <w:t>现场检查</w:t>
            </w:r>
          </w:p>
        </w:tc>
        <w:tc>
          <w:tcPr>
            <w:tcW w:w="847" w:type="dxa"/>
            <w:vAlign w:val="center"/>
          </w:tcPr>
          <w:p w14:paraId="2638E15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不涉及</w:t>
            </w:r>
          </w:p>
        </w:tc>
        <w:tc>
          <w:tcPr>
            <w:tcW w:w="696" w:type="dxa"/>
            <w:vAlign w:val="center"/>
          </w:tcPr>
          <w:p w14:paraId="413339F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933" w:type="dxa"/>
            <w:vAlign w:val="center"/>
          </w:tcPr>
          <w:p w14:paraId="00B9F32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s="Times New Roman"/>
                <w:color w:val="auto"/>
                <w:kern w:val="2"/>
                <w:sz w:val="21"/>
                <w:szCs w:val="21"/>
                <w:vertAlign w:val="baseline"/>
                <w:lang w:val="en-US" w:eastAsia="zh-CN" w:bidi="ar-SA"/>
              </w:rPr>
              <w:t>不符合不得分</w:t>
            </w:r>
          </w:p>
        </w:tc>
        <w:tc>
          <w:tcPr>
            <w:tcW w:w="633" w:type="dxa"/>
            <w:vAlign w:val="center"/>
          </w:tcPr>
          <w:p w14:paraId="18D5BC0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r>
      <w:tr w14:paraId="275D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1" w:type="dxa"/>
            <w:vMerge w:val="continue"/>
            <w:vAlign w:val="center"/>
          </w:tcPr>
          <w:p w14:paraId="061F1E2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3016" w:type="dxa"/>
            <w:vAlign w:val="center"/>
          </w:tcPr>
          <w:p w14:paraId="7FCDB87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w:t>
            </w:r>
            <w:r>
              <w:rPr>
                <w:rFonts w:hint="eastAsia"/>
                <w:color w:val="auto"/>
                <w:sz w:val="21"/>
                <w:szCs w:val="21"/>
                <w:vertAlign w:val="baseline"/>
                <w:lang w:val="en-US" w:eastAsia="zh-CN"/>
              </w:rPr>
              <w:t>1.2 在受地下开采影响范围内进行露天开采时，如不采取技术措施，不应同时进行露天开采。</w:t>
            </w:r>
          </w:p>
        </w:tc>
        <w:tc>
          <w:tcPr>
            <w:tcW w:w="1535" w:type="dxa"/>
            <w:vAlign w:val="center"/>
          </w:tcPr>
          <w:p w14:paraId="1D02379C">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2856689F">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w:t>
            </w:r>
            <w:r>
              <w:rPr>
                <w:rFonts w:hint="eastAsia" w:ascii="Times New Roman" w:hAnsi="Times New Roman" w:eastAsia="宋体" w:cs="Times New Roman"/>
                <w:color w:val="auto"/>
                <w:kern w:val="2"/>
                <w:sz w:val="21"/>
                <w:szCs w:val="21"/>
                <w:vertAlign w:val="baseline"/>
                <w:lang w:val="en-US" w:eastAsia="zh-CN" w:bidi="ar-SA"/>
              </w:rPr>
              <w:t>2</w:t>
            </w:r>
          </w:p>
        </w:tc>
        <w:tc>
          <w:tcPr>
            <w:tcW w:w="1120" w:type="dxa"/>
            <w:vAlign w:val="center"/>
          </w:tcPr>
          <w:p w14:paraId="2532770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查看图纸</w:t>
            </w:r>
          </w:p>
          <w:p w14:paraId="0285FEF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ascii="Times New Roman" w:hAnsi="Times New Roman" w:eastAsia="宋体" w:cs="Times New Roman"/>
                <w:color w:val="auto"/>
                <w:kern w:val="2"/>
                <w:sz w:val="21"/>
                <w:szCs w:val="21"/>
                <w:vertAlign w:val="baseline"/>
                <w:lang w:val="en-US" w:eastAsia="zh-CN" w:bidi="ar-SA"/>
              </w:rPr>
              <w:t>现场检查</w:t>
            </w:r>
          </w:p>
        </w:tc>
        <w:tc>
          <w:tcPr>
            <w:tcW w:w="847" w:type="dxa"/>
            <w:vAlign w:val="center"/>
          </w:tcPr>
          <w:p w14:paraId="2F2454A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不涉及</w:t>
            </w:r>
          </w:p>
        </w:tc>
        <w:tc>
          <w:tcPr>
            <w:tcW w:w="696" w:type="dxa"/>
            <w:vAlign w:val="center"/>
          </w:tcPr>
          <w:p w14:paraId="73200E3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933" w:type="dxa"/>
            <w:vAlign w:val="center"/>
          </w:tcPr>
          <w:p w14:paraId="6116CC2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s="Times New Roman"/>
                <w:color w:val="auto"/>
                <w:kern w:val="2"/>
                <w:sz w:val="21"/>
                <w:szCs w:val="21"/>
                <w:vertAlign w:val="baseline"/>
                <w:lang w:val="en-US" w:eastAsia="zh-CN" w:bidi="ar-SA"/>
              </w:rPr>
              <w:t>不符合不得分</w:t>
            </w:r>
          </w:p>
        </w:tc>
        <w:tc>
          <w:tcPr>
            <w:tcW w:w="633" w:type="dxa"/>
            <w:vAlign w:val="center"/>
          </w:tcPr>
          <w:p w14:paraId="0B100E8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r>
      <w:tr w14:paraId="2FF8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591" w:type="dxa"/>
            <w:vMerge w:val="continue"/>
            <w:vAlign w:val="center"/>
          </w:tcPr>
          <w:p w14:paraId="3E260A8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3016" w:type="dxa"/>
            <w:vAlign w:val="center"/>
          </w:tcPr>
          <w:p w14:paraId="34155B2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1.1.3 地下开采转为露天开采时，应确定全部地下工程和矿柱的位置并绘制在矿山平、剖面对照图上；开采前应处理对露天开采安全有威胁的地下工程和采空区，不能处理的，就采取安全措施并在开采过程中处理。</w:t>
            </w:r>
          </w:p>
        </w:tc>
        <w:tc>
          <w:tcPr>
            <w:tcW w:w="1535" w:type="dxa"/>
            <w:vAlign w:val="center"/>
          </w:tcPr>
          <w:p w14:paraId="2C373908">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1CB7229F">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w:t>
            </w:r>
            <w:r>
              <w:rPr>
                <w:rFonts w:hint="eastAsia" w:ascii="Times New Roman" w:hAnsi="Times New Roman" w:eastAsia="宋体" w:cs="Times New Roman"/>
                <w:color w:val="auto"/>
                <w:kern w:val="2"/>
                <w:sz w:val="21"/>
                <w:szCs w:val="21"/>
                <w:vertAlign w:val="baseline"/>
                <w:lang w:val="en-US" w:eastAsia="zh-CN" w:bidi="ar-SA"/>
              </w:rPr>
              <w:t>3</w:t>
            </w:r>
          </w:p>
        </w:tc>
        <w:tc>
          <w:tcPr>
            <w:tcW w:w="1120" w:type="dxa"/>
            <w:vAlign w:val="center"/>
          </w:tcPr>
          <w:p w14:paraId="7B20B05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查看图纸</w:t>
            </w:r>
          </w:p>
          <w:p w14:paraId="23E098A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现场检查</w:t>
            </w:r>
          </w:p>
        </w:tc>
        <w:tc>
          <w:tcPr>
            <w:tcW w:w="847" w:type="dxa"/>
            <w:vAlign w:val="center"/>
          </w:tcPr>
          <w:p w14:paraId="2E4039B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不涉及</w:t>
            </w:r>
          </w:p>
        </w:tc>
        <w:tc>
          <w:tcPr>
            <w:tcW w:w="696" w:type="dxa"/>
            <w:vAlign w:val="center"/>
          </w:tcPr>
          <w:p w14:paraId="115990D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w:t>
            </w:r>
          </w:p>
        </w:tc>
        <w:tc>
          <w:tcPr>
            <w:tcW w:w="933" w:type="dxa"/>
            <w:vAlign w:val="center"/>
          </w:tcPr>
          <w:p w14:paraId="3C9B802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vAlign w:val="center"/>
          </w:tcPr>
          <w:p w14:paraId="1939C61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w:t>
            </w:r>
          </w:p>
        </w:tc>
      </w:tr>
      <w:tr w14:paraId="1294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591" w:type="dxa"/>
            <w:vMerge w:val="continue"/>
            <w:vAlign w:val="center"/>
          </w:tcPr>
          <w:p w14:paraId="4C6E0D7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3016" w:type="dxa"/>
            <w:vAlign w:val="center"/>
          </w:tcPr>
          <w:p w14:paraId="2B48AFA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 xml:space="preserve">1.1.4 </w:t>
            </w:r>
            <w:r>
              <w:rPr>
                <w:rFonts w:hint="default"/>
                <w:color w:val="auto"/>
                <w:sz w:val="21"/>
                <w:szCs w:val="21"/>
                <w:vertAlign w:val="baseline"/>
                <w:lang w:val="en-US" w:eastAsia="zh-CN"/>
              </w:rPr>
              <w:t>露天与地下同时开采时，应分析露天开采与地下开采的相互影响并采取有效的安全措施。露天和井下同时爆破影响安全时，不应同时爆破。</w:t>
            </w:r>
          </w:p>
        </w:tc>
        <w:tc>
          <w:tcPr>
            <w:tcW w:w="1535" w:type="dxa"/>
            <w:vAlign w:val="center"/>
          </w:tcPr>
          <w:p w14:paraId="26E8AD0E">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6EDF36FF">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w:t>
            </w:r>
            <w:r>
              <w:rPr>
                <w:rFonts w:hint="eastAsia" w:ascii="Times New Roman" w:hAnsi="Times New Roman" w:eastAsia="宋体" w:cs="Times New Roman"/>
                <w:color w:val="auto"/>
                <w:kern w:val="2"/>
                <w:sz w:val="21"/>
                <w:szCs w:val="21"/>
                <w:vertAlign w:val="baseline"/>
                <w:lang w:val="en-US" w:eastAsia="zh-CN" w:bidi="ar-SA"/>
              </w:rPr>
              <w:t>4</w:t>
            </w:r>
          </w:p>
        </w:tc>
        <w:tc>
          <w:tcPr>
            <w:tcW w:w="1120" w:type="dxa"/>
            <w:vAlign w:val="center"/>
          </w:tcPr>
          <w:p w14:paraId="0A3902A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查看图纸</w:t>
            </w:r>
          </w:p>
          <w:p w14:paraId="6441C87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现场检查</w:t>
            </w:r>
          </w:p>
        </w:tc>
        <w:tc>
          <w:tcPr>
            <w:tcW w:w="847" w:type="dxa"/>
            <w:vAlign w:val="center"/>
          </w:tcPr>
          <w:p w14:paraId="213918F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不涉及</w:t>
            </w:r>
          </w:p>
        </w:tc>
        <w:tc>
          <w:tcPr>
            <w:tcW w:w="696" w:type="dxa"/>
            <w:vAlign w:val="center"/>
          </w:tcPr>
          <w:p w14:paraId="166843F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w:t>
            </w:r>
          </w:p>
        </w:tc>
        <w:tc>
          <w:tcPr>
            <w:tcW w:w="933" w:type="dxa"/>
            <w:vAlign w:val="center"/>
          </w:tcPr>
          <w:p w14:paraId="0BEC859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vAlign w:val="center"/>
          </w:tcPr>
          <w:p w14:paraId="6FCA5D3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w:t>
            </w:r>
          </w:p>
        </w:tc>
      </w:tr>
      <w:tr w14:paraId="6C6E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vAlign w:val="center"/>
          </w:tcPr>
          <w:p w14:paraId="283DF57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3016" w:type="dxa"/>
            <w:vAlign w:val="center"/>
          </w:tcPr>
          <w:p w14:paraId="7C687C7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 xml:space="preserve">1.1.5 </w:t>
            </w:r>
            <w:r>
              <w:rPr>
                <w:rFonts w:hint="default"/>
                <w:color w:val="auto"/>
                <w:sz w:val="21"/>
                <w:szCs w:val="21"/>
                <w:vertAlign w:val="baseline"/>
                <w:lang w:val="en-US" w:eastAsia="zh-CN"/>
              </w:rPr>
              <w:t>下列区域内不得设置有人员值守的建构筑物</w:t>
            </w:r>
            <w:r>
              <w:rPr>
                <w:rFonts w:hint="eastAsia"/>
                <w:color w:val="auto"/>
                <w:sz w:val="21"/>
                <w:szCs w:val="21"/>
                <w:vertAlign w:val="baseline"/>
                <w:lang w:val="en-US" w:eastAsia="zh-CN"/>
              </w:rPr>
              <w:t>；</w:t>
            </w:r>
            <w:r>
              <w:rPr>
                <w:rFonts w:hint="default"/>
                <w:color w:val="auto"/>
                <w:sz w:val="21"/>
                <w:szCs w:val="21"/>
                <w:vertAlign w:val="baseline"/>
                <w:lang w:val="en-US" w:eastAsia="zh-CN"/>
              </w:rPr>
              <w:t>受露天爆破威胁区域；储存爆破器材的危险区域；矿山防洪区域；受岩体变形、塌陷、滑坡、泥石流等地质灾害影响区域。</w:t>
            </w:r>
          </w:p>
        </w:tc>
        <w:tc>
          <w:tcPr>
            <w:tcW w:w="1535" w:type="dxa"/>
            <w:vAlign w:val="center"/>
          </w:tcPr>
          <w:p w14:paraId="128AA72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1ECEFAE8">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w:t>
            </w:r>
            <w:r>
              <w:rPr>
                <w:rFonts w:hint="eastAsia" w:ascii="Times New Roman" w:hAnsi="Times New Roman" w:eastAsia="宋体" w:cs="Times New Roman"/>
                <w:color w:val="auto"/>
                <w:kern w:val="2"/>
                <w:sz w:val="21"/>
                <w:szCs w:val="21"/>
                <w:vertAlign w:val="baseline"/>
                <w:lang w:val="en-US" w:eastAsia="zh-CN" w:bidi="ar-SA"/>
              </w:rPr>
              <w:t>5</w:t>
            </w:r>
          </w:p>
        </w:tc>
        <w:tc>
          <w:tcPr>
            <w:tcW w:w="1120" w:type="dxa"/>
            <w:vAlign w:val="center"/>
          </w:tcPr>
          <w:p w14:paraId="4A7C537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查看图纸</w:t>
            </w:r>
          </w:p>
          <w:p w14:paraId="4F0E077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现场检查</w:t>
            </w:r>
          </w:p>
        </w:tc>
        <w:tc>
          <w:tcPr>
            <w:tcW w:w="847" w:type="dxa"/>
            <w:vAlign w:val="center"/>
          </w:tcPr>
          <w:p w14:paraId="6D9CD74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符合</w:t>
            </w:r>
          </w:p>
        </w:tc>
        <w:tc>
          <w:tcPr>
            <w:tcW w:w="696" w:type="dxa"/>
            <w:vAlign w:val="center"/>
          </w:tcPr>
          <w:p w14:paraId="6C74FFC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933" w:type="dxa"/>
            <w:vAlign w:val="center"/>
          </w:tcPr>
          <w:p w14:paraId="68B7385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vAlign w:val="center"/>
          </w:tcPr>
          <w:p w14:paraId="08F9B2D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r>
      <w:tr w14:paraId="180B3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vAlign w:val="center"/>
          </w:tcPr>
          <w:p w14:paraId="1C99705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3016" w:type="dxa"/>
            <w:vAlign w:val="center"/>
          </w:tcPr>
          <w:p w14:paraId="5065085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 xml:space="preserve">1.1.6 </w:t>
            </w:r>
            <w:r>
              <w:rPr>
                <w:rFonts w:hint="default"/>
                <w:color w:val="auto"/>
                <w:sz w:val="21"/>
                <w:szCs w:val="21"/>
                <w:vertAlign w:val="baseline"/>
                <w:lang w:val="en-US" w:eastAsia="zh-CN"/>
              </w:rPr>
              <w:t>设计规定保留的矿（岩）柱、挂帮矿体，在规定的期限内，未经技术论证，不得开采或破坏。</w:t>
            </w:r>
          </w:p>
        </w:tc>
        <w:tc>
          <w:tcPr>
            <w:tcW w:w="1535" w:type="dxa"/>
            <w:vAlign w:val="center"/>
          </w:tcPr>
          <w:p w14:paraId="6FCCD3BC">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4F5F3AC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5.1.1</w:t>
            </w:r>
            <w:r>
              <w:rPr>
                <w:rFonts w:hint="eastAsia" w:ascii="Times New Roman" w:hAnsi="Times New Roman" w:eastAsia="宋体" w:cs="Times New Roman"/>
                <w:color w:val="auto"/>
                <w:kern w:val="2"/>
                <w:sz w:val="21"/>
                <w:szCs w:val="21"/>
                <w:vertAlign w:val="baseline"/>
                <w:lang w:val="en-US" w:eastAsia="zh-CN" w:bidi="ar-SA"/>
              </w:rPr>
              <w:t>7</w:t>
            </w:r>
          </w:p>
        </w:tc>
        <w:tc>
          <w:tcPr>
            <w:tcW w:w="1120" w:type="dxa"/>
            <w:vAlign w:val="center"/>
          </w:tcPr>
          <w:p w14:paraId="17BD4F5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现场检查</w:t>
            </w:r>
          </w:p>
        </w:tc>
        <w:tc>
          <w:tcPr>
            <w:tcW w:w="847" w:type="dxa"/>
            <w:vAlign w:val="center"/>
          </w:tcPr>
          <w:p w14:paraId="7B20701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不涉及</w:t>
            </w:r>
          </w:p>
        </w:tc>
        <w:tc>
          <w:tcPr>
            <w:tcW w:w="696" w:type="dxa"/>
            <w:vAlign w:val="center"/>
          </w:tcPr>
          <w:p w14:paraId="60EE346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933" w:type="dxa"/>
            <w:vAlign w:val="center"/>
          </w:tcPr>
          <w:p w14:paraId="040BAD5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vAlign w:val="center"/>
          </w:tcPr>
          <w:p w14:paraId="2476761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w:t>
            </w:r>
          </w:p>
        </w:tc>
      </w:tr>
      <w:tr w14:paraId="7C9E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vAlign w:val="center"/>
          </w:tcPr>
          <w:p w14:paraId="140F11E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3016" w:type="dxa"/>
            <w:vAlign w:val="center"/>
          </w:tcPr>
          <w:p w14:paraId="7D6DAB9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 xml:space="preserve">1.1.7 </w:t>
            </w:r>
            <w:r>
              <w:rPr>
                <w:rFonts w:hint="default"/>
                <w:color w:val="auto"/>
                <w:sz w:val="21"/>
                <w:szCs w:val="21"/>
                <w:vertAlign w:val="baseline"/>
                <w:lang w:val="en-US" w:eastAsia="zh-CN"/>
              </w:rPr>
              <w:t>深凹露天矿的总出入口位置，应按排土场和工业场地的相对位置、标高、地形等条件确定；大型深凹露天矿，宜设两个出入口。</w:t>
            </w:r>
          </w:p>
        </w:tc>
        <w:tc>
          <w:tcPr>
            <w:tcW w:w="1535" w:type="dxa"/>
            <w:vAlign w:val="center"/>
          </w:tcPr>
          <w:p w14:paraId="3E8F210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0BEDFF1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7.4.7</w:t>
            </w:r>
          </w:p>
        </w:tc>
        <w:tc>
          <w:tcPr>
            <w:tcW w:w="1120" w:type="dxa"/>
            <w:vAlign w:val="center"/>
          </w:tcPr>
          <w:p w14:paraId="2FB5C1E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现场检查</w:t>
            </w:r>
          </w:p>
        </w:tc>
        <w:tc>
          <w:tcPr>
            <w:tcW w:w="847" w:type="dxa"/>
            <w:vAlign w:val="center"/>
          </w:tcPr>
          <w:p w14:paraId="2F430E5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不涉及</w:t>
            </w:r>
          </w:p>
        </w:tc>
        <w:tc>
          <w:tcPr>
            <w:tcW w:w="696" w:type="dxa"/>
            <w:vAlign w:val="center"/>
          </w:tcPr>
          <w:p w14:paraId="6ACC70C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933" w:type="dxa"/>
            <w:vAlign w:val="center"/>
          </w:tcPr>
          <w:p w14:paraId="322DAF3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vAlign w:val="center"/>
          </w:tcPr>
          <w:p w14:paraId="4CCA584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w:t>
            </w:r>
          </w:p>
        </w:tc>
      </w:tr>
      <w:tr w14:paraId="1970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vAlign w:val="center"/>
          </w:tcPr>
          <w:p w14:paraId="34B17E4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3016" w:type="dxa"/>
            <w:vAlign w:val="center"/>
          </w:tcPr>
          <w:p w14:paraId="26865DA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1.2 露天开采</w:t>
            </w:r>
            <w:r>
              <w:rPr>
                <w:rFonts w:hint="eastAsia"/>
                <w:color w:val="auto"/>
                <w:sz w:val="21"/>
                <w:szCs w:val="21"/>
                <w:vertAlign w:val="baseline"/>
                <w:lang w:val="en-US" w:eastAsia="zh-CN"/>
              </w:rPr>
              <w:t>。</w:t>
            </w:r>
          </w:p>
          <w:p w14:paraId="362EE96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1.2.1 露天矿山应采用自上而下的顺序，分台阶开采。</w:t>
            </w:r>
          </w:p>
        </w:tc>
        <w:tc>
          <w:tcPr>
            <w:tcW w:w="1535" w:type="dxa"/>
            <w:vAlign w:val="center"/>
          </w:tcPr>
          <w:p w14:paraId="4BF3EFE8">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58F0C9C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5.2.1.1</w:t>
            </w:r>
          </w:p>
        </w:tc>
        <w:tc>
          <w:tcPr>
            <w:tcW w:w="1120" w:type="dxa"/>
            <w:vAlign w:val="center"/>
          </w:tcPr>
          <w:p w14:paraId="0EEB891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查看图纸</w:t>
            </w:r>
          </w:p>
          <w:p w14:paraId="2B4A04A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现场检查</w:t>
            </w:r>
          </w:p>
        </w:tc>
        <w:tc>
          <w:tcPr>
            <w:tcW w:w="847" w:type="dxa"/>
            <w:vAlign w:val="center"/>
          </w:tcPr>
          <w:p w14:paraId="07A9451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符合</w:t>
            </w:r>
          </w:p>
        </w:tc>
        <w:tc>
          <w:tcPr>
            <w:tcW w:w="696" w:type="dxa"/>
            <w:vAlign w:val="center"/>
          </w:tcPr>
          <w:p w14:paraId="3824AC3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3</w:t>
            </w:r>
          </w:p>
        </w:tc>
        <w:tc>
          <w:tcPr>
            <w:tcW w:w="933" w:type="dxa"/>
            <w:vAlign w:val="center"/>
          </w:tcPr>
          <w:p w14:paraId="1ECA13E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vAlign w:val="center"/>
          </w:tcPr>
          <w:p w14:paraId="1A2EF1E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3</w:t>
            </w:r>
          </w:p>
        </w:tc>
      </w:tr>
      <w:tr w14:paraId="45C5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vAlign w:val="center"/>
          </w:tcPr>
          <w:p w14:paraId="3A05FA0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3016" w:type="dxa"/>
            <w:vAlign w:val="center"/>
          </w:tcPr>
          <w:p w14:paraId="2FA17CB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1.2.2 台阶高度：</w:t>
            </w:r>
          </w:p>
          <w:p w14:paraId="50E61A7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不爆破时，不大于机械的最大挖掘高度。</w:t>
            </w:r>
          </w:p>
          <w:p w14:paraId="2E55007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爆破时，不大于机械的最大挖掘高度的1.5倍。</w:t>
            </w:r>
          </w:p>
        </w:tc>
        <w:tc>
          <w:tcPr>
            <w:tcW w:w="1535" w:type="dxa"/>
            <w:vAlign w:val="center"/>
          </w:tcPr>
          <w:p w14:paraId="34993BE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7C4096CE">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5.2.1.1</w:t>
            </w:r>
          </w:p>
        </w:tc>
        <w:tc>
          <w:tcPr>
            <w:tcW w:w="1120" w:type="dxa"/>
            <w:vAlign w:val="center"/>
          </w:tcPr>
          <w:p w14:paraId="0FD589B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查看图纸</w:t>
            </w:r>
          </w:p>
          <w:p w14:paraId="4160093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现场检查</w:t>
            </w:r>
          </w:p>
        </w:tc>
        <w:tc>
          <w:tcPr>
            <w:tcW w:w="847" w:type="dxa"/>
            <w:vAlign w:val="center"/>
          </w:tcPr>
          <w:p w14:paraId="611E5B5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符合</w:t>
            </w:r>
          </w:p>
        </w:tc>
        <w:tc>
          <w:tcPr>
            <w:tcW w:w="696" w:type="dxa"/>
            <w:vAlign w:val="center"/>
          </w:tcPr>
          <w:p w14:paraId="36B112A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3</w:t>
            </w:r>
          </w:p>
        </w:tc>
        <w:tc>
          <w:tcPr>
            <w:tcW w:w="933" w:type="dxa"/>
            <w:vAlign w:val="center"/>
          </w:tcPr>
          <w:p w14:paraId="5FE3B43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vAlign w:val="center"/>
          </w:tcPr>
          <w:p w14:paraId="52C156A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3</w:t>
            </w:r>
          </w:p>
        </w:tc>
      </w:tr>
      <w:tr w14:paraId="70AB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591" w:type="dxa"/>
            <w:vMerge w:val="continue"/>
            <w:vAlign w:val="center"/>
          </w:tcPr>
          <w:p w14:paraId="5141CFE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3016" w:type="dxa"/>
            <w:vAlign w:val="center"/>
          </w:tcPr>
          <w:p w14:paraId="327E96D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1.2.3 露天矿山应采用机械方式进行开采。</w:t>
            </w:r>
          </w:p>
        </w:tc>
        <w:tc>
          <w:tcPr>
            <w:tcW w:w="1535" w:type="dxa"/>
            <w:vAlign w:val="center"/>
          </w:tcPr>
          <w:p w14:paraId="1E4AD60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0F84976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5.2.1.</w:t>
            </w:r>
            <w:r>
              <w:rPr>
                <w:rFonts w:hint="eastAsia" w:ascii="Times New Roman" w:hAnsi="Times New Roman" w:eastAsia="宋体" w:cs="Times New Roman"/>
                <w:color w:val="auto"/>
                <w:kern w:val="2"/>
                <w:sz w:val="21"/>
                <w:szCs w:val="21"/>
                <w:vertAlign w:val="baseline"/>
                <w:lang w:val="en-US" w:eastAsia="zh-CN" w:bidi="ar-SA"/>
              </w:rPr>
              <w:t>2</w:t>
            </w:r>
          </w:p>
        </w:tc>
        <w:tc>
          <w:tcPr>
            <w:tcW w:w="1120" w:type="dxa"/>
            <w:vAlign w:val="center"/>
          </w:tcPr>
          <w:p w14:paraId="45E963E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现场检查</w:t>
            </w:r>
          </w:p>
        </w:tc>
        <w:tc>
          <w:tcPr>
            <w:tcW w:w="847" w:type="dxa"/>
            <w:vAlign w:val="center"/>
          </w:tcPr>
          <w:p w14:paraId="1E5ABB7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符合</w:t>
            </w:r>
          </w:p>
        </w:tc>
        <w:tc>
          <w:tcPr>
            <w:tcW w:w="696" w:type="dxa"/>
            <w:vAlign w:val="center"/>
          </w:tcPr>
          <w:p w14:paraId="397F5F8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3</w:t>
            </w:r>
          </w:p>
        </w:tc>
        <w:tc>
          <w:tcPr>
            <w:tcW w:w="933" w:type="dxa"/>
            <w:vAlign w:val="center"/>
          </w:tcPr>
          <w:p w14:paraId="3FD5426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vAlign w:val="center"/>
          </w:tcPr>
          <w:p w14:paraId="594B45D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3</w:t>
            </w:r>
          </w:p>
        </w:tc>
      </w:tr>
      <w:tr w14:paraId="637C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vAlign w:val="center"/>
          </w:tcPr>
          <w:p w14:paraId="7646037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3016" w:type="dxa"/>
            <w:vAlign w:val="center"/>
          </w:tcPr>
          <w:p w14:paraId="4672059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1.2.4 多台阶并段时并段数量不超过3个，且不应影响边坡稳定性及下部作业安全。</w:t>
            </w:r>
          </w:p>
        </w:tc>
        <w:tc>
          <w:tcPr>
            <w:tcW w:w="1535" w:type="dxa"/>
            <w:vAlign w:val="center"/>
          </w:tcPr>
          <w:p w14:paraId="0574933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1EE6EDF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5.2.1.</w:t>
            </w:r>
            <w:r>
              <w:rPr>
                <w:rFonts w:hint="eastAsia" w:ascii="Times New Roman" w:hAnsi="Times New Roman" w:eastAsia="宋体" w:cs="Times New Roman"/>
                <w:color w:val="auto"/>
                <w:kern w:val="2"/>
                <w:sz w:val="21"/>
                <w:szCs w:val="21"/>
                <w:vertAlign w:val="baseline"/>
                <w:lang w:val="en-US" w:eastAsia="zh-CN" w:bidi="ar-SA"/>
              </w:rPr>
              <w:t>3</w:t>
            </w:r>
          </w:p>
        </w:tc>
        <w:tc>
          <w:tcPr>
            <w:tcW w:w="1120" w:type="dxa"/>
            <w:vAlign w:val="center"/>
          </w:tcPr>
          <w:p w14:paraId="5E59904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查看图纸</w:t>
            </w:r>
          </w:p>
          <w:p w14:paraId="617373E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现场检查</w:t>
            </w:r>
          </w:p>
        </w:tc>
        <w:tc>
          <w:tcPr>
            <w:tcW w:w="847" w:type="dxa"/>
            <w:vAlign w:val="center"/>
          </w:tcPr>
          <w:p w14:paraId="5411C96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并段数量2个</w:t>
            </w:r>
          </w:p>
        </w:tc>
        <w:tc>
          <w:tcPr>
            <w:tcW w:w="696" w:type="dxa"/>
            <w:vAlign w:val="center"/>
          </w:tcPr>
          <w:p w14:paraId="12977D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2</w:t>
            </w:r>
          </w:p>
        </w:tc>
        <w:tc>
          <w:tcPr>
            <w:tcW w:w="933" w:type="dxa"/>
            <w:vAlign w:val="center"/>
          </w:tcPr>
          <w:p w14:paraId="4D1454B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vAlign w:val="center"/>
          </w:tcPr>
          <w:p w14:paraId="57E8CD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2</w:t>
            </w:r>
          </w:p>
        </w:tc>
      </w:tr>
      <w:tr w14:paraId="406CA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591" w:type="dxa"/>
            <w:vMerge w:val="continue"/>
            <w:vAlign w:val="center"/>
          </w:tcPr>
          <w:p w14:paraId="4496345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3016" w:type="dxa"/>
            <w:vAlign w:val="center"/>
          </w:tcPr>
          <w:p w14:paraId="3FDBC7D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1.2.5 露天采场应设安全平台和清扫平台。人工清扫平台宽度不小于6m，机械清扫平台宽度应满足设备要求且不小8m。</w:t>
            </w:r>
          </w:p>
        </w:tc>
        <w:tc>
          <w:tcPr>
            <w:tcW w:w="1535" w:type="dxa"/>
            <w:vAlign w:val="center"/>
          </w:tcPr>
          <w:p w14:paraId="7E23D67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06D00185">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5.2.1.</w:t>
            </w:r>
            <w:r>
              <w:rPr>
                <w:rFonts w:hint="eastAsia" w:ascii="Times New Roman" w:hAnsi="Times New Roman" w:eastAsia="宋体" w:cs="Times New Roman"/>
                <w:color w:val="auto"/>
                <w:kern w:val="2"/>
                <w:sz w:val="21"/>
                <w:szCs w:val="21"/>
                <w:vertAlign w:val="baseline"/>
                <w:lang w:val="en-US" w:eastAsia="zh-CN" w:bidi="ar-SA"/>
              </w:rPr>
              <w:t>4</w:t>
            </w:r>
          </w:p>
        </w:tc>
        <w:tc>
          <w:tcPr>
            <w:tcW w:w="1120" w:type="dxa"/>
            <w:vAlign w:val="center"/>
          </w:tcPr>
          <w:p w14:paraId="64F2EF5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查看图纸</w:t>
            </w:r>
          </w:p>
          <w:p w14:paraId="18C7E15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现场检查</w:t>
            </w:r>
          </w:p>
        </w:tc>
        <w:tc>
          <w:tcPr>
            <w:tcW w:w="847" w:type="dxa"/>
            <w:vAlign w:val="center"/>
          </w:tcPr>
          <w:p w14:paraId="1C0B428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清扫平台6m</w:t>
            </w:r>
          </w:p>
        </w:tc>
        <w:tc>
          <w:tcPr>
            <w:tcW w:w="696" w:type="dxa"/>
            <w:shd w:val="clear" w:color="auto" w:fill="auto"/>
            <w:vAlign w:val="center"/>
          </w:tcPr>
          <w:p w14:paraId="66DD76A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c>
          <w:tcPr>
            <w:tcW w:w="933" w:type="dxa"/>
            <w:shd w:val="clear" w:color="auto" w:fill="auto"/>
            <w:vAlign w:val="center"/>
          </w:tcPr>
          <w:p w14:paraId="73476F1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151442A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r>
      <w:tr w14:paraId="31184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vAlign w:val="center"/>
          </w:tcPr>
          <w:p w14:paraId="4769067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3016" w:type="dxa"/>
            <w:vAlign w:val="center"/>
          </w:tcPr>
          <w:p w14:paraId="78DBA19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1.2.</w:t>
            </w:r>
            <w:r>
              <w:rPr>
                <w:rFonts w:hint="eastAsia"/>
                <w:color w:val="auto"/>
                <w:sz w:val="21"/>
                <w:szCs w:val="21"/>
                <w:vertAlign w:val="baseline"/>
                <w:lang w:val="en-US" w:eastAsia="zh-CN"/>
              </w:rPr>
              <w:t>6</w:t>
            </w:r>
            <w:r>
              <w:rPr>
                <w:rFonts w:hint="default"/>
                <w:color w:val="auto"/>
                <w:sz w:val="21"/>
                <w:szCs w:val="21"/>
                <w:vertAlign w:val="baseline"/>
                <w:lang w:val="en-US" w:eastAsia="zh-CN"/>
              </w:rPr>
              <w:t xml:space="preserve"> 采场运输道路以及供电、通信线路均应设置在稳定区域内。</w:t>
            </w:r>
          </w:p>
        </w:tc>
        <w:tc>
          <w:tcPr>
            <w:tcW w:w="1535" w:type="dxa"/>
            <w:vAlign w:val="center"/>
          </w:tcPr>
          <w:p w14:paraId="73A1DE5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0169F33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5.2.</w:t>
            </w:r>
            <w:r>
              <w:rPr>
                <w:rFonts w:hint="eastAsia" w:ascii="Times New Roman" w:hAnsi="Times New Roman" w:eastAsia="宋体" w:cs="Times New Roman"/>
                <w:color w:val="auto"/>
                <w:kern w:val="2"/>
                <w:sz w:val="21"/>
                <w:szCs w:val="21"/>
                <w:vertAlign w:val="baseline"/>
                <w:lang w:val="en-US" w:eastAsia="zh-CN" w:bidi="ar-SA"/>
              </w:rPr>
              <w:t>1.5</w:t>
            </w:r>
          </w:p>
        </w:tc>
        <w:tc>
          <w:tcPr>
            <w:tcW w:w="1120" w:type="dxa"/>
            <w:vAlign w:val="center"/>
          </w:tcPr>
          <w:p w14:paraId="04383F9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查看图纸</w:t>
            </w:r>
          </w:p>
          <w:p w14:paraId="66269D8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现场检查</w:t>
            </w:r>
          </w:p>
        </w:tc>
        <w:tc>
          <w:tcPr>
            <w:tcW w:w="847" w:type="dxa"/>
            <w:vAlign w:val="center"/>
          </w:tcPr>
          <w:p w14:paraId="4703DB6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符合</w:t>
            </w:r>
          </w:p>
        </w:tc>
        <w:tc>
          <w:tcPr>
            <w:tcW w:w="696" w:type="dxa"/>
            <w:vAlign w:val="center"/>
          </w:tcPr>
          <w:p w14:paraId="091DF8D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3</w:t>
            </w:r>
          </w:p>
        </w:tc>
        <w:tc>
          <w:tcPr>
            <w:tcW w:w="933" w:type="dxa"/>
            <w:vAlign w:val="center"/>
          </w:tcPr>
          <w:p w14:paraId="6192D48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vAlign w:val="center"/>
          </w:tcPr>
          <w:p w14:paraId="4B1268E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3</w:t>
            </w:r>
          </w:p>
        </w:tc>
      </w:tr>
      <w:tr w14:paraId="42288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591" w:type="dxa"/>
            <w:vMerge w:val="continue"/>
            <w:vAlign w:val="center"/>
          </w:tcPr>
          <w:p w14:paraId="28457D3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3016" w:type="dxa"/>
            <w:vAlign w:val="center"/>
          </w:tcPr>
          <w:p w14:paraId="6EAB8A9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1.2.</w:t>
            </w:r>
            <w:r>
              <w:rPr>
                <w:rFonts w:hint="eastAsia"/>
                <w:color w:val="auto"/>
                <w:sz w:val="21"/>
                <w:szCs w:val="21"/>
                <w:vertAlign w:val="baseline"/>
                <w:lang w:val="en-US" w:eastAsia="zh-CN"/>
              </w:rPr>
              <w:t>7</w:t>
            </w:r>
            <w:r>
              <w:rPr>
                <w:rFonts w:hint="default"/>
                <w:color w:val="auto"/>
                <w:sz w:val="21"/>
                <w:szCs w:val="21"/>
                <w:vertAlign w:val="baseline"/>
                <w:lang w:val="en-US" w:eastAsia="zh-CN"/>
              </w:rPr>
              <w:t xml:space="preserve"> 多台铲装设备在同一平台上作业时，铲装设备的间距：汽车运输时，应不小于设备最大工作半径的3倍，且不小于50m。</w:t>
            </w:r>
          </w:p>
        </w:tc>
        <w:tc>
          <w:tcPr>
            <w:tcW w:w="1535" w:type="dxa"/>
            <w:vAlign w:val="center"/>
          </w:tcPr>
          <w:p w14:paraId="45A34567">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042A462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5.2.</w:t>
            </w:r>
            <w:r>
              <w:rPr>
                <w:rFonts w:hint="eastAsia" w:ascii="Times New Roman" w:hAnsi="Times New Roman" w:eastAsia="宋体" w:cs="Times New Roman"/>
                <w:color w:val="auto"/>
                <w:kern w:val="2"/>
                <w:sz w:val="21"/>
                <w:szCs w:val="21"/>
                <w:vertAlign w:val="baseline"/>
                <w:lang w:val="en-US" w:eastAsia="zh-CN" w:bidi="ar-SA"/>
              </w:rPr>
              <w:t>3.5</w:t>
            </w:r>
          </w:p>
        </w:tc>
        <w:tc>
          <w:tcPr>
            <w:tcW w:w="1120" w:type="dxa"/>
            <w:vAlign w:val="center"/>
          </w:tcPr>
          <w:p w14:paraId="1702AEA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现场检查</w:t>
            </w:r>
          </w:p>
        </w:tc>
        <w:tc>
          <w:tcPr>
            <w:tcW w:w="847" w:type="dxa"/>
            <w:vAlign w:val="center"/>
          </w:tcPr>
          <w:p w14:paraId="6BCA178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符合</w:t>
            </w:r>
          </w:p>
        </w:tc>
        <w:tc>
          <w:tcPr>
            <w:tcW w:w="696" w:type="dxa"/>
            <w:vAlign w:val="center"/>
          </w:tcPr>
          <w:p w14:paraId="11E3838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w:t>
            </w:r>
          </w:p>
        </w:tc>
        <w:tc>
          <w:tcPr>
            <w:tcW w:w="933" w:type="dxa"/>
            <w:vAlign w:val="center"/>
          </w:tcPr>
          <w:p w14:paraId="72BDF23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vAlign w:val="center"/>
          </w:tcPr>
          <w:p w14:paraId="12FD796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3</w:t>
            </w:r>
          </w:p>
        </w:tc>
      </w:tr>
      <w:tr w14:paraId="0678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vAlign w:val="center"/>
          </w:tcPr>
          <w:p w14:paraId="24C021D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3016" w:type="dxa"/>
            <w:vAlign w:val="center"/>
          </w:tcPr>
          <w:p w14:paraId="7747B81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1.2.</w:t>
            </w:r>
            <w:r>
              <w:rPr>
                <w:rFonts w:hint="eastAsia"/>
                <w:color w:val="auto"/>
                <w:sz w:val="21"/>
                <w:szCs w:val="21"/>
                <w:vertAlign w:val="baseline"/>
                <w:lang w:val="en-US" w:eastAsia="zh-CN"/>
              </w:rPr>
              <w:t>8</w:t>
            </w:r>
            <w:r>
              <w:rPr>
                <w:rFonts w:hint="default"/>
                <w:color w:val="auto"/>
                <w:sz w:val="21"/>
                <w:szCs w:val="21"/>
                <w:vertAlign w:val="baseline"/>
                <w:lang w:val="en-US" w:eastAsia="zh-CN"/>
              </w:rPr>
              <w:t xml:space="preserve"> 上、下台阶同时作业时，上部台阶的铲装设备应超前下部台阶铲装设备；超前距离不小于铲装设备最大工作半径的3倍，且不小于50m。</w:t>
            </w:r>
          </w:p>
        </w:tc>
        <w:tc>
          <w:tcPr>
            <w:tcW w:w="1535" w:type="dxa"/>
            <w:vAlign w:val="center"/>
          </w:tcPr>
          <w:p w14:paraId="58593FE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09857E9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5.2.</w:t>
            </w:r>
            <w:r>
              <w:rPr>
                <w:rFonts w:hint="eastAsia" w:ascii="Times New Roman" w:hAnsi="Times New Roman" w:eastAsia="宋体" w:cs="Times New Roman"/>
                <w:color w:val="auto"/>
                <w:kern w:val="2"/>
                <w:sz w:val="21"/>
                <w:szCs w:val="21"/>
                <w:vertAlign w:val="baseline"/>
                <w:lang w:val="en-US" w:eastAsia="zh-CN" w:bidi="ar-SA"/>
              </w:rPr>
              <w:t>3.6</w:t>
            </w:r>
          </w:p>
        </w:tc>
        <w:tc>
          <w:tcPr>
            <w:tcW w:w="1120" w:type="dxa"/>
            <w:vAlign w:val="center"/>
          </w:tcPr>
          <w:p w14:paraId="5547072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现场检查</w:t>
            </w:r>
          </w:p>
        </w:tc>
        <w:tc>
          <w:tcPr>
            <w:tcW w:w="847" w:type="dxa"/>
            <w:vAlign w:val="center"/>
          </w:tcPr>
          <w:p w14:paraId="6F17377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符合</w:t>
            </w:r>
          </w:p>
        </w:tc>
        <w:tc>
          <w:tcPr>
            <w:tcW w:w="696" w:type="dxa"/>
            <w:vAlign w:val="center"/>
          </w:tcPr>
          <w:p w14:paraId="2A434B5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w:t>
            </w:r>
          </w:p>
        </w:tc>
        <w:tc>
          <w:tcPr>
            <w:tcW w:w="933" w:type="dxa"/>
            <w:vAlign w:val="center"/>
          </w:tcPr>
          <w:p w14:paraId="1BBCD18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vAlign w:val="center"/>
          </w:tcPr>
          <w:p w14:paraId="1F1439E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w:t>
            </w:r>
          </w:p>
        </w:tc>
      </w:tr>
      <w:tr w14:paraId="6D4B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591" w:type="dxa"/>
            <w:vMerge w:val="continue"/>
            <w:vAlign w:val="center"/>
          </w:tcPr>
          <w:p w14:paraId="3C61488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3016" w:type="dxa"/>
            <w:vAlign w:val="center"/>
          </w:tcPr>
          <w:p w14:paraId="4FCCCFD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1.2.10 矿山应建立边坡安全管理和检查制度。每5年至少进行1次边坡稳定性分析。</w:t>
            </w:r>
          </w:p>
        </w:tc>
        <w:tc>
          <w:tcPr>
            <w:tcW w:w="1535" w:type="dxa"/>
            <w:vAlign w:val="center"/>
          </w:tcPr>
          <w:p w14:paraId="4C2F46F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5F0ACF3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5.2.</w:t>
            </w:r>
            <w:r>
              <w:rPr>
                <w:rFonts w:hint="eastAsia" w:cs="Times New Roman"/>
                <w:color w:val="auto"/>
                <w:kern w:val="2"/>
                <w:sz w:val="21"/>
                <w:szCs w:val="21"/>
                <w:vertAlign w:val="baseline"/>
                <w:lang w:val="en-US" w:eastAsia="zh-CN" w:bidi="ar-SA"/>
              </w:rPr>
              <w:t>4</w:t>
            </w:r>
            <w:r>
              <w:rPr>
                <w:rFonts w:hint="eastAsia" w:ascii="Times New Roman" w:hAnsi="Times New Roman" w:eastAsia="宋体" w:cs="Times New Roman"/>
                <w:color w:val="auto"/>
                <w:kern w:val="2"/>
                <w:sz w:val="21"/>
                <w:szCs w:val="21"/>
                <w:vertAlign w:val="baseline"/>
                <w:lang w:val="en-US" w:eastAsia="zh-CN" w:bidi="ar-SA"/>
              </w:rPr>
              <w:t>.5</w:t>
            </w:r>
          </w:p>
          <w:p w14:paraId="6A63AE5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1120" w:type="dxa"/>
            <w:vAlign w:val="center"/>
          </w:tcPr>
          <w:p w14:paraId="262C2B0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查</w:t>
            </w:r>
            <w:r>
              <w:rPr>
                <w:rFonts w:hint="default" w:ascii="Times New Roman" w:hAnsi="Times New Roman" w:eastAsia="宋体" w:cs="Times New Roman"/>
                <w:color w:val="auto"/>
                <w:kern w:val="2"/>
                <w:sz w:val="21"/>
                <w:szCs w:val="21"/>
                <w:vertAlign w:val="baseline"/>
                <w:lang w:val="en-US" w:eastAsia="zh-CN" w:bidi="ar-SA"/>
              </w:rPr>
              <w:t>看制度和分析报告</w:t>
            </w:r>
          </w:p>
        </w:tc>
        <w:tc>
          <w:tcPr>
            <w:tcW w:w="847" w:type="dxa"/>
            <w:vAlign w:val="center"/>
          </w:tcPr>
          <w:p w14:paraId="5860670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已进行</w:t>
            </w:r>
          </w:p>
        </w:tc>
        <w:tc>
          <w:tcPr>
            <w:tcW w:w="696" w:type="dxa"/>
            <w:vAlign w:val="center"/>
          </w:tcPr>
          <w:p w14:paraId="164FD39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w:t>
            </w:r>
          </w:p>
        </w:tc>
        <w:tc>
          <w:tcPr>
            <w:tcW w:w="933" w:type="dxa"/>
            <w:vAlign w:val="center"/>
          </w:tcPr>
          <w:p w14:paraId="10600E3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vAlign w:val="center"/>
          </w:tcPr>
          <w:p w14:paraId="7DF3ABB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w:t>
            </w:r>
          </w:p>
        </w:tc>
      </w:tr>
      <w:tr w14:paraId="12F6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8" w:hRule="atLeast"/>
          <w:jc w:val="center"/>
        </w:trPr>
        <w:tc>
          <w:tcPr>
            <w:tcW w:w="591" w:type="dxa"/>
            <w:vAlign w:val="center"/>
          </w:tcPr>
          <w:p w14:paraId="11D474D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 资料图纸</w:t>
            </w:r>
          </w:p>
        </w:tc>
        <w:tc>
          <w:tcPr>
            <w:tcW w:w="3016" w:type="dxa"/>
            <w:vAlign w:val="center"/>
          </w:tcPr>
          <w:p w14:paraId="4BC5ACB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具有符合规范的下列图纸：</w:t>
            </w:r>
          </w:p>
          <w:p w14:paraId="0032E5A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2.1 地质地形图；</w:t>
            </w:r>
          </w:p>
          <w:p w14:paraId="2FCC36A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2.2 采剥工程年末图；</w:t>
            </w:r>
          </w:p>
          <w:p w14:paraId="6DC46D9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2.</w:t>
            </w:r>
            <w:r>
              <w:rPr>
                <w:rFonts w:hint="eastAsia"/>
                <w:color w:val="auto"/>
                <w:sz w:val="21"/>
                <w:szCs w:val="21"/>
                <w:vertAlign w:val="baseline"/>
                <w:lang w:val="en-US" w:eastAsia="zh-CN"/>
              </w:rPr>
              <w:t>3</w:t>
            </w:r>
            <w:r>
              <w:rPr>
                <w:rFonts w:hint="default"/>
                <w:color w:val="auto"/>
                <w:sz w:val="21"/>
                <w:szCs w:val="21"/>
                <w:vertAlign w:val="baseline"/>
                <w:lang w:val="en-US" w:eastAsia="zh-CN"/>
              </w:rPr>
              <w:t xml:space="preserve"> 采场边坡工程平面及剖面图；</w:t>
            </w:r>
          </w:p>
          <w:p w14:paraId="1E98D17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2.</w:t>
            </w:r>
            <w:r>
              <w:rPr>
                <w:rFonts w:hint="eastAsia"/>
                <w:color w:val="auto"/>
                <w:sz w:val="21"/>
                <w:szCs w:val="21"/>
                <w:vertAlign w:val="baseline"/>
                <w:lang w:val="en-US" w:eastAsia="zh-CN"/>
              </w:rPr>
              <w:t>4</w:t>
            </w:r>
            <w:r>
              <w:rPr>
                <w:rFonts w:hint="default"/>
                <w:color w:val="auto"/>
                <w:sz w:val="21"/>
                <w:szCs w:val="21"/>
                <w:vertAlign w:val="baseline"/>
                <w:lang w:val="en-US" w:eastAsia="zh-CN"/>
              </w:rPr>
              <w:t xml:space="preserve"> 采场最终境界图；</w:t>
            </w:r>
          </w:p>
          <w:p w14:paraId="363075C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2.</w:t>
            </w:r>
            <w:r>
              <w:rPr>
                <w:rFonts w:hint="eastAsia"/>
                <w:color w:val="auto"/>
                <w:sz w:val="21"/>
                <w:szCs w:val="21"/>
                <w:vertAlign w:val="baseline"/>
                <w:lang w:val="en-US" w:eastAsia="zh-CN"/>
              </w:rPr>
              <w:t>5</w:t>
            </w:r>
            <w:r>
              <w:rPr>
                <w:rFonts w:hint="default"/>
                <w:color w:val="auto"/>
                <w:sz w:val="21"/>
                <w:szCs w:val="21"/>
                <w:vertAlign w:val="baseline"/>
                <w:lang w:val="en-US" w:eastAsia="zh-CN"/>
              </w:rPr>
              <w:t xml:space="preserve"> 排土场年末图；</w:t>
            </w:r>
          </w:p>
          <w:p w14:paraId="2E7CAAC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2.</w:t>
            </w:r>
            <w:r>
              <w:rPr>
                <w:rFonts w:hint="eastAsia"/>
                <w:color w:val="auto"/>
                <w:sz w:val="21"/>
                <w:szCs w:val="21"/>
                <w:vertAlign w:val="baseline"/>
                <w:lang w:val="en-US" w:eastAsia="zh-CN"/>
              </w:rPr>
              <w:t>6</w:t>
            </w:r>
            <w:r>
              <w:rPr>
                <w:rFonts w:hint="default"/>
                <w:color w:val="auto"/>
                <w:sz w:val="21"/>
                <w:szCs w:val="21"/>
                <w:vertAlign w:val="baseline"/>
                <w:lang w:val="en-US" w:eastAsia="zh-CN"/>
              </w:rPr>
              <w:t xml:space="preserve"> 排土场工程平面及剖面图；</w:t>
            </w:r>
          </w:p>
          <w:p w14:paraId="40560C2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2.</w:t>
            </w:r>
            <w:r>
              <w:rPr>
                <w:rFonts w:hint="eastAsia"/>
                <w:color w:val="auto"/>
                <w:sz w:val="21"/>
                <w:szCs w:val="21"/>
                <w:vertAlign w:val="baseline"/>
                <w:lang w:val="en-US" w:eastAsia="zh-CN"/>
              </w:rPr>
              <w:t>7</w:t>
            </w:r>
            <w:r>
              <w:rPr>
                <w:rFonts w:hint="default"/>
                <w:color w:val="auto"/>
                <w:sz w:val="21"/>
                <w:szCs w:val="21"/>
                <w:vertAlign w:val="baseline"/>
                <w:lang w:val="en-US" w:eastAsia="zh-CN"/>
              </w:rPr>
              <w:t xml:space="preserve"> 供配电系统图；</w:t>
            </w:r>
          </w:p>
          <w:p w14:paraId="353E4D3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2.</w:t>
            </w:r>
            <w:r>
              <w:rPr>
                <w:rFonts w:hint="eastAsia"/>
                <w:color w:val="auto"/>
                <w:sz w:val="21"/>
                <w:szCs w:val="21"/>
                <w:vertAlign w:val="baseline"/>
                <w:lang w:val="en-US" w:eastAsia="zh-CN"/>
              </w:rPr>
              <w:t>8</w:t>
            </w:r>
            <w:r>
              <w:rPr>
                <w:rFonts w:hint="default"/>
                <w:color w:val="auto"/>
                <w:sz w:val="21"/>
                <w:szCs w:val="21"/>
                <w:vertAlign w:val="baseline"/>
                <w:lang w:val="en-US" w:eastAsia="zh-CN"/>
              </w:rPr>
              <w:t xml:space="preserve"> 井下采空区与露天矿平面对照图；</w:t>
            </w:r>
          </w:p>
          <w:p w14:paraId="288BAAB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2.</w:t>
            </w:r>
            <w:r>
              <w:rPr>
                <w:rFonts w:hint="eastAsia"/>
                <w:color w:val="auto"/>
                <w:sz w:val="21"/>
                <w:szCs w:val="21"/>
                <w:vertAlign w:val="baseline"/>
                <w:lang w:val="en-US" w:eastAsia="zh-CN"/>
              </w:rPr>
              <w:t>9</w:t>
            </w:r>
            <w:r>
              <w:rPr>
                <w:rFonts w:hint="default"/>
                <w:color w:val="auto"/>
                <w:sz w:val="21"/>
                <w:szCs w:val="21"/>
                <w:vertAlign w:val="baseline"/>
                <w:lang w:val="en-US" w:eastAsia="zh-CN"/>
              </w:rPr>
              <w:t xml:space="preserve"> 防排水系统图。</w:t>
            </w:r>
          </w:p>
        </w:tc>
        <w:tc>
          <w:tcPr>
            <w:tcW w:w="1535" w:type="dxa"/>
            <w:vAlign w:val="center"/>
          </w:tcPr>
          <w:p w14:paraId="1E5395FE">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5B35950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4.1.9</w:t>
            </w:r>
          </w:p>
        </w:tc>
        <w:tc>
          <w:tcPr>
            <w:tcW w:w="1120" w:type="dxa"/>
            <w:vAlign w:val="center"/>
          </w:tcPr>
          <w:p w14:paraId="31C8E7A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查看图纸</w:t>
            </w:r>
          </w:p>
          <w:p w14:paraId="380FB4D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现场检查</w:t>
            </w:r>
          </w:p>
        </w:tc>
        <w:tc>
          <w:tcPr>
            <w:tcW w:w="847" w:type="dxa"/>
            <w:vAlign w:val="center"/>
          </w:tcPr>
          <w:p w14:paraId="3DA40EF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未提供采剥工程年末图，不涉及排土场和井下采空区</w:t>
            </w:r>
          </w:p>
        </w:tc>
        <w:tc>
          <w:tcPr>
            <w:tcW w:w="696" w:type="dxa"/>
            <w:vAlign w:val="center"/>
          </w:tcPr>
          <w:p w14:paraId="34DC343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18</w:t>
            </w:r>
          </w:p>
        </w:tc>
        <w:tc>
          <w:tcPr>
            <w:tcW w:w="933" w:type="dxa"/>
            <w:vAlign w:val="center"/>
          </w:tcPr>
          <w:p w14:paraId="7DEC0B9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每缺1项扣2分，1项不完善扣1分</w:t>
            </w:r>
          </w:p>
        </w:tc>
        <w:tc>
          <w:tcPr>
            <w:tcW w:w="633" w:type="dxa"/>
            <w:vAlign w:val="center"/>
          </w:tcPr>
          <w:p w14:paraId="75FA166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16</w:t>
            </w:r>
          </w:p>
        </w:tc>
      </w:tr>
      <w:tr w14:paraId="556C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91" w:type="dxa"/>
            <w:vMerge w:val="restart"/>
            <w:vAlign w:val="center"/>
          </w:tcPr>
          <w:p w14:paraId="4D70615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 xml:space="preserve">3. </w:t>
            </w:r>
            <w:r>
              <w:rPr>
                <w:rFonts w:hint="default"/>
                <w:color w:val="auto"/>
                <w:sz w:val="21"/>
                <w:szCs w:val="21"/>
                <w:vertAlign w:val="baseline"/>
                <w:lang w:val="en-US" w:eastAsia="zh-CN"/>
              </w:rPr>
              <w:t>作业</w:t>
            </w:r>
          </w:p>
          <w:p w14:paraId="706D723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现场</w:t>
            </w:r>
          </w:p>
          <w:p w14:paraId="727A98D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管理</w:t>
            </w:r>
          </w:p>
        </w:tc>
        <w:tc>
          <w:tcPr>
            <w:tcW w:w="3016" w:type="dxa"/>
            <w:vAlign w:val="center"/>
          </w:tcPr>
          <w:p w14:paraId="2C41E18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3. 1 设立警示标志：</w:t>
            </w:r>
          </w:p>
          <w:p w14:paraId="7F3AFD4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露天坑入口和露天坑周围易发生危险的区域应设置围栏和警示标志，防止无关人员进入。</w:t>
            </w:r>
          </w:p>
        </w:tc>
        <w:tc>
          <w:tcPr>
            <w:tcW w:w="1535" w:type="dxa"/>
            <w:vAlign w:val="center"/>
          </w:tcPr>
          <w:p w14:paraId="1479F6DF">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4C8EFB5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5.1.8</w:t>
            </w:r>
          </w:p>
        </w:tc>
        <w:tc>
          <w:tcPr>
            <w:tcW w:w="1120" w:type="dxa"/>
            <w:vAlign w:val="center"/>
          </w:tcPr>
          <w:p w14:paraId="023A322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vAlign w:val="center"/>
          </w:tcPr>
          <w:p w14:paraId="7EFEE57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未设采场边界围栏</w:t>
            </w:r>
          </w:p>
        </w:tc>
        <w:tc>
          <w:tcPr>
            <w:tcW w:w="696" w:type="dxa"/>
            <w:vAlign w:val="center"/>
          </w:tcPr>
          <w:p w14:paraId="13CB383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933" w:type="dxa"/>
            <w:vAlign w:val="center"/>
          </w:tcPr>
          <w:p w14:paraId="5801E6D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vAlign w:val="center"/>
          </w:tcPr>
          <w:p w14:paraId="2BB7800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0</w:t>
            </w:r>
          </w:p>
        </w:tc>
      </w:tr>
      <w:tr w14:paraId="09E6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vAlign w:val="center"/>
          </w:tcPr>
          <w:p w14:paraId="34A3E77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3016" w:type="dxa"/>
            <w:vAlign w:val="center"/>
          </w:tcPr>
          <w:p w14:paraId="3AAB92B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3.2 夜间工作的采矿场和排废场，在下列地点应设置照明：1、凿岩机、移动式或固定式空气压缩机和水泵的工作地点；2、斜坡卷扬机道、人行梯和人行道；3、汽车运输的装卸车处、人工装卸车地点的排废场、卸车线；4、调车站、会让站。</w:t>
            </w:r>
          </w:p>
        </w:tc>
        <w:tc>
          <w:tcPr>
            <w:tcW w:w="1535" w:type="dxa"/>
            <w:vAlign w:val="center"/>
          </w:tcPr>
          <w:p w14:paraId="2386385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2F2D768F">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5.6.3.1</w:t>
            </w:r>
          </w:p>
        </w:tc>
        <w:tc>
          <w:tcPr>
            <w:tcW w:w="1120" w:type="dxa"/>
            <w:vAlign w:val="center"/>
          </w:tcPr>
          <w:p w14:paraId="38DC564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vAlign w:val="center"/>
          </w:tcPr>
          <w:p w14:paraId="1A849CC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不涉及夜间作业</w:t>
            </w:r>
          </w:p>
        </w:tc>
        <w:tc>
          <w:tcPr>
            <w:tcW w:w="696" w:type="dxa"/>
            <w:vAlign w:val="center"/>
          </w:tcPr>
          <w:p w14:paraId="3CA59FF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8</w:t>
            </w:r>
          </w:p>
        </w:tc>
        <w:tc>
          <w:tcPr>
            <w:tcW w:w="933" w:type="dxa"/>
            <w:vAlign w:val="center"/>
          </w:tcPr>
          <w:p w14:paraId="63F837F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1项不符合扣2分</w:t>
            </w:r>
          </w:p>
        </w:tc>
        <w:tc>
          <w:tcPr>
            <w:tcW w:w="633" w:type="dxa"/>
            <w:vAlign w:val="center"/>
          </w:tcPr>
          <w:p w14:paraId="50BFC01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r>
      <w:tr w14:paraId="7C93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1" w:type="dxa"/>
            <w:vMerge w:val="continue"/>
            <w:vAlign w:val="center"/>
          </w:tcPr>
          <w:p w14:paraId="6B7EC60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3016" w:type="dxa"/>
            <w:vAlign w:val="center"/>
          </w:tcPr>
          <w:p w14:paraId="3A1EB67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3.3 边坡浮石清除完毕之前不应在边坡底部作业；人员和设备不应在边坡底部留。</w:t>
            </w:r>
          </w:p>
        </w:tc>
        <w:tc>
          <w:tcPr>
            <w:tcW w:w="1535" w:type="dxa"/>
            <w:vAlign w:val="center"/>
          </w:tcPr>
          <w:p w14:paraId="232F108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7E97BC2C">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5.2.4.4</w:t>
            </w:r>
          </w:p>
        </w:tc>
        <w:tc>
          <w:tcPr>
            <w:tcW w:w="1120" w:type="dxa"/>
            <w:vAlign w:val="center"/>
          </w:tcPr>
          <w:p w14:paraId="7C5F344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vAlign w:val="center"/>
          </w:tcPr>
          <w:p w14:paraId="3355243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vAlign w:val="center"/>
          </w:tcPr>
          <w:p w14:paraId="7569395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w:t>
            </w:r>
          </w:p>
        </w:tc>
        <w:tc>
          <w:tcPr>
            <w:tcW w:w="933" w:type="dxa"/>
            <w:vAlign w:val="center"/>
          </w:tcPr>
          <w:p w14:paraId="7BBBEAB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vAlign w:val="center"/>
          </w:tcPr>
          <w:p w14:paraId="443F0B2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3</w:t>
            </w:r>
          </w:p>
        </w:tc>
      </w:tr>
      <w:tr w14:paraId="7E48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1" w:type="dxa"/>
            <w:vMerge w:val="continue"/>
            <w:shd w:val="clear" w:color="auto" w:fill="auto"/>
            <w:vAlign w:val="center"/>
          </w:tcPr>
          <w:p w14:paraId="7C47213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4FBA384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3.4 采剥设备</w:t>
            </w:r>
          </w:p>
          <w:p w14:paraId="1B2B87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3.4.1 机电设备符合国家安全标准或行业安全标准；</w:t>
            </w:r>
          </w:p>
          <w:p w14:paraId="15174F6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3.4.2 露天矿用设备应配备灭火器。</w:t>
            </w:r>
          </w:p>
        </w:tc>
        <w:tc>
          <w:tcPr>
            <w:tcW w:w="1535" w:type="dxa"/>
            <w:shd w:val="clear" w:color="auto" w:fill="auto"/>
            <w:vAlign w:val="center"/>
          </w:tcPr>
          <w:p w14:paraId="70347CE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《矿山安全法实施条例》第十四条</w:t>
            </w:r>
          </w:p>
          <w:p w14:paraId="1A0462B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269DB3B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5.7.2.2</w:t>
            </w:r>
          </w:p>
        </w:tc>
        <w:tc>
          <w:tcPr>
            <w:tcW w:w="1120" w:type="dxa"/>
            <w:shd w:val="clear" w:color="auto" w:fill="auto"/>
            <w:vAlign w:val="center"/>
          </w:tcPr>
          <w:p w14:paraId="27D882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查看资料、生产现场</w:t>
            </w:r>
          </w:p>
        </w:tc>
        <w:tc>
          <w:tcPr>
            <w:tcW w:w="847" w:type="dxa"/>
            <w:shd w:val="clear" w:color="auto" w:fill="auto"/>
            <w:vAlign w:val="center"/>
          </w:tcPr>
          <w:p w14:paraId="133E342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0890FFF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4</w:t>
            </w:r>
          </w:p>
        </w:tc>
        <w:tc>
          <w:tcPr>
            <w:tcW w:w="933" w:type="dxa"/>
            <w:shd w:val="clear" w:color="auto" w:fill="auto"/>
            <w:vAlign w:val="center"/>
          </w:tcPr>
          <w:p w14:paraId="4523304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1项不符合扣2分</w:t>
            </w:r>
          </w:p>
        </w:tc>
        <w:tc>
          <w:tcPr>
            <w:tcW w:w="633" w:type="dxa"/>
            <w:shd w:val="clear" w:color="auto" w:fill="auto"/>
            <w:vAlign w:val="center"/>
          </w:tcPr>
          <w:p w14:paraId="073FB50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w:t>
            </w:r>
          </w:p>
        </w:tc>
      </w:tr>
      <w:tr w14:paraId="37C13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restart"/>
            <w:shd w:val="clear" w:color="auto" w:fill="auto"/>
            <w:vAlign w:val="center"/>
          </w:tcPr>
          <w:p w14:paraId="6A46F8B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4. 穿孔作业</w:t>
            </w:r>
          </w:p>
        </w:tc>
        <w:tc>
          <w:tcPr>
            <w:tcW w:w="3016" w:type="dxa"/>
            <w:shd w:val="clear" w:color="auto" w:fill="auto"/>
            <w:vAlign w:val="center"/>
          </w:tcPr>
          <w:p w14:paraId="2FC8B0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4.1 露天开采不应采用没有捕尘装置的干式穿孔设备。</w:t>
            </w:r>
          </w:p>
        </w:tc>
        <w:tc>
          <w:tcPr>
            <w:tcW w:w="1535" w:type="dxa"/>
            <w:shd w:val="clear" w:color="auto" w:fill="auto"/>
            <w:vAlign w:val="center"/>
          </w:tcPr>
          <w:p w14:paraId="57BD25D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7A526A0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w:t>
            </w:r>
            <w:r>
              <w:rPr>
                <w:rFonts w:hint="eastAsia" w:ascii="Times New Roman" w:hAnsi="Times New Roman" w:eastAsia="宋体" w:cs="Times New Roman"/>
                <w:color w:val="auto"/>
                <w:kern w:val="2"/>
                <w:sz w:val="21"/>
                <w:szCs w:val="21"/>
                <w:vertAlign w:val="baseline"/>
                <w:lang w:val="en-US" w:eastAsia="zh-CN" w:bidi="ar-SA"/>
              </w:rPr>
              <w:t>1.11</w:t>
            </w:r>
          </w:p>
        </w:tc>
        <w:tc>
          <w:tcPr>
            <w:tcW w:w="1120" w:type="dxa"/>
            <w:shd w:val="clear" w:color="auto" w:fill="auto"/>
            <w:vAlign w:val="center"/>
          </w:tcPr>
          <w:p w14:paraId="04EC4DA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查看资料、生产现场</w:t>
            </w:r>
          </w:p>
        </w:tc>
        <w:tc>
          <w:tcPr>
            <w:tcW w:w="847" w:type="dxa"/>
            <w:shd w:val="clear" w:color="auto" w:fill="auto"/>
            <w:vAlign w:val="center"/>
          </w:tcPr>
          <w:p w14:paraId="1FCC23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4B56F32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c>
          <w:tcPr>
            <w:tcW w:w="933" w:type="dxa"/>
            <w:shd w:val="clear" w:color="auto" w:fill="auto"/>
            <w:vAlign w:val="center"/>
          </w:tcPr>
          <w:p w14:paraId="65F787D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174E66F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r>
      <w:tr w14:paraId="6C43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shd w:val="clear" w:color="auto" w:fill="auto"/>
            <w:vAlign w:val="center"/>
          </w:tcPr>
          <w:p w14:paraId="3E22960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5C6D2E3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4.2 钻机作业</w:t>
            </w:r>
          </w:p>
          <w:p w14:paraId="0AEEEFE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4.2.1 钻机稳车时，应与台阶坡顶线保持足够的安全距离。</w:t>
            </w:r>
          </w:p>
          <w:p w14:paraId="5289353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4.2.2 穿凿第一排孔时，钻机纵轴线与台阶坡顶线的夹角不小于45°。</w:t>
            </w:r>
          </w:p>
          <w:p w14:paraId="75CAE62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4.2.3 钻机与下部台阶接近坡底线的电铲不应同时作业；</w:t>
            </w:r>
          </w:p>
          <w:p w14:paraId="49C26C7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4.2.4 钻机长时间停机，应切断机上电源。</w:t>
            </w:r>
          </w:p>
        </w:tc>
        <w:tc>
          <w:tcPr>
            <w:tcW w:w="1535" w:type="dxa"/>
            <w:shd w:val="clear" w:color="auto" w:fill="auto"/>
            <w:vAlign w:val="center"/>
          </w:tcPr>
          <w:p w14:paraId="7E764FCE">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5A9D441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5.2.2.1</w:t>
            </w:r>
          </w:p>
        </w:tc>
        <w:tc>
          <w:tcPr>
            <w:tcW w:w="1120" w:type="dxa"/>
            <w:shd w:val="clear" w:color="auto" w:fill="auto"/>
            <w:vAlign w:val="center"/>
          </w:tcPr>
          <w:p w14:paraId="572C9E3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2CA2E1A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0E6DE63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8</w:t>
            </w:r>
          </w:p>
        </w:tc>
        <w:tc>
          <w:tcPr>
            <w:tcW w:w="933" w:type="dxa"/>
            <w:shd w:val="clear" w:color="auto" w:fill="auto"/>
            <w:vAlign w:val="center"/>
          </w:tcPr>
          <w:p w14:paraId="42E9CC5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1项不符合扣2分</w:t>
            </w:r>
          </w:p>
        </w:tc>
        <w:tc>
          <w:tcPr>
            <w:tcW w:w="633" w:type="dxa"/>
            <w:shd w:val="clear" w:color="auto" w:fill="auto"/>
            <w:vAlign w:val="center"/>
          </w:tcPr>
          <w:p w14:paraId="2B4BDD4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8</w:t>
            </w:r>
          </w:p>
        </w:tc>
      </w:tr>
      <w:tr w14:paraId="5B53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shd w:val="clear" w:color="auto" w:fill="auto"/>
            <w:vAlign w:val="center"/>
          </w:tcPr>
          <w:p w14:paraId="2AB6D2A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1492B8D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4.3 移动钻机应遵守如下规定：</w:t>
            </w:r>
          </w:p>
          <w:p w14:paraId="4D211F9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4.3.1 行走前司机应先鸣笛，确认履带前后无人；</w:t>
            </w:r>
          </w:p>
          <w:p w14:paraId="7E2954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4.3.2 行进前方应有照明；</w:t>
            </w:r>
          </w:p>
          <w:p w14:paraId="2A4A0E4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4.3.3 行走时应采取防倾覆措施，前方应有人引导和监护；</w:t>
            </w:r>
          </w:p>
          <w:p w14:paraId="5850E56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4.3.4 不应在松软地面或者倾角超过15°的坡面行走；</w:t>
            </w:r>
          </w:p>
          <w:p w14:paraId="35B48EA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4.3.5 不应90°急转弯；</w:t>
            </w:r>
          </w:p>
          <w:p w14:paraId="55200FF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4.2.6 不应在斜坡上长时间停留。</w:t>
            </w:r>
          </w:p>
        </w:tc>
        <w:tc>
          <w:tcPr>
            <w:tcW w:w="1535" w:type="dxa"/>
            <w:shd w:val="clear" w:color="auto" w:fill="auto"/>
            <w:vAlign w:val="center"/>
          </w:tcPr>
          <w:p w14:paraId="2899BE4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644237F7">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5.2.2.2</w:t>
            </w:r>
          </w:p>
        </w:tc>
        <w:tc>
          <w:tcPr>
            <w:tcW w:w="1120" w:type="dxa"/>
            <w:shd w:val="clear" w:color="auto" w:fill="auto"/>
            <w:vAlign w:val="center"/>
          </w:tcPr>
          <w:p w14:paraId="7D66D3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4DCBBD2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637D6CF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12</w:t>
            </w:r>
          </w:p>
        </w:tc>
        <w:tc>
          <w:tcPr>
            <w:tcW w:w="933" w:type="dxa"/>
            <w:shd w:val="clear" w:color="auto" w:fill="auto"/>
            <w:vAlign w:val="center"/>
          </w:tcPr>
          <w:p w14:paraId="26923E5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1项不符合扣2分</w:t>
            </w:r>
          </w:p>
        </w:tc>
        <w:tc>
          <w:tcPr>
            <w:tcW w:w="633" w:type="dxa"/>
            <w:shd w:val="clear" w:color="auto" w:fill="auto"/>
            <w:vAlign w:val="center"/>
          </w:tcPr>
          <w:p w14:paraId="7FB4DFF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12</w:t>
            </w:r>
          </w:p>
        </w:tc>
      </w:tr>
      <w:tr w14:paraId="23EE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1" w:type="dxa"/>
            <w:vMerge w:val="continue"/>
            <w:shd w:val="clear" w:color="auto" w:fill="auto"/>
            <w:vAlign w:val="center"/>
          </w:tcPr>
          <w:p w14:paraId="5269EE6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5997E78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4.4 遇到影响安全的恶劣天气时不上钻架顶作业。</w:t>
            </w:r>
          </w:p>
        </w:tc>
        <w:tc>
          <w:tcPr>
            <w:tcW w:w="1535" w:type="dxa"/>
            <w:shd w:val="clear" w:color="auto" w:fill="auto"/>
            <w:vAlign w:val="center"/>
          </w:tcPr>
          <w:p w14:paraId="4AC8F32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0C102A6E">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5.2.2.3</w:t>
            </w:r>
          </w:p>
        </w:tc>
        <w:tc>
          <w:tcPr>
            <w:tcW w:w="1120" w:type="dxa"/>
            <w:shd w:val="clear" w:color="auto" w:fill="auto"/>
            <w:vAlign w:val="center"/>
          </w:tcPr>
          <w:p w14:paraId="029F057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0793D5A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77C48FB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c>
          <w:tcPr>
            <w:tcW w:w="933" w:type="dxa"/>
            <w:shd w:val="clear" w:color="auto" w:fill="auto"/>
            <w:vAlign w:val="center"/>
          </w:tcPr>
          <w:p w14:paraId="7497732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0F36043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r>
      <w:tr w14:paraId="683C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91" w:type="dxa"/>
            <w:vMerge w:val="restart"/>
            <w:shd w:val="clear" w:color="auto" w:fill="auto"/>
            <w:vAlign w:val="center"/>
          </w:tcPr>
          <w:p w14:paraId="564548A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5. 爆破作业</w:t>
            </w:r>
          </w:p>
        </w:tc>
        <w:tc>
          <w:tcPr>
            <w:tcW w:w="3016" w:type="dxa"/>
            <w:shd w:val="clear" w:color="auto" w:fill="auto"/>
            <w:vAlign w:val="center"/>
          </w:tcPr>
          <w:p w14:paraId="19C2008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 1爆破工程使用的炸药、雷管、导爆管、导爆索、电线、起爆器、量测仪表均应作现场检测，检测合格后方可使用。</w:t>
            </w:r>
          </w:p>
        </w:tc>
        <w:tc>
          <w:tcPr>
            <w:tcW w:w="1535" w:type="dxa"/>
            <w:shd w:val="clear" w:color="auto" w:fill="auto"/>
            <w:vAlign w:val="center"/>
          </w:tcPr>
          <w:p w14:paraId="3821D18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GB6722-2014</w:t>
            </w:r>
          </w:p>
          <w:p w14:paraId="48912335">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6.3.1.1</w:t>
            </w:r>
          </w:p>
        </w:tc>
        <w:tc>
          <w:tcPr>
            <w:tcW w:w="1120" w:type="dxa"/>
            <w:shd w:val="clear" w:color="auto" w:fill="auto"/>
            <w:vAlign w:val="center"/>
          </w:tcPr>
          <w:p w14:paraId="4DC4D08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062FFCC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5942083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c>
          <w:tcPr>
            <w:tcW w:w="933" w:type="dxa"/>
            <w:shd w:val="clear" w:color="auto" w:fill="auto"/>
            <w:vAlign w:val="center"/>
          </w:tcPr>
          <w:p w14:paraId="4528AE9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5EC98B9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r>
      <w:tr w14:paraId="0DED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shd w:val="clear" w:color="auto" w:fill="auto"/>
            <w:vAlign w:val="center"/>
          </w:tcPr>
          <w:p w14:paraId="524EB9A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2D7A96E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5.2 进行爆破器材检测、加工和爆破作业的人员，应穿戴防静电的衣物。</w:t>
            </w:r>
          </w:p>
        </w:tc>
        <w:tc>
          <w:tcPr>
            <w:tcW w:w="1535" w:type="dxa"/>
            <w:shd w:val="clear" w:color="auto" w:fill="auto"/>
            <w:vAlign w:val="center"/>
          </w:tcPr>
          <w:p w14:paraId="3866784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GB6722-2014</w:t>
            </w:r>
          </w:p>
          <w:p w14:paraId="279374E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6.3.1.</w:t>
            </w:r>
            <w:r>
              <w:rPr>
                <w:rFonts w:hint="eastAsia" w:ascii="Times New Roman" w:hAnsi="Times New Roman" w:eastAsia="宋体" w:cs="Times New Roman"/>
                <w:color w:val="auto"/>
                <w:kern w:val="2"/>
                <w:sz w:val="21"/>
                <w:szCs w:val="21"/>
                <w:vertAlign w:val="baseline"/>
                <w:lang w:val="en-US" w:eastAsia="zh-CN" w:bidi="ar-SA"/>
              </w:rPr>
              <w:t>2</w:t>
            </w:r>
          </w:p>
        </w:tc>
        <w:tc>
          <w:tcPr>
            <w:tcW w:w="1120" w:type="dxa"/>
            <w:shd w:val="clear" w:color="auto" w:fill="auto"/>
            <w:vAlign w:val="center"/>
          </w:tcPr>
          <w:p w14:paraId="66326E6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3AE7E2D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50988BE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c>
          <w:tcPr>
            <w:tcW w:w="933" w:type="dxa"/>
            <w:shd w:val="clear" w:color="auto" w:fill="auto"/>
            <w:vAlign w:val="center"/>
          </w:tcPr>
          <w:p w14:paraId="4D88CEE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2AA03AA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r>
      <w:tr w14:paraId="18D9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591" w:type="dxa"/>
            <w:vMerge w:val="continue"/>
            <w:shd w:val="clear" w:color="auto" w:fill="auto"/>
            <w:vAlign w:val="center"/>
          </w:tcPr>
          <w:p w14:paraId="7E25072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590F28F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5.3 在潮湿或有水环境中应使用抗水爆破器材或对不抗水爆破器材进行防潮、防水处理。</w:t>
            </w:r>
          </w:p>
        </w:tc>
        <w:tc>
          <w:tcPr>
            <w:tcW w:w="1535" w:type="dxa"/>
            <w:shd w:val="clear" w:color="auto" w:fill="auto"/>
            <w:vAlign w:val="center"/>
          </w:tcPr>
          <w:p w14:paraId="454F565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GB6722-2014</w:t>
            </w:r>
          </w:p>
          <w:p w14:paraId="135602BE">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6.3.1.</w:t>
            </w:r>
            <w:r>
              <w:rPr>
                <w:rFonts w:hint="eastAsia" w:ascii="Times New Roman" w:hAnsi="Times New Roman" w:eastAsia="宋体" w:cs="Times New Roman"/>
                <w:color w:val="auto"/>
                <w:kern w:val="2"/>
                <w:sz w:val="21"/>
                <w:szCs w:val="21"/>
                <w:vertAlign w:val="baseline"/>
                <w:lang w:val="en-US" w:eastAsia="zh-CN" w:bidi="ar-SA"/>
              </w:rPr>
              <w:t>4</w:t>
            </w:r>
          </w:p>
        </w:tc>
        <w:tc>
          <w:tcPr>
            <w:tcW w:w="1120" w:type="dxa"/>
            <w:shd w:val="clear" w:color="auto" w:fill="auto"/>
            <w:vAlign w:val="center"/>
          </w:tcPr>
          <w:p w14:paraId="51739D6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59184D7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6445011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c>
          <w:tcPr>
            <w:tcW w:w="933" w:type="dxa"/>
            <w:shd w:val="clear" w:color="auto" w:fill="auto"/>
            <w:vAlign w:val="center"/>
          </w:tcPr>
          <w:p w14:paraId="1664BDC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728B3CF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r>
      <w:tr w14:paraId="70F5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91" w:type="dxa"/>
            <w:vMerge w:val="continue"/>
            <w:shd w:val="clear" w:color="auto" w:fill="auto"/>
            <w:vAlign w:val="center"/>
          </w:tcPr>
          <w:p w14:paraId="081CEF7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3CC2B63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5.4 起爆网路连接应严格按设计要求进行。</w:t>
            </w:r>
          </w:p>
        </w:tc>
        <w:tc>
          <w:tcPr>
            <w:tcW w:w="1535" w:type="dxa"/>
            <w:shd w:val="clear" w:color="auto" w:fill="auto"/>
            <w:vAlign w:val="center"/>
          </w:tcPr>
          <w:p w14:paraId="37514CEE">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GB6722-2014</w:t>
            </w:r>
          </w:p>
          <w:p w14:paraId="23EB529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6.3.1.</w:t>
            </w:r>
            <w:r>
              <w:rPr>
                <w:rFonts w:hint="eastAsia" w:ascii="Times New Roman" w:hAnsi="Times New Roman" w:eastAsia="宋体" w:cs="Times New Roman"/>
                <w:color w:val="auto"/>
                <w:kern w:val="2"/>
                <w:sz w:val="21"/>
                <w:szCs w:val="21"/>
                <w:vertAlign w:val="baseline"/>
                <w:lang w:val="en-US" w:eastAsia="zh-CN" w:bidi="ar-SA"/>
              </w:rPr>
              <w:t>5</w:t>
            </w:r>
          </w:p>
        </w:tc>
        <w:tc>
          <w:tcPr>
            <w:tcW w:w="1120" w:type="dxa"/>
            <w:shd w:val="clear" w:color="auto" w:fill="auto"/>
            <w:vAlign w:val="center"/>
          </w:tcPr>
          <w:p w14:paraId="192A11C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3A899E4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7A41DE3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c>
          <w:tcPr>
            <w:tcW w:w="933" w:type="dxa"/>
            <w:shd w:val="clear" w:color="auto" w:fill="auto"/>
            <w:vAlign w:val="center"/>
          </w:tcPr>
          <w:p w14:paraId="3579BF0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51D5526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r>
      <w:tr w14:paraId="6492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shd w:val="clear" w:color="auto" w:fill="auto"/>
            <w:vAlign w:val="center"/>
          </w:tcPr>
          <w:p w14:paraId="605F5D5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3B77CD8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5.5 爆破警戒范围由设计确定，在危险区边界，应设有明显标识，并派出岗哨。</w:t>
            </w:r>
          </w:p>
        </w:tc>
        <w:tc>
          <w:tcPr>
            <w:tcW w:w="1535" w:type="dxa"/>
            <w:shd w:val="clear" w:color="auto" w:fill="auto"/>
            <w:vAlign w:val="center"/>
          </w:tcPr>
          <w:p w14:paraId="3A9B861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GB6722-2014</w:t>
            </w:r>
          </w:p>
          <w:p w14:paraId="66D89FC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6.</w:t>
            </w:r>
            <w:r>
              <w:rPr>
                <w:rFonts w:hint="eastAsia" w:ascii="Times New Roman" w:hAnsi="Times New Roman" w:eastAsia="宋体" w:cs="Times New Roman"/>
                <w:color w:val="auto"/>
                <w:kern w:val="2"/>
                <w:sz w:val="21"/>
                <w:szCs w:val="21"/>
                <w:vertAlign w:val="baseline"/>
                <w:lang w:val="en-US" w:eastAsia="zh-CN" w:bidi="ar-SA"/>
              </w:rPr>
              <w:t>7.1.2</w:t>
            </w:r>
          </w:p>
        </w:tc>
        <w:tc>
          <w:tcPr>
            <w:tcW w:w="1120" w:type="dxa"/>
            <w:shd w:val="clear" w:color="auto" w:fill="auto"/>
            <w:vAlign w:val="center"/>
          </w:tcPr>
          <w:p w14:paraId="5CB827B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查看设计</w:t>
            </w:r>
          </w:p>
          <w:p w14:paraId="71257D4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2B7AC28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63CD29D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c>
          <w:tcPr>
            <w:tcW w:w="933" w:type="dxa"/>
            <w:shd w:val="clear" w:color="auto" w:fill="auto"/>
            <w:vAlign w:val="center"/>
          </w:tcPr>
          <w:p w14:paraId="0E3103C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58A03D8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r>
      <w:tr w14:paraId="35F1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591" w:type="dxa"/>
            <w:vMerge w:val="continue"/>
            <w:shd w:val="clear" w:color="auto" w:fill="auto"/>
            <w:vAlign w:val="center"/>
          </w:tcPr>
          <w:p w14:paraId="3D692FF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6773575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5.6 露天爆破作业时，应建立避炮掩体，避炮掩体应设在冲击波危险范围之外；掩体结构应坚固紧密，位置和方向应能防止飞石和有害气体的危害；通达避炮掩体的道路不应有任何障碍。</w:t>
            </w:r>
          </w:p>
        </w:tc>
        <w:tc>
          <w:tcPr>
            <w:tcW w:w="1535" w:type="dxa"/>
            <w:shd w:val="clear" w:color="auto" w:fill="auto"/>
            <w:vAlign w:val="center"/>
          </w:tcPr>
          <w:p w14:paraId="2D72EA4C">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GB6722-2014</w:t>
            </w:r>
          </w:p>
          <w:p w14:paraId="3E833F6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7.1.1</w:t>
            </w:r>
          </w:p>
        </w:tc>
        <w:tc>
          <w:tcPr>
            <w:tcW w:w="1120" w:type="dxa"/>
            <w:shd w:val="clear" w:color="auto" w:fill="auto"/>
            <w:vAlign w:val="center"/>
          </w:tcPr>
          <w:p w14:paraId="2FAE8B5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0025498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现场设有避炮棚</w:t>
            </w:r>
          </w:p>
        </w:tc>
        <w:tc>
          <w:tcPr>
            <w:tcW w:w="696" w:type="dxa"/>
            <w:shd w:val="clear" w:color="auto" w:fill="auto"/>
            <w:vAlign w:val="center"/>
          </w:tcPr>
          <w:p w14:paraId="5651502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3</w:t>
            </w:r>
          </w:p>
        </w:tc>
        <w:tc>
          <w:tcPr>
            <w:tcW w:w="933" w:type="dxa"/>
            <w:shd w:val="clear" w:color="auto" w:fill="auto"/>
            <w:vAlign w:val="center"/>
          </w:tcPr>
          <w:p w14:paraId="03D6273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6C00854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r>
      <w:tr w14:paraId="3404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591" w:type="dxa"/>
            <w:vMerge w:val="continue"/>
            <w:shd w:val="clear" w:color="auto" w:fill="auto"/>
            <w:vAlign w:val="center"/>
          </w:tcPr>
          <w:p w14:paraId="42566F9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4B8A72D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5.7 松软岩土或砂矿床爆破后，应在爆区设置明显标识，发现空穴、陷坑时应进行安全检查，确认无危险后，方准许恢复作业。</w:t>
            </w:r>
          </w:p>
        </w:tc>
        <w:tc>
          <w:tcPr>
            <w:tcW w:w="1535" w:type="dxa"/>
            <w:shd w:val="clear" w:color="auto" w:fill="auto"/>
            <w:vAlign w:val="center"/>
          </w:tcPr>
          <w:p w14:paraId="0E48C5D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GB6722-2014</w:t>
            </w:r>
          </w:p>
          <w:p w14:paraId="443D7FA7">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7.1.5</w:t>
            </w:r>
          </w:p>
        </w:tc>
        <w:tc>
          <w:tcPr>
            <w:tcW w:w="1120" w:type="dxa"/>
            <w:shd w:val="clear" w:color="auto" w:fill="auto"/>
            <w:vAlign w:val="center"/>
          </w:tcPr>
          <w:p w14:paraId="1178EA6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7958DE3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4A406F6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c>
          <w:tcPr>
            <w:tcW w:w="933" w:type="dxa"/>
            <w:shd w:val="clear" w:color="auto" w:fill="auto"/>
            <w:vAlign w:val="center"/>
          </w:tcPr>
          <w:p w14:paraId="44413CF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0F0CD34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r>
      <w:tr w14:paraId="4EE1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1" w:type="dxa"/>
            <w:vMerge w:val="continue"/>
            <w:shd w:val="clear" w:color="auto" w:fill="auto"/>
            <w:vAlign w:val="center"/>
          </w:tcPr>
          <w:p w14:paraId="2C2A4F7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4E476B2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5.8 深孔验收标准：孔深允许误差±0.2m，间排距允许误差±0.2m，偏斜度允许误差2%；发现不合格钻孔应及时处理，未达验收标准不得装药。</w:t>
            </w:r>
          </w:p>
        </w:tc>
        <w:tc>
          <w:tcPr>
            <w:tcW w:w="1535" w:type="dxa"/>
            <w:shd w:val="clear" w:color="auto" w:fill="auto"/>
            <w:vAlign w:val="center"/>
          </w:tcPr>
          <w:p w14:paraId="5F662447">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GB6722-2014</w:t>
            </w:r>
          </w:p>
          <w:p w14:paraId="3A030A5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7.2.2</w:t>
            </w:r>
          </w:p>
        </w:tc>
        <w:tc>
          <w:tcPr>
            <w:tcW w:w="1120" w:type="dxa"/>
            <w:shd w:val="clear" w:color="auto" w:fill="auto"/>
            <w:vAlign w:val="center"/>
          </w:tcPr>
          <w:p w14:paraId="17072CC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查看验收记录</w:t>
            </w:r>
          </w:p>
        </w:tc>
        <w:tc>
          <w:tcPr>
            <w:tcW w:w="847" w:type="dxa"/>
            <w:shd w:val="clear" w:color="auto" w:fill="auto"/>
            <w:vAlign w:val="center"/>
          </w:tcPr>
          <w:p w14:paraId="7723800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670BBC6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c>
          <w:tcPr>
            <w:tcW w:w="933" w:type="dxa"/>
            <w:shd w:val="clear" w:color="auto" w:fill="auto"/>
            <w:vAlign w:val="center"/>
          </w:tcPr>
          <w:p w14:paraId="797C675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32B532F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r>
      <w:tr w14:paraId="79FF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shd w:val="clear" w:color="auto" w:fill="auto"/>
            <w:vAlign w:val="center"/>
          </w:tcPr>
          <w:p w14:paraId="256B4D0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2EB2461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5.9 爆破作业场所有下列情形之一时，不应进行爆破作业：</w:t>
            </w:r>
          </w:p>
          <w:p w14:paraId="173ACAF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5.9.1 爆破会造成巷道涌水、堤坝漏水、河床严重阻塞、泉水变迁的；</w:t>
            </w:r>
          </w:p>
          <w:p w14:paraId="495482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5.9.2 岩体有冒顶或边坡滑落危险的；</w:t>
            </w:r>
          </w:p>
          <w:p w14:paraId="10E572A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5.9.3 硐室、炮孔温度异常的；</w:t>
            </w:r>
          </w:p>
          <w:p w14:paraId="0A37B13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5.9.4 作业通道不安全或堵塞的；</w:t>
            </w:r>
          </w:p>
          <w:p w14:paraId="66E0852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5.9.5 危险区边界未设置警戒的。</w:t>
            </w:r>
          </w:p>
        </w:tc>
        <w:tc>
          <w:tcPr>
            <w:tcW w:w="1535" w:type="dxa"/>
            <w:shd w:val="clear" w:color="auto" w:fill="auto"/>
            <w:vAlign w:val="center"/>
          </w:tcPr>
          <w:p w14:paraId="09F63D8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GB6722-2014</w:t>
            </w:r>
          </w:p>
          <w:p w14:paraId="7DD9A86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6.1.2</w:t>
            </w:r>
          </w:p>
        </w:tc>
        <w:tc>
          <w:tcPr>
            <w:tcW w:w="1120" w:type="dxa"/>
            <w:shd w:val="clear" w:color="auto" w:fill="auto"/>
            <w:vAlign w:val="center"/>
          </w:tcPr>
          <w:p w14:paraId="26254DA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5C000C4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1C817B6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10</w:t>
            </w:r>
          </w:p>
        </w:tc>
        <w:tc>
          <w:tcPr>
            <w:tcW w:w="933" w:type="dxa"/>
            <w:shd w:val="clear" w:color="auto" w:fill="auto"/>
            <w:vAlign w:val="center"/>
          </w:tcPr>
          <w:p w14:paraId="61DE84A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1项不符合扣2分</w:t>
            </w:r>
          </w:p>
        </w:tc>
        <w:tc>
          <w:tcPr>
            <w:tcW w:w="633" w:type="dxa"/>
            <w:shd w:val="clear" w:color="auto" w:fill="auto"/>
            <w:vAlign w:val="center"/>
          </w:tcPr>
          <w:p w14:paraId="53547BD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10</w:t>
            </w:r>
          </w:p>
        </w:tc>
      </w:tr>
      <w:tr w14:paraId="060FC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shd w:val="clear" w:color="auto" w:fill="auto"/>
            <w:vAlign w:val="center"/>
          </w:tcPr>
          <w:p w14:paraId="7268DD0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7EC8910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5.10 露天爆破遇以下恶劣气候时，应停止爆破作业：</w:t>
            </w:r>
          </w:p>
          <w:p w14:paraId="3D1A2C2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5.10.1 热带风暴或台风即将来临时；</w:t>
            </w:r>
          </w:p>
          <w:p w14:paraId="7AD82FF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5.10.2 雷电、暴雨来临时；</w:t>
            </w:r>
          </w:p>
          <w:p w14:paraId="2205D3B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5.10.3 大雾天或沙尘暴，能见度不超过100m时；</w:t>
            </w:r>
          </w:p>
          <w:p w14:paraId="3FF0385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5.10.4 现场风力超过8级、浪高大于1.0m时或水位暴涨暴落时。</w:t>
            </w:r>
          </w:p>
        </w:tc>
        <w:tc>
          <w:tcPr>
            <w:tcW w:w="1535" w:type="dxa"/>
            <w:shd w:val="clear" w:color="auto" w:fill="auto"/>
            <w:vAlign w:val="center"/>
          </w:tcPr>
          <w:p w14:paraId="20CFC6E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GB6722-2014</w:t>
            </w:r>
          </w:p>
          <w:p w14:paraId="70F9410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6.1.3</w:t>
            </w:r>
          </w:p>
        </w:tc>
        <w:tc>
          <w:tcPr>
            <w:tcW w:w="1120" w:type="dxa"/>
            <w:shd w:val="clear" w:color="auto" w:fill="auto"/>
            <w:vAlign w:val="center"/>
          </w:tcPr>
          <w:p w14:paraId="014A0E3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2D058B0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22A3D99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w:t>
            </w:r>
          </w:p>
        </w:tc>
        <w:tc>
          <w:tcPr>
            <w:tcW w:w="933" w:type="dxa"/>
            <w:shd w:val="clear" w:color="auto" w:fill="auto"/>
            <w:vAlign w:val="center"/>
          </w:tcPr>
          <w:p w14:paraId="5861ECD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1项未做到扣2分</w:t>
            </w:r>
          </w:p>
        </w:tc>
        <w:tc>
          <w:tcPr>
            <w:tcW w:w="633" w:type="dxa"/>
            <w:shd w:val="clear" w:color="auto" w:fill="auto"/>
            <w:vAlign w:val="center"/>
          </w:tcPr>
          <w:p w14:paraId="09DCC4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w:t>
            </w:r>
          </w:p>
        </w:tc>
      </w:tr>
      <w:tr w14:paraId="0B53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591" w:type="dxa"/>
            <w:vMerge w:val="continue"/>
            <w:shd w:val="clear" w:color="auto" w:fill="auto"/>
            <w:vAlign w:val="center"/>
          </w:tcPr>
          <w:p w14:paraId="15DA926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7E9B183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5.11 爆后检查等待时间</w:t>
            </w:r>
          </w:p>
          <w:p w14:paraId="3A7556B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5.11.1 露天㳀孔、深孔、特种爆破，爆后应超过5min方准许检查人员进入爆破作业地点；如不能确认有无盲炮，应经15min后才能进入爆区检查。</w:t>
            </w:r>
          </w:p>
          <w:p w14:paraId="314A7CA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5.11.2 露天爆破经检查确认爆破点安全后，经当班爆破班长同意，方准许作业人员进入爆区。</w:t>
            </w:r>
          </w:p>
        </w:tc>
        <w:tc>
          <w:tcPr>
            <w:tcW w:w="1535" w:type="dxa"/>
            <w:shd w:val="clear" w:color="auto" w:fill="auto"/>
            <w:vAlign w:val="center"/>
          </w:tcPr>
          <w:p w14:paraId="446513C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GB6722-2014</w:t>
            </w:r>
          </w:p>
          <w:p w14:paraId="70CF6F3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6.8.1.1</w:t>
            </w:r>
          </w:p>
        </w:tc>
        <w:tc>
          <w:tcPr>
            <w:tcW w:w="1120" w:type="dxa"/>
            <w:shd w:val="clear" w:color="auto" w:fill="auto"/>
            <w:vAlign w:val="center"/>
          </w:tcPr>
          <w:p w14:paraId="675F8F0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6C6621D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5A4E24A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w:t>
            </w:r>
          </w:p>
        </w:tc>
        <w:tc>
          <w:tcPr>
            <w:tcW w:w="933" w:type="dxa"/>
            <w:shd w:val="clear" w:color="auto" w:fill="auto"/>
            <w:vAlign w:val="center"/>
          </w:tcPr>
          <w:p w14:paraId="430C7CB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1项未做到扣2分</w:t>
            </w:r>
          </w:p>
        </w:tc>
        <w:tc>
          <w:tcPr>
            <w:tcW w:w="633" w:type="dxa"/>
            <w:shd w:val="clear" w:color="auto" w:fill="auto"/>
            <w:vAlign w:val="center"/>
          </w:tcPr>
          <w:p w14:paraId="2E6FABF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w:t>
            </w:r>
          </w:p>
        </w:tc>
      </w:tr>
      <w:tr w14:paraId="7D90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1" w:hRule="atLeast"/>
          <w:jc w:val="center"/>
        </w:trPr>
        <w:tc>
          <w:tcPr>
            <w:tcW w:w="591" w:type="dxa"/>
            <w:vMerge w:val="continue"/>
            <w:shd w:val="clear" w:color="auto" w:fill="auto"/>
            <w:vAlign w:val="center"/>
          </w:tcPr>
          <w:p w14:paraId="2F9880D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71364C0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5.12 爆后检查的内容</w:t>
            </w:r>
          </w:p>
          <w:p w14:paraId="1F3459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5.12.1 确认有无盲炮；</w:t>
            </w:r>
          </w:p>
          <w:p w14:paraId="71940DF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5.12.2 露天爆破爆堆是否稳定，有无危坡、危石、危墙、危房及未炸倒建（构）筑物；</w:t>
            </w:r>
          </w:p>
          <w:p w14:paraId="206D019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5.12.3 在爆破警戒区内公用设施及重点保护建（构）筑物安全情况</w:t>
            </w:r>
            <w:r>
              <w:rPr>
                <w:rFonts w:hint="eastAsia" w:cs="Times New Roman"/>
                <w:color w:val="auto"/>
                <w:kern w:val="2"/>
                <w:sz w:val="21"/>
                <w:szCs w:val="21"/>
                <w:vertAlign w:val="baseline"/>
                <w:lang w:val="en-US" w:eastAsia="zh-CN" w:bidi="ar-SA"/>
              </w:rPr>
              <w:t>。</w:t>
            </w:r>
          </w:p>
        </w:tc>
        <w:tc>
          <w:tcPr>
            <w:tcW w:w="1535" w:type="dxa"/>
            <w:shd w:val="clear" w:color="auto" w:fill="auto"/>
            <w:vAlign w:val="center"/>
          </w:tcPr>
          <w:p w14:paraId="4CB6577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GB6722-2014</w:t>
            </w:r>
          </w:p>
          <w:p w14:paraId="7C28C22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6.8.2.1</w:t>
            </w:r>
          </w:p>
        </w:tc>
        <w:tc>
          <w:tcPr>
            <w:tcW w:w="1120" w:type="dxa"/>
            <w:shd w:val="clear" w:color="auto" w:fill="auto"/>
            <w:vAlign w:val="center"/>
          </w:tcPr>
          <w:p w14:paraId="706ABAA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查看资料现场检查</w:t>
            </w:r>
          </w:p>
        </w:tc>
        <w:tc>
          <w:tcPr>
            <w:tcW w:w="847" w:type="dxa"/>
            <w:shd w:val="clear" w:color="auto" w:fill="auto"/>
            <w:vAlign w:val="center"/>
          </w:tcPr>
          <w:p w14:paraId="76782BC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未见爆破后安全检查记录</w:t>
            </w:r>
          </w:p>
        </w:tc>
        <w:tc>
          <w:tcPr>
            <w:tcW w:w="696" w:type="dxa"/>
            <w:shd w:val="clear" w:color="auto" w:fill="auto"/>
            <w:vAlign w:val="center"/>
          </w:tcPr>
          <w:p w14:paraId="6412473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6</w:t>
            </w:r>
          </w:p>
        </w:tc>
        <w:tc>
          <w:tcPr>
            <w:tcW w:w="933" w:type="dxa"/>
            <w:shd w:val="clear" w:color="auto" w:fill="auto"/>
            <w:vAlign w:val="center"/>
          </w:tcPr>
          <w:p w14:paraId="369CCDC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1项未做到扣2分</w:t>
            </w:r>
          </w:p>
        </w:tc>
        <w:tc>
          <w:tcPr>
            <w:tcW w:w="633" w:type="dxa"/>
            <w:shd w:val="clear" w:color="auto" w:fill="auto"/>
            <w:vAlign w:val="center"/>
          </w:tcPr>
          <w:p w14:paraId="19201B7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0</w:t>
            </w:r>
          </w:p>
        </w:tc>
      </w:tr>
      <w:tr w14:paraId="6F0487B4">
        <w:tblPrEx>
          <w:tblCellMar>
            <w:top w:w="0" w:type="dxa"/>
            <w:left w:w="108" w:type="dxa"/>
            <w:bottom w:w="0" w:type="dxa"/>
            <w:right w:w="108" w:type="dxa"/>
          </w:tblCellMar>
        </w:tblPrEx>
        <w:trPr>
          <w:trHeight w:val="247" w:hRule="atLeast"/>
          <w:jc w:val="center"/>
        </w:trPr>
        <w:tc>
          <w:tcPr>
            <w:tcW w:w="591" w:type="dxa"/>
            <w:vMerge w:val="restart"/>
            <w:shd w:val="clear" w:color="auto" w:fill="auto"/>
            <w:vAlign w:val="center"/>
          </w:tcPr>
          <w:p w14:paraId="762149F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6. 铲装作业</w:t>
            </w:r>
          </w:p>
        </w:tc>
        <w:tc>
          <w:tcPr>
            <w:tcW w:w="3016" w:type="dxa"/>
            <w:shd w:val="clear" w:color="auto" w:fill="auto"/>
            <w:vAlign w:val="center"/>
          </w:tcPr>
          <w:p w14:paraId="0C57209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6.1 铲装设备工作时，其平衡装置与台阶坡底的水平距离应不小于1m</w:t>
            </w:r>
            <w:r>
              <w:rPr>
                <w:rFonts w:hint="eastAsia" w:cs="Times New Roman"/>
                <w:color w:val="auto"/>
                <w:kern w:val="2"/>
                <w:sz w:val="21"/>
                <w:szCs w:val="21"/>
                <w:vertAlign w:val="baseline"/>
                <w:lang w:val="en-US" w:eastAsia="zh-CN" w:bidi="ar-SA"/>
              </w:rPr>
              <w:t>。</w:t>
            </w:r>
          </w:p>
        </w:tc>
        <w:tc>
          <w:tcPr>
            <w:tcW w:w="1535" w:type="dxa"/>
            <w:shd w:val="clear" w:color="auto" w:fill="auto"/>
            <w:vAlign w:val="center"/>
          </w:tcPr>
          <w:p w14:paraId="37EF8D4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3E9F95D8">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5.2.3.3</w:t>
            </w:r>
          </w:p>
        </w:tc>
        <w:tc>
          <w:tcPr>
            <w:tcW w:w="1120" w:type="dxa"/>
            <w:shd w:val="clear" w:color="auto" w:fill="auto"/>
            <w:vAlign w:val="center"/>
          </w:tcPr>
          <w:p w14:paraId="28F97D5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5B1EE32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27EDFE8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c>
          <w:tcPr>
            <w:tcW w:w="933" w:type="dxa"/>
            <w:shd w:val="clear" w:color="auto" w:fill="auto"/>
            <w:vAlign w:val="center"/>
          </w:tcPr>
          <w:p w14:paraId="4A9099F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332E8AE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r>
      <w:tr w14:paraId="7DE6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shd w:val="clear" w:color="auto" w:fill="auto"/>
            <w:vAlign w:val="center"/>
          </w:tcPr>
          <w:p w14:paraId="385AFB7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3CF4898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6.2 铲装设备工作应遵守下列规定：</w:t>
            </w:r>
          </w:p>
          <w:p w14:paraId="6F70736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1、悬臂和铲斗及工作面附近不应有人员停留；</w:t>
            </w:r>
          </w:p>
          <w:p w14:paraId="774426E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2、铲斗不应从车辆驾驶室上言通过；</w:t>
            </w:r>
          </w:p>
          <w:p w14:paraId="5B6CE7B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3、人员不应在司机室踏板上或有落石危险的地方停留；</w:t>
            </w:r>
          </w:p>
          <w:p w14:paraId="4C273CA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4、不应调整电铲起生臂。</w:t>
            </w:r>
          </w:p>
        </w:tc>
        <w:tc>
          <w:tcPr>
            <w:tcW w:w="1535" w:type="dxa"/>
            <w:shd w:val="clear" w:color="auto" w:fill="auto"/>
            <w:vAlign w:val="center"/>
          </w:tcPr>
          <w:p w14:paraId="48485C57">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605534B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5.2.3.4</w:t>
            </w:r>
          </w:p>
        </w:tc>
        <w:tc>
          <w:tcPr>
            <w:tcW w:w="1120" w:type="dxa"/>
            <w:shd w:val="clear" w:color="auto" w:fill="auto"/>
            <w:vAlign w:val="center"/>
          </w:tcPr>
          <w:p w14:paraId="42BF864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03F3586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0B1388C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w:t>
            </w:r>
          </w:p>
        </w:tc>
        <w:tc>
          <w:tcPr>
            <w:tcW w:w="933" w:type="dxa"/>
            <w:shd w:val="clear" w:color="auto" w:fill="auto"/>
            <w:vAlign w:val="center"/>
          </w:tcPr>
          <w:p w14:paraId="3EEA05E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1项未做到扣2分</w:t>
            </w:r>
          </w:p>
        </w:tc>
        <w:tc>
          <w:tcPr>
            <w:tcW w:w="633" w:type="dxa"/>
            <w:shd w:val="clear" w:color="auto" w:fill="auto"/>
            <w:vAlign w:val="center"/>
          </w:tcPr>
          <w:p w14:paraId="4A2C6B8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w:t>
            </w:r>
          </w:p>
        </w:tc>
      </w:tr>
      <w:tr w14:paraId="1587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shd w:val="clear" w:color="auto" w:fill="auto"/>
            <w:vAlign w:val="center"/>
          </w:tcPr>
          <w:p w14:paraId="32601C4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1B08FF7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6.3 多台铲装设备在同一平台上作业时，铲装设备间距不小于设备最大工作半径的3倍，且不小于50m。</w:t>
            </w:r>
          </w:p>
        </w:tc>
        <w:tc>
          <w:tcPr>
            <w:tcW w:w="1535" w:type="dxa"/>
            <w:shd w:val="clear" w:color="auto" w:fill="auto"/>
            <w:vAlign w:val="center"/>
          </w:tcPr>
          <w:p w14:paraId="5A6DED78">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280C5D6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5.2.3.5</w:t>
            </w:r>
          </w:p>
        </w:tc>
        <w:tc>
          <w:tcPr>
            <w:tcW w:w="1120" w:type="dxa"/>
            <w:shd w:val="clear" w:color="auto" w:fill="auto"/>
            <w:vAlign w:val="center"/>
          </w:tcPr>
          <w:p w14:paraId="0E2A06C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1571572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5B4D9A9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c>
          <w:tcPr>
            <w:tcW w:w="933" w:type="dxa"/>
            <w:shd w:val="clear" w:color="auto" w:fill="auto"/>
            <w:vAlign w:val="center"/>
          </w:tcPr>
          <w:p w14:paraId="39B5465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2A49406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r>
      <w:tr w14:paraId="4317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2" w:hRule="atLeast"/>
          <w:jc w:val="center"/>
        </w:trPr>
        <w:tc>
          <w:tcPr>
            <w:tcW w:w="591" w:type="dxa"/>
            <w:vMerge w:val="continue"/>
            <w:shd w:val="clear" w:color="auto" w:fill="auto"/>
            <w:vAlign w:val="center"/>
          </w:tcPr>
          <w:p w14:paraId="08B74E9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571C479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6.4 上、下台阶同时作业时，上部台阶的铲装设备应超前下部台阶铲装设备；超前距离不小于铲装设备最大工作半径的3倍，且不小于50m。</w:t>
            </w:r>
          </w:p>
        </w:tc>
        <w:tc>
          <w:tcPr>
            <w:tcW w:w="1535" w:type="dxa"/>
            <w:shd w:val="clear" w:color="auto" w:fill="auto"/>
            <w:vAlign w:val="center"/>
          </w:tcPr>
          <w:p w14:paraId="1E5A5CC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736D2C1C">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5.2.3.6</w:t>
            </w:r>
          </w:p>
        </w:tc>
        <w:tc>
          <w:tcPr>
            <w:tcW w:w="1120" w:type="dxa"/>
            <w:shd w:val="clear" w:color="auto" w:fill="auto"/>
            <w:vAlign w:val="center"/>
          </w:tcPr>
          <w:p w14:paraId="24AC3B1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73DEB02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25C84C9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c>
          <w:tcPr>
            <w:tcW w:w="933" w:type="dxa"/>
            <w:shd w:val="clear" w:color="auto" w:fill="auto"/>
            <w:vAlign w:val="center"/>
          </w:tcPr>
          <w:p w14:paraId="29D9BE0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31E903D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r>
      <w:tr w14:paraId="1780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shd w:val="clear" w:color="auto" w:fill="auto"/>
            <w:vAlign w:val="center"/>
          </w:tcPr>
          <w:p w14:paraId="0A12C4C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0C5B7AA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6.5 铲装时铲斗不应压、碰运输设备；铲斗卸载时，铲斗下沿与运输设备上沿高差不大于0.5m；不应用铲斗处理车箱粘结物。</w:t>
            </w:r>
          </w:p>
        </w:tc>
        <w:tc>
          <w:tcPr>
            <w:tcW w:w="1535" w:type="dxa"/>
            <w:shd w:val="clear" w:color="auto" w:fill="auto"/>
            <w:vAlign w:val="center"/>
          </w:tcPr>
          <w:p w14:paraId="1E3BB56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5FAB0BB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5.2.3.7</w:t>
            </w:r>
          </w:p>
        </w:tc>
        <w:tc>
          <w:tcPr>
            <w:tcW w:w="1120" w:type="dxa"/>
            <w:shd w:val="clear" w:color="auto" w:fill="auto"/>
            <w:vAlign w:val="center"/>
          </w:tcPr>
          <w:p w14:paraId="4A901AF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5FFB727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0560045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c>
          <w:tcPr>
            <w:tcW w:w="933" w:type="dxa"/>
            <w:shd w:val="clear" w:color="auto" w:fill="auto"/>
            <w:vAlign w:val="center"/>
          </w:tcPr>
          <w:p w14:paraId="47D333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5F24ACF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r>
      <w:tr w14:paraId="01CC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91" w:type="dxa"/>
            <w:vMerge w:val="continue"/>
            <w:shd w:val="clear" w:color="auto" w:fill="auto"/>
            <w:vAlign w:val="center"/>
          </w:tcPr>
          <w:p w14:paraId="5C0800F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556F837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6.6 发现悬浮岩块或崩塌征兆时，应立即停止铲装作业，并将设备转移至安全地带。</w:t>
            </w:r>
          </w:p>
        </w:tc>
        <w:tc>
          <w:tcPr>
            <w:tcW w:w="1535" w:type="dxa"/>
            <w:shd w:val="clear" w:color="auto" w:fill="auto"/>
            <w:vAlign w:val="center"/>
          </w:tcPr>
          <w:p w14:paraId="71A29D0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7EA0F60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5.2.3.8</w:t>
            </w:r>
          </w:p>
        </w:tc>
        <w:tc>
          <w:tcPr>
            <w:tcW w:w="1120" w:type="dxa"/>
            <w:shd w:val="clear" w:color="auto" w:fill="auto"/>
            <w:vAlign w:val="center"/>
          </w:tcPr>
          <w:p w14:paraId="38FA7AB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2E494DC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3EE6D7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c>
          <w:tcPr>
            <w:tcW w:w="933" w:type="dxa"/>
            <w:shd w:val="clear" w:color="auto" w:fill="auto"/>
            <w:vAlign w:val="center"/>
          </w:tcPr>
          <w:p w14:paraId="679A750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45E038F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r>
      <w:tr w14:paraId="0F47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591" w:type="dxa"/>
            <w:vMerge w:val="continue"/>
            <w:shd w:val="clear" w:color="auto" w:fill="auto"/>
            <w:vAlign w:val="center"/>
          </w:tcPr>
          <w:p w14:paraId="2F91D98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5F550B4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6.7 铲装设备穿过铁路、电缆线路或者风水管路时，应采取安全防护措施保护电缆、风水管和铁路设施。</w:t>
            </w:r>
          </w:p>
        </w:tc>
        <w:tc>
          <w:tcPr>
            <w:tcW w:w="1535" w:type="dxa"/>
            <w:shd w:val="clear" w:color="auto" w:fill="auto"/>
            <w:vAlign w:val="center"/>
          </w:tcPr>
          <w:p w14:paraId="2E4FBCBF">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3EDA0AF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5.2.3.9</w:t>
            </w:r>
          </w:p>
        </w:tc>
        <w:tc>
          <w:tcPr>
            <w:tcW w:w="1120" w:type="dxa"/>
            <w:shd w:val="clear" w:color="auto" w:fill="auto"/>
            <w:vAlign w:val="center"/>
          </w:tcPr>
          <w:p w14:paraId="01C9ABB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4663956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24CD9A1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c>
          <w:tcPr>
            <w:tcW w:w="933" w:type="dxa"/>
            <w:shd w:val="clear" w:color="auto" w:fill="auto"/>
            <w:vAlign w:val="center"/>
          </w:tcPr>
          <w:p w14:paraId="5E99DE9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4436F4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r>
      <w:tr w14:paraId="2E2C8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591" w:type="dxa"/>
            <w:vMerge w:val="continue"/>
            <w:shd w:val="clear" w:color="auto" w:fill="auto"/>
            <w:vAlign w:val="center"/>
          </w:tcPr>
          <w:p w14:paraId="01E9F1A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4B33B33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6.8 铲装设备行走应遵守下列规定：</w:t>
            </w:r>
          </w:p>
          <w:p w14:paraId="5930BD0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1、应在作业平台的稳定范围内行走；</w:t>
            </w:r>
          </w:p>
          <w:p w14:paraId="4026812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2、上、下坡时铲斗应下放并与地面保持适当距离。</w:t>
            </w:r>
          </w:p>
        </w:tc>
        <w:tc>
          <w:tcPr>
            <w:tcW w:w="1535" w:type="dxa"/>
            <w:shd w:val="clear" w:color="auto" w:fill="auto"/>
            <w:vAlign w:val="center"/>
          </w:tcPr>
          <w:p w14:paraId="60988BE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774937B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5.2.3.10</w:t>
            </w:r>
          </w:p>
        </w:tc>
        <w:tc>
          <w:tcPr>
            <w:tcW w:w="1120" w:type="dxa"/>
            <w:shd w:val="clear" w:color="auto" w:fill="auto"/>
            <w:vAlign w:val="center"/>
          </w:tcPr>
          <w:p w14:paraId="53DFA4D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1549618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50A6B6C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w:t>
            </w:r>
          </w:p>
        </w:tc>
        <w:tc>
          <w:tcPr>
            <w:tcW w:w="933" w:type="dxa"/>
            <w:shd w:val="clear" w:color="auto" w:fill="auto"/>
            <w:vAlign w:val="center"/>
          </w:tcPr>
          <w:p w14:paraId="4A1958A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1项未做到扣2分</w:t>
            </w:r>
          </w:p>
        </w:tc>
        <w:tc>
          <w:tcPr>
            <w:tcW w:w="633" w:type="dxa"/>
            <w:shd w:val="clear" w:color="auto" w:fill="auto"/>
            <w:vAlign w:val="center"/>
          </w:tcPr>
          <w:p w14:paraId="548C4D9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w:t>
            </w:r>
          </w:p>
        </w:tc>
      </w:tr>
      <w:tr w14:paraId="64FEF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591" w:type="dxa"/>
            <w:vMerge w:val="restart"/>
            <w:shd w:val="clear" w:color="auto" w:fill="auto"/>
            <w:vAlign w:val="center"/>
          </w:tcPr>
          <w:p w14:paraId="5FEE197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7. 道路运输</w:t>
            </w:r>
          </w:p>
        </w:tc>
        <w:tc>
          <w:tcPr>
            <w:tcW w:w="3016" w:type="dxa"/>
            <w:shd w:val="clear" w:color="auto" w:fill="auto"/>
            <w:vAlign w:val="center"/>
          </w:tcPr>
          <w:p w14:paraId="429BE61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7.1 不应用自卸汽车运载易燃、易爆物品；</w:t>
            </w:r>
          </w:p>
        </w:tc>
        <w:tc>
          <w:tcPr>
            <w:tcW w:w="1535" w:type="dxa"/>
            <w:shd w:val="clear" w:color="auto" w:fill="auto"/>
            <w:vAlign w:val="center"/>
          </w:tcPr>
          <w:p w14:paraId="27FADD5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633D853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5.4.2.1</w:t>
            </w:r>
          </w:p>
        </w:tc>
        <w:tc>
          <w:tcPr>
            <w:tcW w:w="1120" w:type="dxa"/>
            <w:shd w:val="clear" w:color="auto" w:fill="auto"/>
            <w:vAlign w:val="center"/>
          </w:tcPr>
          <w:p w14:paraId="486BC80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6D86444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3A84208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c>
          <w:tcPr>
            <w:tcW w:w="933" w:type="dxa"/>
            <w:shd w:val="clear" w:color="auto" w:fill="auto"/>
            <w:vAlign w:val="center"/>
          </w:tcPr>
          <w:p w14:paraId="77FE6B5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34D49C2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w:t>
            </w:r>
          </w:p>
        </w:tc>
      </w:tr>
      <w:tr w14:paraId="4CC9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7" w:hRule="atLeast"/>
          <w:jc w:val="center"/>
        </w:trPr>
        <w:tc>
          <w:tcPr>
            <w:tcW w:w="591" w:type="dxa"/>
            <w:vMerge w:val="continue"/>
            <w:shd w:val="clear" w:color="auto" w:fill="auto"/>
            <w:vAlign w:val="center"/>
          </w:tcPr>
          <w:p w14:paraId="130FEAF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411BBEF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7.2 自卸汽车装载应遵守如下规定：</w:t>
            </w:r>
          </w:p>
          <w:p w14:paraId="1C5084E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1、停在铲装设备回转范围0.5m以外；</w:t>
            </w:r>
          </w:p>
          <w:p w14:paraId="26DB40D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2、驾驶员不离开驾驶室，不将身体任何部位伸出驾驶室外；</w:t>
            </w:r>
          </w:p>
          <w:p w14:paraId="7A7BCCD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3、不在装载时检查、维修车辆。</w:t>
            </w:r>
          </w:p>
        </w:tc>
        <w:tc>
          <w:tcPr>
            <w:tcW w:w="1535" w:type="dxa"/>
            <w:shd w:val="clear" w:color="auto" w:fill="auto"/>
            <w:vAlign w:val="center"/>
          </w:tcPr>
          <w:p w14:paraId="47C768F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5F02108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5.4.2.2</w:t>
            </w:r>
          </w:p>
        </w:tc>
        <w:tc>
          <w:tcPr>
            <w:tcW w:w="1120" w:type="dxa"/>
            <w:shd w:val="clear" w:color="auto" w:fill="auto"/>
            <w:vAlign w:val="center"/>
          </w:tcPr>
          <w:p w14:paraId="4CC15BC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2672926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7595FCE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6</w:t>
            </w:r>
          </w:p>
        </w:tc>
        <w:tc>
          <w:tcPr>
            <w:tcW w:w="933" w:type="dxa"/>
            <w:shd w:val="clear" w:color="auto" w:fill="auto"/>
            <w:vAlign w:val="center"/>
          </w:tcPr>
          <w:p w14:paraId="3B409A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1项未做到扣2分</w:t>
            </w:r>
          </w:p>
        </w:tc>
        <w:tc>
          <w:tcPr>
            <w:tcW w:w="633" w:type="dxa"/>
            <w:shd w:val="clear" w:color="auto" w:fill="auto"/>
            <w:vAlign w:val="center"/>
          </w:tcPr>
          <w:p w14:paraId="5612FD1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6</w:t>
            </w:r>
          </w:p>
        </w:tc>
      </w:tr>
      <w:tr w14:paraId="261AC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1" w:type="dxa"/>
            <w:vMerge w:val="continue"/>
            <w:shd w:val="clear" w:color="auto" w:fill="auto"/>
            <w:vAlign w:val="center"/>
          </w:tcPr>
          <w:p w14:paraId="21D2D0A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176A330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7.3 双车道的路面宽度，应保证会车安全。主要运输道路的急弯、陡坡、危险地段应设置警示标志。</w:t>
            </w:r>
          </w:p>
        </w:tc>
        <w:tc>
          <w:tcPr>
            <w:tcW w:w="1535" w:type="dxa"/>
            <w:shd w:val="clear" w:color="auto" w:fill="auto"/>
            <w:vAlign w:val="center"/>
          </w:tcPr>
          <w:p w14:paraId="5E3E87A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51AFA32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5.4.2.3</w:t>
            </w:r>
          </w:p>
        </w:tc>
        <w:tc>
          <w:tcPr>
            <w:tcW w:w="1120" w:type="dxa"/>
            <w:shd w:val="clear" w:color="auto" w:fill="auto"/>
            <w:vAlign w:val="center"/>
          </w:tcPr>
          <w:p w14:paraId="607C9E8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3AB7899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运输道路警示不足</w:t>
            </w:r>
          </w:p>
        </w:tc>
        <w:tc>
          <w:tcPr>
            <w:tcW w:w="696" w:type="dxa"/>
            <w:shd w:val="clear" w:color="auto" w:fill="auto"/>
            <w:vAlign w:val="center"/>
          </w:tcPr>
          <w:p w14:paraId="2B22944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c>
          <w:tcPr>
            <w:tcW w:w="933" w:type="dxa"/>
            <w:shd w:val="clear" w:color="auto" w:fill="auto"/>
            <w:vAlign w:val="center"/>
          </w:tcPr>
          <w:p w14:paraId="2DB3E4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610A5D6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0</w:t>
            </w:r>
          </w:p>
        </w:tc>
      </w:tr>
      <w:tr w14:paraId="2748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1" w:type="dxa"/>
            <w:vMerge w:val="continue"/>
            <w:shd w:val="clear" w:color="auto" w:fill="auto"/>
            <w:vAlign w:val="center"/>
          </w:tcPr>
          <w:p w14:paraId="7297E75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7A8E80B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7.4 运输道路的高陡路基路段，或者弯道路、坡度较大的填方地段，远离山体一侧应设置高度不小于车轮轮胎直径1/2的护拦、挡车墙等安全设施及醒目的警示标志。</w:t>
            </w:r>
          </w:p>
        </w:tc>
        <w:tc>
          <w:tcPr>
            <w:tcW w:w="1535" w:type="dxa"/>
            <w:shd w:val="clear" w:color="auto" w:fill="auto"/>
            <w:vAlign w:val="center"/>
          </w:tcPr>
          <w:p w14:paraId="517706D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023099C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5.4.2.4</w:t>
            </w:r>
          </w:p>
        </w:tc>
        <w:tc>
          <w:tcPr>
            <w:tcW w:w="1120" w:type="dxa"/>
            <w:shd w:val="clear" w:color="auto" w:fill="auto"/>
            <w:vAlign w:val="center"/>
          </w:tcPr>
          <w:p w14:paraId="3A22AFC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676A6B5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符合</w:t>
            </w:r>
          </w:p>
        </w:tc>
        <w:tc>
          <w:tcPr>
            <w:tcW w:w="696" w:type="dxa"/>
            <w:shd w:val="clear" w:color="auto" w:fill="auto"/>
            <w:vAlign w:val="center"/>
          </w:tcPr>
          <w:p w14:paraId="2B25691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c>
          <w:tcPr>
            <w:tcW w:w="933" w:type="dxa"/>
            <w:shd w:val="clear" w:color="auto" w:fill="auto"/>
            <w:vAlign w:val="center"/>
          </w:tcPr>
          <w:p w14:paraId="4C28A05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5978B17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r>
      <w:tr w14:paraId="4EADA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1" w:type="dxa"/>
            <w:vMerge w:val="continue"/>
            <w:shd w:val="clear" w:color="auto" w:fill="auto"/>
            <w:vAlign w:val="center"/>
          </w:tcPr>
          <w:p w14:paraId="47F5D4C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086E73D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7.5 道路与铁路交叉的道口交角应不小于45°；交叉道口应设置警示牌。</w:t>
            </w:r>
          </w:p>
        </w:tc>
        <w:tc>
          <w:tcPr>
            <w:tcW w:w="1535" w:type="dxa"/>
            <w:shd w:val="clear" w:color="auto" w:fill="auto"/>
            <w:vAlign w:val="center"/>
          </w:tcPr>
          <w:p w14:paraId="1EB09B3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0E633A3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5.4.2.5</w:t>
            </w:r>
          </w:p>
        </w:tc>
        <w:tc>
          <w:tcPr>
            <w:tcW w:w="1120" w:type="dxa"/>
            <w:shd w:val="clear" w:color="auto" w:fill="auto"/>
            <w:vAlign w:val="center"/>
          </w:tcPr>
          <w:p w14:paraId="4A34C33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6727936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不涉及</w:t>
            </w:r>
          </w:p>
        </w:tc>
        <w:tc>
          <w:tcPr>
            <w:tcW w:w="696" w:type="dxa"/>
            <w:shd w:val="clear" w:color="auto" w:fill="auto"/>
            <w:vAlign w:val="center"/>
          </w:tcPr>
          <w:p w14:paraId="3D6501B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c>
          <w:tcPr>
            <w:tcW w:w="933" w:type="dxa"/>
            <w:shd w:val="clear" w:color="auto" w:fill="auto"/>
            <w:vAlign w:val="center"/>
          </w:tcPr>
          <w:p w14:paraId="3DD890C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7269E0D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w:t>
            </w:r>
          </w:p>
        </w:tc>
      </w:tr>
      <w:tr w14:paraId="240F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jc w:val="center"/>
        </w:trPr>
        <w:tc>
          <w:tcPr>
            <w:tcW w:w="591" w:type="dxa"/>
            <w:vMerge w:val="continue"/>
            <w:shd w:val="clear" w:color="auto" w:fill="auto"/>
            <w:vAlign w:val="center"/>
          </w:tcPr>
          <w:p w14:paraId="16426CC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0B7641E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7.6 汽车运行应遵守下列规定：</w:t>
            </w:r>
          </w:p>
          <w:p w14:paraId="001F498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1、驾驶室外禁止乘人；</w:t>
            </w:r>
          </w:p>
          <w:p w14:paraId="03B330C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2、运行时不升降车半；</w:t>
            </w:r>
          </w:p>
          <w:p w14:paraId="68B07C5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3、不空挡滑行；</w:t>
            </w:r>
          </w:p>
          <w:p w14:paraId="46EC553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4、不弯道超车；</w:t>
            </w:r>
          </w:p>
          <w:p w14:paraId="77D063B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5、下坡车速不超过25km/h；</w:t>
            </w:r>
          </w:p>
          <w:p w14:paraId="1487EE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6、不在主运输道路和坡道上停车；</w:t>
            </w:r>
          </w:p>
          <w:p w14:paraId="459776A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7、拖挂车辆行驶时采取可靠的安全措施，并有专人指挥；</w:t>
            </w:r>
          </w:p>
          <w:p w14:paraId="68F31E8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8、通过道口之前驾驶员减速瞭望，确认安全后再通过；</w:t>
            </w:r>
          </w:p>
          <w:p w14:paraId="7E4A8C4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9、不超载运行。</w:t>
            </w:r>
          </w:p>
        </w:tc>
        <w:tc>
          <w:tcPr>
            <w:tcW w:w="1535" w:type="dxa"/>
            <w:shd w:val="clear" w:color="auto" w:fill="auto"/>
            <w:vAlign w:val="center"/>
          </w:tcPr>
          <w:p w14:paraId="3EBD55F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73F62F4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5.4.2.6</w:t>
            </w:r>
          </w:p>
        </w:tc>
        <w:tc>
          <w:tcPr>
            <w:tcW w:w="1120" w:type="dxa"/>
            <w:shd w:val="clear" w:color="auto" w:fill="auto"/>
            <w:vAlign w:val="center"/>
          </w:tcPr>
          <w:p w14:paraId="6377C3D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376D1A7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42EE314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18</w:t>
            </w:r>
          </w:p>
        </w:tc>
        <w:tc>
          <w:tcPr>
            <w:tcW w:w="933" w:type="dxa"/>
            <w:shd w:val="clear" w:color="auto" w:fill="auto"/>
            <w:vAlign w:val="center"/>
          </w:tcPr>
          <w:p w14:paraId="199C21A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1项未做到扣2分，1项不完善扣1分</w:t>
            </w:r>
          </w:p>
        </w:tc>
        <w:tc>
          <w:tcPr>
            <w:tcW w:w="633" w:type="dxa"/>
            <w:shd w:val="clear" w:color="auto" w:fill="auto"/>
            <w:vAlign w:val="center"/>
          </w:tcPr>
          <w:p w14:paraId="6E4FFE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18</w:t>
            </w:r>
          </w:p>
        </w:tc>
      </w:tr>
      <w:tr w14:paraId="58B5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591" w:type="dxa"/>
            <w:vMerge w:val="continue"/>
            <w:shd w:val="clear" w:color="auto" w:fill="auto"/>
            <w:vAlign w:val="center"/>
          </w:tcPr>
          <w:p w14:paraId="1A6E213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179A00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7.7 现场检修车辆时，应采取的安全措施。</w:t>
            </w:r>
          </w:p>
        </w:tc>
        <w:tc>
          <w:tcPr>
            <w:tcW w:w="1535" w:type="dxa"/>
            <w:shd w:val="clear" w:color="auto" w:fill="auto"/>
            <w:vAlign w:val="center"/>
          </w:tcPr>
          <w:p w14:paraId="12A43A2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097281D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5.4.2.7</w:t>
            </w:r>
          </w:p>
        </w:tc>
        <w:tc>
          <w:tcPr>
            <w:tcW w:w="1120" w:type="dxa"/>
            <w:shd w:val="clear" w:color="auto" w:fill="auto"/>
            <w:vAlign w:val="center"/>
          </w:tcPr>
          <w:p w14:paraId="6F3B4E9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123F538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符合</w:t>
            </w:r>
          </w:p>
        </w:tc>
        <w:tc>
          <w:tcPr>
            <w:tcW w:w="696" w:type="dxa"/>
            <w:shd w:val="clear" w:color="auto" w:fill="auto"/>
            <w:vAlign w:val="center"/>
          </w:tcPr>
          <w:p w14:paraId="0BEF127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c>
          <w:tcPr>
            <w:tcW w:w="933" w:type="dxa"/>
            <w:shd w:val="clear" w:color="auto" w:fill="auto"/>
            <w:vAlign w:val="center"/>
          </w:tcPr>
          <w:p w14:paraId="12F3D6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351BEAF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r>
      <w:tr w14:paraId="6F0E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591" w:type="dxa"/>
            <w:vMerge w:val="continue"/>
            <w:shd w:val="clear" w:color="auto" w:fill="auto"/>
            <w:vAlign w:val="center"/>
          </w:tcPr>
          <w:p w14:paraId="48EFE88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72A994B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7.8 夜间装卸车应有良好的照明条件。</w:t>
            </w:r>
          </w:p>
        </w:tc>
        <w:tc>
          <w:tcPr>
            <w:tcW w:w="1535" w:type="dxa"/>
            <w:shd w:val="clear" w:color="auto" w:fill="auto"/>
            <w:vAlign w:val="center"/>
          </w:tcPr>
          <w:p w14:paraId="4E8B96E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57E00AD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5.4.2.8</w:t>
            </w:r>
          </w:p>
        </w:tc>
        <w:tc>
          <w:tcPr>
            <w:tcW w:w="1120" w:type="dxa"/>
            <w:shd w:val="clear" w:color="auto" w:fill="auto"/>
            <w:vAlign w:val="center"/>
          </w:tcPr>
          <w:p w14:paraId="6818194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09357C9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不涉及</w:t>
            </w:r>
          </w:p>
        </w:tc>
        <w:tc>
          <w:tcPr>
            <w:tcW w:w="696" w:type="dxa"/>
            <w:shd w:val="clear" w:color="auto" w:fill="auto"/>
            <w:vAlign w:val="center"/>
          </w:tcPr>
          <w:p w14:paraId="74964F6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3</w:t>
            </w:r>
          </w:p>
        </w:tc>
        <w:tc>
          <w:tcPr>
            <w:tcW w:w="933" w:type="dxa"/>
            <w:shd w:val="clear" w:color="auto" w:fill="auto"/>
            <w:vAlign w:val="center"/>
          </w:tcPr>
          <w:p w14:paraId="03A183D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33F42BC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w:t>
            </w:r>
          </w:p>
        </w:tc>
      </w:tr>
      <w:tr w14:paraId="5BF3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3" w:hRule="atLeast"/>
          <w:jc w:val="center"/>
        </w:trPr>
        <w:tc>
          <w:tcPr>
            <w:tcW w:w="591" w:type="dxa"/>
            <w:vMerge w:val="continue"/>
            <w:shd w:val="clear" w:color="auto" w:fill="auto"/>
            <w:vAlign w:val="center"/>
          </w:tcPr>
          <w:p w14:paraId="5C58AAD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3D96A70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7.9 雾霾或烟尘影响能见度时，应开户警示灯，靠右侧减速行驶，前后车间距应不小于30m，视距不足30m时，应靠右停车。冰雪或多雨季节，道路湿滑时，应有防滑措施并减速行驶，前后车距应不小于40m。拖挂其他车辆时，应采取有效的安全措施，并有专人指挥。</w:t>
            </w:r>
          </w:p>
        </w:tc>
        <w:tc>
          <w:tcPr>
            <w:tcW w:w="1535" w:type="dxa"/>
            <w:shd w:val="clear" w:color="auto" w:fill="auto"/>
            <w:vAlign w:val="center"/>
          </w:tcPr>
          <w:p w14:paraId="47845FA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275560D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5.4.2.9</w:t>
            </w:r>
          </w:p>
        </w:tc>
        <w:tc>
          <w:tcPr>
            <w:tcW w:w="1120" w:type="dxa"/>
            <w:shd w:val="clear" w:color="auto" w:fill="auto"/>
            <w:vAlign w:val="center"/>
          </w:tcPr>
          <w:p w14:paraId="6F175FD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1DDA3CC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696" w:type="dxa"/>
            <w:shd w:val="clear" w:color="auto" w:fill="auto"/>
            <w:vAlign w:val="center"/>
          </w:tcPr>
          <w:p w14:paraId="5EE9C3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6</w:t>
            </w:r>
          </w:p>
        </w:tc>
        <w:tc>
          <w:tcPr>
            <w:tcW w:w="933" w:type="dxa"/>
            <w:shd w:val="clear" w:color="auto" w:fill="auto"/>
            <w:vAlign w:val="center"/>
          </w:tcPr>
          <w:p w14:paraId="38F27BE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1项未做到扣2分</w:t>
            </w:r>
          </w:p>
        </w:tc>
        <w:tc>
          <w:tcPr>
            <w:tcW w:w="633" w:type="dxa"/>
            <w:shd w:val="clear" w:color="auto" w:fill="auto"/>
            <w:vAlign w:val="center"/>
          </w:tcPr>
          <w:p w14:paraId="0DBD3F7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6</w:t>
            </w:r>
          </w:p>
        </w:tc>
      </w:tr>
      <w:tr w14:paraId="4CB6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591" w:type="dxa"/>
            <w:vMerge w:val="continue"/>
            <w:shd w:val="clear" w:color="auto" w:fill="auto"/>
            <w:vAlign w:val="center"/>
          </w:tcPr>
          <w:p w14:paraId="53DB3B1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3016" w:type="dxa"/>
            <w:shd w:val="clear" w:color="auto" w:fill="auto"/>
            <w:vAlign w:val="center"/>
          </w:tcPr>
          <w:p w14:paraId="4638322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7.10 矿仓口周围应设围挡或防护栏杆；卸车平台受料口应设牢固的安全限位车挡，车挡高度不小于车轮轮胎直径的1/3。</w:t>
            </w:r>
          </w:p>
        </w:tc>
        <w:tc>
          <w:tcPr>
            <w:tcW w:w="1535" w:type="dxa"/>
            <w:shd w:val="clear" w:color="auto" w:fill="auto"/>
            <w:vAlign w:val="center"/>
          </w:tcPr>
          <w:p w14:paraId="58A3746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GB16423-2020</w:t>
            </w:r>
          </w:p>
          <w:p w14:paraId="1EA6F8A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5.3.1</w:t>
            </w:r>
          </w:p>
        </w:tc>
        <w:tc>
          <w:tcPr>
            <w:tcW w:w="1120" w:type="dxa"/>
            <w:shd w:val="clear" w:color="auto" w:fill="auto"/>
            <w:vAlign w:val="center"/>
          </w:tcPr>
          <w:p w14:paraId="2927019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847" w:type="dxa"/>
            <w:shd w:val="clear" w:color="auto" w:fill="auto"/>
            <w:vAlign w:val="center"/>
          </w:tcPr>
          <w:p w14:paraId="475AFA1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符合</w:t>
            </w:r>
          </w:p>
        </w:tc>
        <w:tc>
          <w:tcPr>
            <w:tcW w:w="696" w:type="dxa"/>
            <w:shd w:val="clear" w:color="auto" w:fill="auto"/>
            <w:vAlign w:val="center"/>
          </w:tcPr>
          <w:p w14:paraId="7709392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c>
          <w:tcPr>
            <w:tcW w:w="933" w:type="dxa"/>
            <w:shd w:val="clear" w:color="auto" w:fill="auto"/>
            <w:vAlign w:val="center"/>
          </w:tcPr>
          <w:p w14:paraId="2F4BF04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不符合不得分</w:t>
            </w:r>
          </w:p>
        </w:tc>
        <w:tc>
          <w:tcPr>
            <w:tcW w:w="633" w:type="dxa"/>
            <w:shd w:val="clear" w:color="auto" w:fill="auto"/>
            <w:vAlign w:val="center"/>
          </w:tcPr>
          <w:p w14:paraId="3F0658C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r>
      <w:tr w14:paraId="07C19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591" w:type="dxa"/>
            <w:shd w:val="clear" w:color="auto" w:fill="auto"/>
            <w:vAlign w:val="center"/>
          </w:tcPr>
          <w:p w14:paraId="498E60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小计</w:t>
            </w:r>
          </w:p>
        </w:tc>
        <w:tc>
          <w:tcPr>
            <w:tcW w:w="3016" w:type="dxa"/>
            <w:shd w:val="clear" w:color="auto" w:fill="auto"/>
            <w:vAlign w:val="center"/>
          </w:tcPr>
          <w:p w14:paraId="425B203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p>
        </w:tc>
        <w:tc>
          <w:tcPr>
            <w:tcW w:w="1535" w:type="dxa"/>
            <w:shd w:val="clear" w:color="auto" w:fill="auto"/>
            <w:vAlign w:val="center"/>
          </w:tcPr>
          <w:p w14:paraId="60ED2D9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1120" w:type="dxa"/>
            <w:shd w:val="clear" w:color="auto" w:fill="auto"/>
            <w:vAlign w:val="center"/>
          </w:tcPr>
          <w:p w14:paraId="040B04F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847" w:type="dxa"/>
            <w:shd w:val="clear" w:color="auto" w:fill="auto"/>
            <w:vAlign w:val="center"/>
          </w:tcPr>
          <w:p w14:paraId="6758ED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696" w:type="dxa"/>
            <w:shd w:val="clear" w:color="auto" w:fill="auto"/>
            <w:vAlign w:val="center"/>
          </w:tcPr>
          <w:p w14:paraId="62CA69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192</w:t>
            </w:r>
          </w:p>
        </w:tc>
        <w:tc>
          <w:tcPr>
            <w:tcW w:w="933" w:type="dxa"/>
            <w:shd w:val="clear" w:color="auto" w:fill="auto"/>
            <w:vAlign w:val="center"/>
          </w:tcPr>
          <w:p w14:paraId="19779D5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p>
        </w:tc>
        <w:tc>
          <w:tcPr>
            <w:tcW w:w="633" w:type="dxa"/>
            <w:shd w:val="clear" w:color="auto" w:fill="auto"/>
            <w:vAlign w:val="center"/>
          </w:tcPr>
          <w:p w14:paraId="670D413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179</w:t>
            </w:r>
          </w:p>
        </w:tc>
      </w:tr>
    </w:tbl>
    <w:p w14:paraId="1C014480">
      <w:pPr>
        <w:pStyle w:val="4"/>
        <w:bidi w:val="0"/>
        <w:rPr>
          <w:rFonts w:hint="default"/>
          <w:color w:val="auto"/>
          <w:lang w:val="en-US" w:eastAsia="zh-CN"/>
        </w:rPr>
      </w:pPr>
      <w:bookmarkStart w:id="474" w:name="_Toc16584"/>
      <w:bookmarkStart w:id="475" w:name="_Toc855"/>
      <w:bookmarkStart w:id="476" w:name="_Toc25577"/>
      <w:bookmarkStart w:id="477" w:name="_Toc16629"/>
      <w:bookmarkStart w:id="478" w:name="_Toc25565"/>
      <w:bookmarkStart w:id="479" w:name="_Toc8656"/>
      <w:r>
        <w:rPr>
          <w:rFonts w:hint="default"/>
          <w:color w:val="auto"/>
          <w:lang w:val="en-US" w:eastAsia="zh-CN"/>
        </w:rPr>
        <w:t>5.</w:t>
      </w:r>
      <w:r>
        <w:rPr>
          <w:rFonts w:hint="eastAsia"/>
          <w:color w:val="auto"/>
          <w:lang w:val="en-US" w:eastAsia="zh-CN"/>
        </w:rPr>
        <w:t>2</w:t>
      </w:r>
      <w:r>
        <w:rPr>
          <w:rFonts w:hint="default"/>
          <w:color w:val="auto"/>
          <w:lang w:val="en-US" w:eastAsia="zh-CN"/>
        </w:rPr>
        <w:t>.2</w:t>
      </w:r>
      <w:r>
        <w:rPr>
          <w:rFonts w:hint="eastAsia"/>
          <w:color w:val="auto"/>
          <w:lang w:val="en-US" w:eastAsia="zh-CN"/>
        </w:rPr>
        <w:t xml:space="preserve"> </w:t>
      </w:r>
      <w:r>
        <w:rPr>
          <w:rFonts w:hint="default"/>
          <w:color w:val="auto"/>
          <w:lang w:val="en-US" w:eastAsia="zh-CN"/>
        </w:rPr>
        <w:t>评价小结</w:t>
      </w:r>
      <w:bookmarkEnd w:id="474"/>
      <w:bookmarkEnd w:id="475"/>
      <w:bookmarkEnd w:id="476"/>
      <w:bookmarkEnd w:id="477"/>
      <w:bookmarkEnd w:id="478"/>
      <w:bookmarkEnd w:id="479"/>
    </w:p>
    <w:p w14:paraId="22C797D1">
      <w:pPr>
        <w:bidi w:val="0"/>
        <w:rPr>
          <w:rFonts w:hint="default"/>
          <w:color w:val="auto"/>
          <w:lang w:val="en-US" w:eastAsia="zh-CN"/>
        </w:rPr>
      </w:pPr>
      <w:r>
        <w:rPr>
          <w:rFonts w:hint="eastAsia"/>
          <w:color w:val="auto"/>
          <w:lang w:val="en-US" w:eastAsia="zh-CN"/>
        </w:rPr>
        <w:t>鄱阳县响水滩乡禾互山建筑用石料矿</w:t>
      </w:r>
      <w:r>
        <w:rPr>
          <w:rFonts w:hint="default"/>
          <w:color w:val="auto"/>
          <w:lang w:val="en-US" w:eastAsia="zh-CN"/>
        </w:rPr>
        <w:t>露天采场单元</w:t>
      </w:r>
      <w:r>
        <w:rPr>
          <w:rFonts w:hint="eastAsia"/>
          <w:color w:val="auto"/>
          <w:lang w:val="en-US" w:eastAsia="zh-CN"/>
        </w:rPr>
        <w:t>安全</w:t>
      </w:r>
      <w:r>
        <w:rPr>
          <w:rFonts w:hint="default"/>
          <w:color w:val="auto"/>
          <w:lang w:val="en-US" w:eastAsia="zh-CN"/>
        </w:rPr>
        <w:t>检查表中否决项</w:t>
      </w:r>
      <w:r>
        <w:rPr>
          <w:rFonts w:hint="eastAsia"/>
          <w:color w:val="auto"/>
          <w:lang w:val="en-US" w:eastAsia="zh-CN"/>
        </w:rPr>
        <w:t>均符合要求</w:t>
      </w:r>
      <w:r>
        <w:rPr>
          <w:rFonts w:hint="default"/>
          <w:color w:val="auto"/>
          <w:lang w:val="en-US" w:eastAsia="zh-CN"/>
        </w:rPr>
        <w:t>，一般项总分</w:t>
      </w:r>
      <w:r>
        <w:rPr>
          <w:rFonts w:hint="eastAsia"/>
          <w:color w:val="auto"/>
          <w:lang w:val="en-US" w:eastAsia="zh-CN"/>
        </w:rPr>
        <w:t>192</w:t>
      </w:r>
      <w:r>
        <w:rPr>
          <w:rFonts w:hint="default"/>
          <w:color w:val="auto"/>
          <w:lang w:val="en-US" w:eastAsia="zh-CN"/>
        </w:rPr>
        <w:t>分，</w:t>
      </w:r>
      <w:r>
        <w:rPr>
          <w:rFonts w:hint="eastAsia"/>
          <w:color w:val="auto"/>
          <w:lang w:val="en-US" w:eastAsia="zh-CN"/>
        </w:rPr>
        <w:t>得分179</w:t>
      </w:r>
      <w:r>
        <w:rPr>
          <w:rFonts w:hint="default"/>
          <w:color w:val="auto"/>
          <w:lang w:val="en-US" w:eastAsia="zh-CN"/>
        </w:rPr>
        <w:t>分，得分率为</w:t>
      </w:r>
      <w:r>
        <w:rPr>
          <w:rFonts w:hint="eastAsia"/>
          <w:color w:val="auto"/>
          <w:lang w:val="en-US" w:eastAsia="zh-CN"/>
        </w:rPr>
        <w:t>93.23</w:t>
      </w:r>
      <w:r>
        <w:rPr>
          <w:rFonts w:hint="default"/>
          <w:color w:val="auto"/>
          <w:lang w:val="en-US" w:eastAsia="zh-CN"/>
        </w:rPr>
        <w:t>%，说明</w:t>
      </w:r>
      <w:r>
        <w:rPr>
          <w:rFonts w:hint="eastAsia"/>
          <w:color w:val="auto"/>
          <w:lang w:val="en-US" w:eastAsia="zh-CN"/>
        </w:rPr>
        <w:t>鄱阳县响水滩乡禾互山建筑用石料矿</w:t>
      </w:r>
      <w:r>
        <w:rPr>
          <w:rFonts w:hint="default"/>
          <w:color w:val="auto"/>
          <w:lang w:val="en-US" w:eastAsia="zh-CN"/>
        </w:rPr>
        <w:t>露天采场单元具备安全生产条件。</w:t>
      </w:r>
    </w:p>
    <w:p w14:paraId="2C6C2130">
      <w:pPr>
        <w:bidi w:val="0"/>
        <w:rPr>
          <w:rFonts w:hint="default" w:ascii="Times New Roman" w:hAnsi="Times New Roman" w:eastAsia="宋体" w:cs="Times New Roman"/>
          <w:color w:val="auto"/>
          <w:lang w:val="en-US" w:eastAsia="zh-CN"/>
        </w:rPr>
      </w:pPr>
      <w:r>
        <w:rPr>
          <w:rFonts w:hint="default"/>
          <w:color w:val="auto"/>
          <w:lang w:val="en-US" w:eastAsia="zh-CN"/>
        </w:rPr>
        <w:t>存在的主要问题</w:t>
      </w:r>
      <w:r>
        <w:rPr>
          <w:rFonts w:hint="eastAsia" w:ascii="Times New Roman" w:hAnsi="Times New Roman" w:eastAsia="宋体" w:cs="Times New Roman"/>
          <w:color w:val="auto"/>
          <w:lang w:val="en-US" w:eastAsia="zh-CN"/>
        </w:rPr>
        <w:t>：1）未提供采剥工程年末图；2）</w:t>
      </w:r>
      <w:r>
        <w:rPr>
          <w:rFonts w:hint="default" w:ascii="Times New Roman" w:hAnsi="Times New Roman" w:eastAsia="宋体" w:cs="Times New Roman"/>
          <w:color w:val="auto"/>
          <w:lang w:val="en-US" w:eastAsia="zh-CN"/>
        </w:rPr>
        <w:t>未设相邻采场边界围栏</w:t>
      </w:r>
      <w:r>
        <w:rPr>
          <w:rFonts w:hint="eastAsia" w:ascii="Times New Roman" w:hAnsi="Times New Roman" w:eastAsia="宋体" w:cs="Times New Roman"/>
          <w:color w:val="auto"/>
          <w:lang w:val="en-US" w:eastAsia="zh-CN"/>
        </w:rPr>
        <w:t>；3）未见</w:t>
      </w:r>
      <w:r>
        <w:rPr>
          <w:rFonts w:hint="default" w:ascii="Times New Roman" w:hAnsi="Times New Roman" w:eastAsia="宋体" w:cs="Times New Roman"/>
          <w:color w:val="auto"/>
          <w:lang w:val="en-US" w:eastAsia="zh-CN"/>
        </w:rPr>
        <w:t>爆破后安全检查记录</w:t>
      </w:r>
      <w:r>
        <w:rPr>
          <w:rFonts w:hint="eastAsia" w:ascii="Times New Roman" w:hAnsi="Times New Roman" w:eastAsia="宋体" w:cs="Times New Roman"/>
          <w:color w:val="auto"/>
          <w:lang w:val="en-US" w:eastAsia="zh-CN"/>
        </w:rPr>
        <w:t>；4）运输道路警示不足。</w:t>
      </w:r>
    </w:p>
    <w:p w14:paraId="3C4325A8">
      <w:pPr>
        <w:pStyle w:val="3"/>
        <w:bidi w:val="0"/>
        <w:rPr>
          <w:rFonts w:hint="default"/>
          <w:color w:val="auto"/>
          <w:lang w:val="en-US" w:eastAsia="zh-CN"/>
        </w:rPr>
      </w:pPr>
      <w:bookmarkStart w:id="480" w:name="_Toc3738"/>
      <w:bookmarkStart w:id="481" w:name="_Toc21815"/>
      <w:bookmarkStart w:id="482" w:name="_Toc18953"/>
      <w:bookmarkStart w:id="483" w:name="_Toc9064"/>
      <w:bookmarkStart w:id="484" w:name="_Toc19642"/>
      <w:bookmarkStart w:id="485" w:name="_Toc4835"/>
      <w:r>
        <w:rPr>
          <w:rFonts w:hint="default"/>
          <w:color w:val="auto"/>
          <w:lang w:val="en-US" w:eastAsia="zh-CN"/>
        </w:rPr>
        <w:t>5.3</w:t>
      </w:r>
      <w:r>
        <w:rPr>
          <w:rFonts w:hint="eastAsia"/>
          <w:color w:val="auto"/>
          <w:lang w:val="en-US" w:eastAsia="zh-CN"/>
        </w:rPr>
        <w:t xml:space="preserve"> </w:t>
      </w:r>
      <w:r>
        <w:rPr>
          <w:rFonts w:hint="default"/>
          <w:color w:val="auto"/>
          <w:lang w:val="en-US" w:eastAsia="zh-CN"/>
        </w:rPr>
        <w:t>边坡管理单元</w:t>
      </w:r>
      <w:bookmarkEnd w:id="480"/>
      <w:bookmarkEnd w:id="481"/>
      <w:bookmarkEnd w:id="482"/>
      <w:bookmarkEnd w:id="483"/>
      <w:bookmarkEnd w:id="484"/>
      <w:bookmarkEnd w:id="485"/>
    </w:p>
    <w:p w14:paraId="006AA7AC">
      <w:pPr>
        <w:pStyle w:val="4"/>
        <w:bidi w:val="0"/>
        <w:rPr>
          <w:rFonts w:hint="default"/>
          <w:color w:val="auto"/>
          <w:lang w:val="en-US" w:eastAsia="zh-CN"/>
        </w:rPr>
      </w:pPr>
      <w:bookmarkStart w:id="486" w:name="_Toc19589"/>
      <w:bookmarkStart w:id="487" w:name="_Toc22400"/>
      <w:bookmarkStart w:id="488" w:name="_Toc17299"/>
      <w:bookmarkStart w:id="489" w:name="_Toc19145"/>
      <w:bookmarkStart w:id="490" w:name="_Toc20044"/>
      <w:bookmarkStart w:id="491" w:name="_Toc26425"/>
      <w:r>
        <w:rPr>
          <w:rFonts w:hint="default"/>
          <w:color w:val="auto"/>
          <w:lang w:val="en-US" w:eastAsia="zh-CN"/>
        </w:rPr>
        <w:t>5.3.1</w:t>
      </w:r>
      <w:r>
        <w:rPr>
          <w:rFonts w:hint="eastAsia"/>
          <w:color w:val="auto"/>
          <w:lang w:val="en-US" w:eastAsia="zh-CN"/>
        </w:rPr>
        <w:t xml:space="preserve"> 边坡管理</w:t>
      </w:r>
      <w:r>
        <w:rPr>
          <w:rFonts w:hint="default"/>
          <w:color w:val="auto"/>
          <w:lang w:val="en-US" w:eastAsia="zh-CN"/>
        </w:rPr>
        <w:t>安全检查表</w:t>
      </w:r>
      <w:bookmarkEnd w:id="486"/>
      <w:bookmarkEnd w:id="487"/>
      <w:bookmarkEnd w:id="488"/>
      <w:bookmarkEnd w:id="489"/>
      <w:bookmarkEnd w:id="490"/>
      <w:bookmarkEnd w:id="491"/>
    </w:p>
    <w:p w14:paraId="2E03D02A">
      <w:pPr>
        <w:rPr>
          <w:rFonts w:hint="default"/>
          <w:color w:val="auto"/>
          <w:lang w:val="en-US" w:eastAsia="zh-CN"/>
        </w:rPr>
      </w:pPr>
      <w:r>
        <w:rPr>
          <w:rFonts w:hint="default"/>
          <w:color w:val="auto"/>
          <w:lang w:val="en-US" w:eastAsia="zh-CN"/>
        </w:rPr>
        <w:t>边坡管理安全检查表</w:t>
      </w:r>
      <w:r>
        <w:rPr>
          <w:rFonts w:hint="eastAsia"/>
          <w:color w:val="auto"/>
          <w:lang w:val="en-US" w:eastAsia="zh-CN"/>
        </w:rPr>
        <w:t>见</w:t>
      </w:r>
      <w:r>
        <w:rPr>
          <w:rFonts w:hint="default"/>
          <w:color w:val="auto"/>
          <w:lang w:val="en-US" w:eastAsia="zh-CN"/>
        </w:rPr>
        <w:t>表5.</w:t>
      </w:r>
      <w:r>
        <w:rPr>
          <w:rFonts w:hint="eastAsia"/>
          <w:color w:val="auto"/>
          <w:lang w:val="en-US" w:eastAsia="zh-CN"/>
        </w:rPr>
        <w:t>3</w:t>
      </w:r>
      <w:r>
        <w:rPr>
          <w:rFonts w:hint="default"/>
          <w:color w:val="auto"/>
          <w:lang w:val="en-US" w:eastAsia="zh-CN"/>
        </w:rPr>
        <w:t>-1所示。</w:t>
      </w:r>
    </w:p>
    <w:p w14:paraId="058F6A7D">
      <w:pPr>
        <w:ind w:left="0" w:leftChars="0" w:firstLine="0" w:firstLineChars="0"/>
        <w:jc w:val="center"/>
        <w:rPr>
          <w:rFonts w:hint="default"/>
          <w:color w:val="auto"/>
          <w:lang w:val="en-US" w:eastAsia="zh-CN"/>
        </w:rPr>
      </w:pPr>
      <w:r>
        <w:rPr>
          <w:rFonts w:hint="default"/>
          <w:color w:val="auto"/>
          <w:lang w:val="en-US" w:eastAsia="zh-CN"/>
        </w:rPr>
        <w:t>表5.</w:t>
      </w:r>
      <w:r>
        <w:rPr>
          <w:rFonts w:hint="eastAsia"/>
          <w:color w:val="auto"/>
          <w:lang w:val="en-US" w:eastAsia="zh-CN"/>
        </w:rPr>
        <w:t>3</w:t>
      </w:r>
      <w:r>
        <w:rPr>
          <w:rFonts w:hint="default"/>
          <w:color w:val="auto"/>
          <w:lang w:val="en-US" w:eastAsia="zh-CN"/>
        </w:rPr>
        <w:t>-1</w:t>
      </w:r>
      <w:r>
        <w:rPr>
          <w:rFonts w:hint="eastAsia"/>
          <w:color w:val="auto"/>
          <w:lang w:val="en-US" w:eastAsia="zh-CN"/>
        </w:rPr>
        <w:t xml:space="preserve"> 边坡管理安全检查表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2498"/>
        <w:gridCol w:w="1537"/>
        <w:gridCol w:w="1267"/>
        <w:gridCol w:w="924"/>
        <w:gridCol w:w="750"/>
        <w:gridCol w:w="853"/>
        <w:gridCol w:w="501"/>
      </w:tblGrid>
      <w:tr w14:paraId="457C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Align w:val="center"/>
          </w:tcPr>
          <w:p w14:paraId="26902B7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序号</w:t>
            </w:r>
          </w:p>
        </w:tc>
        <w:tc>
          <w:tcPr>
            <w:tcW w:w="2498" w:type="dxa"/>
            <w:vAlign w:val="center"/>
          </w:tcPr>
          <w:p w14:paraId="0829F6F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检查内容</w:t>
            </w:r>
          </w:p>
        </w:tc>
        <w:tc>
          <w:tcPr>
            <w:tcW w:w="1537" w:type="dxa"/>
            <w:vAlign w:val="center"/>
          </w:tcPr>
          <w:p w14:paraId="7D166D1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检查依据</w:t>
            </w:r>
          </w:p>
        </w:tc>
        <w:tc>
          <w:tcPr>
            <w:tcW w:w="1267" w:type="dxa"/>
            <w:vAlign w:val="center"/>
          </w:tcPr>
          <w:p w14:paraId="21B3568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检查方法及地点</w:t>
            </w:r>
          </w:p>
        </w:tc>
        <w:tc>
          <w:tcPr>
            <w:tcW w:w="924" w:type="dxa"/>
            <w:vAlign w:val="center"/>
          </w:tcPr>
          <w:p w14:paraId="1CDF52B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检查</w:t>
            </w:r>
          </w:p>
          <w:p w14:paraId="4D039F7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记录</w:t>
            </w:r>
          </w:p>
        </w:tc>
        <w:tc>
          <w:tcPr>
            <w:tcW w:w="750" w:type="dxa"/>
            <w:vAlign w:val="center"/>
          </w:tcPr>
          <w:p w14:paraId="6E3E593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标准</w:t>
            </w:r>
          </w:p>
          <w:p w14:paraId="0771478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分值</w:t>
            </w:r>
          </w:p>
        </w:tc>
        <w:tc>
          <w:tcPr>
            <w:tcW w:w="853" w:type="dxa"/>
            <w:vAlign w:val="center"/>
          </w:tcPr>
          <w:p w14:paraId="65365FC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评分</w:t>
            </w:r>
          </w:p>
          <w:p w14:paraId="6F4F233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标准</w:t>
            </w:r>
          </w:p>
        </w:tc>
        <w:tc>
          <w:tcPr>
            <w:tcW w:w="501" w:type="dxa"/>
            <w:vAlign w:val="center"/>
          </w:tcPr>
          <w:p w14:paraId="44EA1C9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得分</w:t>
            </w:r>
          </w:p>
        </w:tc>
      </w:tr>
      <w:tr w14:paraId="5364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958" w:type="dxa"/>
            <w:vAlign w:val="center"/>
          </w:tcPr>
          <w:p w14:paraId="56FF996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w:t>
            </w:r>
          </w:p>
        </w:tc>
        <w:tc>
          <w:tcPr>
            <w:tcW w:w="2498" w:type="dxa"/>
            <w:vAlign w:val="center"/>
          </w:tcPr>
          <w:p w14:paraId="0B871A5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露天边坡应符合设计要求，保证边坡整体的安全稳定。</w:t>
            </w:r>
          </w:p>
        </w:tc>
        <w:tc>
          <w:tcPr>
            <w:tcW w:w="1537" w:type="dxa"/>
            <w:vAlign w:val="center"/>
          </w:tcPr>
          <w:p w14:paraId="0D975CC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321FAA9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5.2.4.1</w:t>
            </w:r>
          </w:p>
        </w:tc>
        <w:tc>
          <w:tcPr>
            <w:tcW w:w="1267" w:type="dxa"/>
            <w:vAlign w:val="center"/>
          </w:tcPr>
          <w:p w14:paraId="1DD2710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对照设计查现场</w:t>
            </w:r>
          </w:p>
        </w:tc>
        <w:tc>
          <w:tcPr>
            <w:tcW w:w="924" w:type="dxa"/>
            <w:vAlign w:val="center"/>
          </w:tcPr>
          <w:p w14:paraId="141B0CA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符合规</w:t>
            </w:r>
          </w:p>
          <w:p w14:paraId="0421500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程要求</w:t>
            </w:r>
          </w:p>
        </w:tc>
        <w:tc>
          <w:tcPr>
            <w:tcW w:w="750" w:type="dxa"/>
            <w:vAlign w:val="center"/>
          </w:tcPr>
          <w:p w14:paraId="0F3601F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4</w:t>
            </w:r>
          </w:p>
        </w:tc>
        <w:tc>
          <w:tcPr>
            <w:tcW w:w="853" w:type="dxa"/>
            <w:vAlign w:val="center"/>
          </w:tcPr>
          <w:p w14:paraId="07ECC9A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不符合不得分</w:t>
            </w:r>
          </w:p>
        </w:tc>
        <w:tc>
          <w:tcPr>
            <w:tcW w:w="501" w:type="dxa"/>
            <w:vAlign w:val="center"/>
          </w:tcPr>
          <w:p w14:paraId="76D18A4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4</w:t>
            </w:r>
          </w:p>
        </w:tc>
      </w:tr>
      <w:tr w14:paraId="5A7E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jc w:val="center"/>
        </w:trPr>
        <w:tc>
          <w:tcPr>
            <w:tcW w:w="958" w:type="dxa"/>
            <w:vAlign w:val="center"/>
          </w:tcPr>
          <w:p w14:paraId="6B0897D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2498" w:type="dxa"/>
            <w:vAlign w:val="center"/>
          </w:tcPr>
          <w:p w14:paraId="78A5DA7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邻近最终边坡作业应遵守下列规定：</w:t>
            </w:r>
          </w:p>
          <w:p w14:paraId="38C7241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——控制爆破减震；</w:t>
            </w:r>
          </w:p>
          <w:p w14:paraId="2040799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——保持台阶的安全坡面角，不应超挖坡底。</w:t>
            </w:r>
          </w:p>
        </w:tc>
        <w:tc>
          <w:tcPr>
            <w:tcW w:w="1537" w:type="dxa"/>
            <w:vAlign w:val="center"/>
          </w:tcPr>
          <w:p w14:paraId="65FC7ED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3BE45ED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5.2.4.2</w:t>
            </w:r>
          </w:p>
        </w:tc>
        <w:tc>
          <w:tcPr>
            <w:tcW w:w="1267" w:type="dxa"/>
            <w:vAlign w:val="center"/>
          </w:tcPr>
          <w:p w14:paraId="7ABAE36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查看现场</w:t>
            </w:r>
          </w:p>
        </w:tc>
        <w:tc>
          <w:tcPr>
            <w:tcW w:w="924" w:type="dxa"/>
            <w:vAlign w:val="center"/>
          </w:tcPr>
          <w:p w14:paraId="4AF0B50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符合规</w:t>
            </w:r>
          </w:p>
          <w:p w14:paraId="258DB6A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程要求</w:t>
            </w:r>
          </w:p>
        </w:tc>
        <w:tc>
          <w:tcPr>
            <w:tcW w:w="750" w:type="dxa"/>
            <w:vAlign w:val="center"/>
          </w:tcPr>
          <w:p w14:paraId="5D84BBC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853" w:type="dxa"/>
            <w:vAlign w:val="center"/>
          </w:tcPr>
          <w:p w14:paraId="055CFD9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1项不符合扣1分</w:t>
            </w:r>
          </w:p>
        </w:tc>
        <w:tc>
          <w:tcPr>
            <w:tcW w:w="501" w:type="dxa"/>
            <w:vAlign w:val="center"/>
          </w:tcPr>
          <w:p w14:paraId="62B4D26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r>
      <w:tr w14:paraId="0543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5" w:hRule="atLeast"/>
          <w:jc w:val="center"/>
        </w:trPr>
        <w:tc>
          <w:tcPr>
            <w:tcW w:w="958" w:type="dxa"/>
            <w:vAlign w:val="center"/>
          </w:tcPr>
          <w:p w14:paraId="3855D9C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w:t>
            </w:r>
          </w:p>
        </w:tc>
        <w:tc>
          <w:tcPr>
            <w:tcW w:w="2498" w:type="dxa"/>
            <w:vAlign w:val="center"/>
          </w:tcPr>
          <w:p w14:paraId="39766C7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遇有下列情况时，应采取有效的安全措施：</w:t>
            </w:r>
          </w:p>
          <w:p w14:paraId="7189764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——岩层内倾于采场，且设计边坡角大于岩层倾角；</w:t>
            </w:r>
          </w:p>
          <w:p w14:paraId="5FEB3C8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——有多组节理、裂隙空间组合结构面内倾于采场；</w:t>
            </w:r>
          </w:p>
          <w:p w14:paraId="400F631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——有较大软弱结构面切割边坡；</w:t>
            </w:r>
          </w:p>
          <w:p w14:paraId="160BC20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——构成不稳定的潜在滑坡体的边坡。</w:t>
            </w:r>
          </w:p>
        </w:tc>
        <w:tc>
          <w:tcPr>
            <w:tcW w:w="1537" w:type="dxa"/>
            <w:vAlign w:val="center"/>
          </w:tcPr>
          <w:p w14:paraId="72A7097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3143C7F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5.2.4.3</w:t>
            </w:r>
          </w:p>
        </w:tc>
        <w:tc>
          <w:tcPr>
            <w:tcW w:w="1267" w:type="dxa"/>
            <w:vAlign w:val="center"/>
          </w:tcPr>
          <w:p w14:paraId="13440EA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对照设计查现场</w:t>
            </w:r>
          </w:p>
        </w:tc>
        <w:tc>
          <w:tcPr>
            <w:tcW w:w="924" w:type="dxa"/>
            <w:vAlign w:val="center"/>
          </w:tcPr>
          <w:p w14:paraId="6CE12EC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符合规</w:t>
            </w:r>
          </w:p>
          <w:p w14:paraId="3468114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程要求</w:t>
            </w:r>
          </w:p>
        </w:tc>
        <w:tc>
          <w:tcPr>
            <w:tcW w:w="750" w:type="dxa"/>
            <w:vAlign w:val="center"/>
          </w:tcPr>
          <w:p w14:paraId="252EDB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w:t>
            </w:r>
          </w:p>
        </w:tc>
        <w:tc>
          <w:tcPr>
            <w:tcW w:w="853" w:type="dxa"/>
            <w:vAlign w:val="center"/>
          </w:tcPr>
          <w:p w14:paraId="154FF28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1项不符合扣1分</w:t>
            </w:r>
          </w:p>
        </w:tc>
        <w:tc>
          <w:tcPr>
            <w:tcW w:w="501" w:type="dxa"/>
            <w:vAlign w:val="center"/>
          </w:tcPr>
          <w:p w14:paraId="57CC3B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w:t>
            </w:r>
          </w:p>
        </w:tc>
      </w:tr>
      <w:tr w14:paraId="777D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958" w:type="dxa"/>
            <w:vAlign w:val="center"/>
          </w:tcPr>
          <w:p w14:paraId="696A905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4</w:t>
            </w:r>
          </w:p>
        </w:tc>
        <w:tc>
          <w:tcPr>
            <w:tcW w:w="2498" w:type="dxa"/>
            <w:vAlign w:val="center"/>
          </w:tcPr>
          <w:p w14:paraId="3F06F54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边坡浮石清理完毕之前不应在边坡底部作业；人员和设备不应在边坡底部停留。</w:t>
            </w:r>
          </w:p>
        </w:tc>
        <w:tc>
          <w:tcPr>
            <w:tcW w:w="1537" w:type="dxa"/>
            <w:vAlign w:val="center"/>
          </w:tcPr>
          <w:p w14:paraId="3C0397F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53CA4A0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5.2.4.4</w:t>
            </w:r>
          </w:p>
        </w:tc>
        <w:tc>
          <w:tcPr>
            <w:tcW w:w="1267" w:type="dxa"/>
            <w:vAlign w:val="center"/>
          </w:tcPr>
          <w:p w14:paraId="0BA7939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现场检查</w:t>
            </w:r>
          </w:p>
        </w:tc>
        <w:tc>
          <w:tcPr>
            <w:tcW w:w="924" w:type="dxa"/>
            <w:vAlign w:val="center"/>
          </w:tcPr>
          <w:p w14:paraId="5BDB757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符合规</w:t>
            </w:r>
          </w:p>
          <w:p w14:paraId="1E5E00C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程要求</w:t>
            </w:r>
          </w:p>
        </w:tc>
        <w:tc>
          <w:tcPr>
            <w:tcW w:w="750" w:type="dxa"/>
            <w:vAlign w:val="center"/>
          </w:tcPr>
          <w:p w14:paraId="7B739A8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w:t>
            </w:r>
          </w:p>
        </w:tc>
        <w:tc>
          <w:tcPr>
            <w:tcW w:w="853" w:type="dxa"/>
            <w:vAlign w:val="center"/>
          </w:tcPr>
          <w:p w14:paraId="6E0FCE5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不符合不得分</w:t>
            </w:r>
          </w:p>
        </w:tc>
        <w:tc>
          <w:tcPr>
            <w:tcW w:w="501" w:type="dxa"/>
            <w:vAlign w:val="center"/>
          </w:tcPr>
          <w:p w14:paraId="4CFECA6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5</w:t>
            </w:r>
          </w:p>
        </w:tc>
      </w:tr>
      <w:tr w14:paraId="0D47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958" w:type="dxa"/>
            <w:vAlign w:val="center"/>
          </w:tcPr>
          <w:p w14:paraId="31B66A2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w:t>
            </w:r>
          </w:p>
        </w:tc>
        <w:tc>
          <w:tcPr>
            <w:tcW w:w="2498" w:type="dxa"/>
            <w:vAlign w:val="center"/>
          </w:tcPr>
          <w:p w14:paraId="797DBF7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露天采场工作边坡应每季度检查1次，运输或行人的非工作边坡每半年检查1次。</w:t>
            </w:r>
          </w:p>
        </w:tc>
        <w:tc>
          <w:tcPr>
            <w:tcW w:w="1537" w:type="dxa"/>
            <w:vAlign w:val="center"/>
          </w:tcPr>
          <w:p w14:paraId="1D8F552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5FA4FA4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5.2.4.6</w:t>
            </w:r>
          </w:p>
        </w:tc>
        <w:tc>
          <w:tcPr>
            <w:tcW w:w="1267" w:type="dxa"/>
            <w:vAlign w:val="center"/>
          </w:tcPr>
          <w:p w14:paraId="5C81B8B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查看有关</w:t>
            </w:r>
          </w:p>
          <w:p w14:paraId="66302B0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记录</w:t>
            </w:r>
          </w:p>
        </w:tc>
        <w:tc>
          <w:tcPr>
            <w:tcW w:w="924" w:type="dxa"/>
            <w:vAlign w:val="center"/>
          </w:tcPr>
          <w:p w14:paraId="64753D7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未见检查记录</w:t>
            </w:r>
          </w:p>
        </w:tc>
        <w:tc>
          <w:tcPr>
            <w:tcW w:w="750" w:type="dxa"/>
            <w:vAlign w:val="center"/>
          </w:tcPr>
          <w:p w14:paraId="6C51CB2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w:t>
            </w:r>
          </w:p>
        </w:tc>
        <w:tc>
          <w:tcPr>
            <w:tcW w:w="853" w:type="dxa"/>
            <w:vAlign w:val="center"/>
          </w:tcPr>
          <w:p w14:paraId="7AF7215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不符合不得分</w:t>
            </w:r>
          </w:p>
        </w:tc>
        <w:tc>
          <w:tcPr>
            <w:tcW w:w="501" w:type="dxa"/>
            <w:vAlign w:val="center"/>
          </w:tcPr>
          <w:p w14:paraId="6B0E920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0</w:t>
            </w:r>
          </w:p>
        </w:tc>
      </w:tr>
      <w:tr w14:paraId="5D8F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958" w:type="dxa"/>
            <w:vAlign w:val="center"/>
          </w:tcPr>
          <w:p w14:paraId="5A7AB5A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6</w:t>
            </w:r>
          </w:p>
        </w:tc>
        <w:tc>
          <w:tcPr>
            <w:tcW w:w="2498" w:type="dxa"/>
            <w:vAlign w:val="center"/>
          </w:tcPr>
          <w:p w14:paraId="3E820B5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所有正常生产建设的现状高度150米及以上的金属非金属露天矿山采场边坡应进行边坡监测系统</w:t>
            </w:r>
            <w:r>
              <w:rPr>
                <w:rFonts w:hint="eastAsia"/>
                <w:color w:val="auto"/>
                <w:sz w:val="21"/>
                <w:szCs w:val="21"/>
                <w:vertAlign w:val="baseline"/>
                <w:lang w:val="en-US" w:eastAsia="zh-CN"/>
              </w:rPr>
              <w:t>建设</w:t>
            </w:r>
            <w:r>
              <w:rPr>
                <w:rFonts w:hint="default"/>
                <w:color w:val="auto"/>
                <w:sz w:val="21"/>
                <w:szCs w:val="21"/>
                <w:vertAlign w:val="baseline"/>
                <w:lang w:val="en-US" w:eastAsia="zh-CN"/>
              </w:rPr>
              <w:t>。</w:t>
            </w:r>
          </w:p>
        </w:tc>
        <w:tc>
          <w:tcPr>
            <w:tcW w:w="1537" w:type="dxa"/>
            <w:vAlign w:val="center"/>
          </w:tcPr>
          <w:p w14:paraId="40FF174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矿安〔2023〕119号</w:t>
            </w:r>
          </w:p>
        </w:tc>
        <w:tc>
          <w:tcPr>
            <w:tcW w:w="1267" w:type="dxa"/>
            <w:vAlign w:val="center"/>
          </w:tcPr>
          <w:p w14:paraId="7CB3B08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现场检查</w:t>
            </w:r>
          </w:p>
        </w:tc>
        <w:tc>
          <w:tcPr>
            <w:tcW w:w="924" w:type="dxa"/>
            <w:vAlign w:val="center"/>
          </w:tcPr>
          <w:p w14:paraId="636DEA8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暂不涉及</w:t>
            </w:r>
          </w:p>
        </w:tc>
        <w:tc>
          <w:tcPr>
            <w:tcW w:w="750" w:type="dxa"/>
            <w:vAlign w:val="center"/>
          </w:tcPr>
          <w:p w14:paraId="54B8935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5</w:t>
            </w:r>
          </w:p>
        </w:tc>
        <w:tc>
          <w:tcPr>
            <w:tcW w:w="853" w:type="dxa"/>
            <w:vAlign w:val="center"/>
          </w:tcPr>
          <w:p w14:paraId="56790B8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不符合不得分</w:t>
            </w:r>
          </w:p>
        </w:tc>
        <w:tc>
          <w:tcPr>
            <w:tcW w:w="501" w:type="dxa"/>
            <w:vAlign w:val="center"/>
          </w:tcPr>
          <w:p w14:paraId="64E53A9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w:t>
            </w:r>
          </w:p>
        </w:tc>
      </w:tr>
      <w:tr w14:paraId="37D27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958" w:type="dxa"/>
            <w:vAlign w:val="center"/>
          </w:tcPr>
          <w:p w14:paraId="3D7BDDF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7</w:t>
            </w:r>
          </w:p>
        </w:tc>
        <w:tc>
          <w:tcPr>
            <w:tcW w:w="2498" w:type="dxa"/>
            <w:vAlign w:val="center"/>
          </w:tcPr>
          <w:p w14:paraId="75BF7B6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现状高度100m及以上的边坡，应当每年进行一次边坡稳定性分析。</w:t>
            </w:r>
          </w:p>
        </w:tc>
        <w:tc>
          <w:tcPr>
            <w:tcW w:w="1537" w:type="dxa"/>
            <w:vAlign w:val="center"/>
          </w:tcPr>
          <w:p w14:paraId="308F609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矿安</w:t>
            </w:r>
            <w:r>
              <w:rPr>
                <w:rFonts w:hint="eastAsia" w:asciiTheme="minorEastAsia" w:hAnsiTheme="minorEastAsia" w:eastAsiaTheme="minorEastAsia" w:cstheme="minorEastAsia"/>
                <w:color w:val="auto"/>
                <w:sz w:val="21"/>
                <w:szCs w:val="21"/>
                <w:vertAlign w:val="baseline"/>
                <w:lang w:val="en-US" w:eastAsia="zh-CN"/>
              </w:rPr>
              <w:t>[</w:t>
            </w:r>
            <w:r>
              <w:rPr>
                <w:rFonts w:hint="eastAsia"/>
                <w:color w:val="auto"/>
                <w:sz w:val="21"/>
                <w:szCs w:val="21"/>
                <w:vertAlign w:val="baseline"/>
                <w:lang w:val="en-US" w:eastAsia="zh-CN"/>
              </w:rPr>
              <w:t>2022</w:t>
            </w:r>
            <w:r>
              <w:rPr>
                <w:rFonts w:hint="eastAsia" w:asciiTheme="minorEastAsia" w:hAnsiTheme="minorEastAsia" w:eastAsiaTheme="minorEastAsia" w:cstheme="minorEastAsia"/>
                <w:color w:val="auto"/>
                <w:sz w:val="21"/>
                <w:szCs w:val="21"/>
                <w:vertAlign w:val="baseline"/>
                <w:lang w:val="en-US" w:eastAsia="zh-CN"/>
              </w:rPr>
              <w:t>]</w:t>
            </w:r>
          </w:p>
          <w:p w14:paraId="2233143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4号</w:t>
            </w:r>
          </w:p>
        </w:tc>
        <w:tc>
          <w:tcPr>
            <w:tcW w:w="1267" w:type="dxa"/>
            <w:vAlign w:val="center"/>
          </w:tcPr>
          <w:p w14:paraId="1C8AF8C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查看稳</w:t>
            </w:r>
          </w:p>
          <w:p w14:paraId="36B6F7C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定性报告</w:t>
            </w:r>
          </w:p>
        </w:tc>
        <w:tc>
          <w:tcPr>
            <w:tcW w:w="924" w:type="dxa"/>
            <w:vAlign w:val="center"/>
          </w:tcPr>
          <w:p w14:paraId="2C69542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暂不涉及</w:t>
            </w:r>
          </w:p>
        </w:tc>
        <w:tc>
          <w:tcPr>
            <w:tcW w:w="750" w:type="dxa"/>
            <w:vAlign w:val="center"/>
          </w:tcPr>
          <w:p w14:paraId="3F9DAC1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5</w:t>
            </w:r>
          </w:p>
        </w:tc>
        <w:tc>
          <w:tcPr>
            <w:tcW w:w="853" w:type="dxa"/>
            <w:vAlign w:val="center"/>
          </w:tcPr>
          <w:p w14:paraId="1978148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不符合不得分</w:t>
            </w:r>
          </w:p>
        </w:tc>
        <w:tc>
          <w:tcPr>
            <w:tcW w:w="501" w:type="dxa"/>
            <w:vAlign w:val="center"/>
          </w:tcPr>
          <w:p w14:paraId="6756FE0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w:t>
            </w:r>
          </w:p>
        </w:tc>
      </w:tr>
      <w:tr w14:paraId="5F42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958" w:type="dxa"/>
            <w:vAlign w:val="center"/>
          </w:tcPr>
          <w:p w14:paraId="1D0F44D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cs="Times New Roman"/>
                <w:color w:val="auto"/>
                <w:sz w:val="21"/>
                <w:szCs w:val="21"/>
                <w:vertAlign w:val="baseline"/>
                <w:lang w:val="en-US" w:eastAsia="zh-CN"/>
              </w:rPr>
            </w:pPr>
            <w:r>
              <w:rPr>
                <w:rFonts w:hint="eastAsia" w:cs="Times New Roman"/>
                <w:color w:val="auto"/>
                <w:sz w:val="21"/>
                <w:szCs w:val="21"/>
                <w:vertAlign w:val="baseline"/>
                <w:lang w:val="en-US" w:eastAsia="zh-CN"/>
              </w:rPr>
              <w:t>8</w:t>
            </w:r>
          </w:p>
        </w:tc>
        <w:tc>
          <w:tcPr>
            <w:tcW w:w="2498" w:type="dxa"/>
            <w:vAlign w:val="center"/>
          </w:tcPr>
          <w:p w14:paraId="0F01D51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矿山应制定针对边坡滑塌事故的应急预案。</w:t>
            </w:r>
          </w:p>
        </w:tc>
        <w:tc>
          <w:tcPr>
            <w:tcW w:w="1537" w:type="dxa"/>
            <w:vAlign w:val="center"/>
          </w:tcPr>
          <w:p w14:paraId="60C0717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GB16423-2020</w:t>
            </w:r>
          </w:p>
          <w:p w14:paraId="47A5718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5.2.4.7</w:t>
            </w:r>
          </w:p>
        </w:tc>
        <w:tc>
          <w:tcPr>
            <w:tcW w:w="1267" w:type="dxa"/>
            <w:vAlign w:val="center"/>
          </w:tcPr>
          <w:p w14:paraId="3404CEE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查看有关应急预案</w:t>
            </w:r>
          </w:p>
        </w:tc>
        <w:tc>
          <w:tcPr>
            <w:tcW w:w="924" w:type="dxa"/>
            <w:vAlign w:val="center"/>
          </w:tcPr>
          <w:p w14:paraId="06C13F8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符合规</w:t>
            </w:r>
          </w:p>
          <w:p w14:paraId="17FE0D7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程要求</w:t>
            </w:r>
          </w:p>
        </w:tc>
        <w:tc>
          <w:tcPr>
            <w:tcW w:w="750" w:type="dxa"/>
            <w:vAlign w:val="center"/>
          </w:tcPr>
          <w:p w14:paraId="48A490C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5</w:t>
            </w:r>
          </w:p>
        </w:tc>
        <w:tc>
          <w:tcPr>
            <w:tcW w:w="853" w:type="dxa"/>
            <w:vAlign w:val="center"/>
          </w:tcPr>
          <w:p w14:paraId="3AA7C4B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不符合不得分</w:t>
            </w:r>
          </w:p>
        </w:tc>
        <w:tc>
          <w:tcPr>
            <w:tcW w:w="501" w:type="dxa"/>
            <w:vAlign w:val="center"/>
          </w:tcPr>
          <w:p w14:paraId="16FBECE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5</w:t>
            </w:r>
          </w:p>
        </w:tc>
      </w:tr>
      <w:tr w14:paraId="3E2D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58" w:type="dxa"/>
            <w:shd w:val="clear" w:color="auto" w:fill="auto"/>
            <w:vAlign w:val="center"/>
          </w:tcPr>
          <w:p w14:paraId="08F4AEF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小计</w:t>
            </w:r>
          </w:p>
        </w:tc>
        <w:tc>
          <w:tcPr>
            <w:tcW w:w="2498" w:type="dxa"/>
            <w:shd w:val="clear" w:color="auto" w:fill="auto"/>
            <w:vAlign w:val="center"/>
          </w:tcPr>
          <w:p w14:paraId="3E42961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p>
        </w:tc>
        <w:tc>
          <w:tcPr>
            <w:tcW w:w="1537" w:type="dxa"/>
            <w:shd w:val="clear" w:color="auto" w:fill="auto"/>
            <w:vAlign w:val="center"/>
          </w:tcPr>
          <w:p w14:paraId="348946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1267" w:type="dxa"/>
            <w:shd w:val="clear" w:color="auto" w:fill="auto"/>
            <w:vAlign w:val="center"/>
          </w:tcPr>
          <w:p w14:paraId="51B5A9B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924" w:type="dxa"/>
            <w:shd w:val="clear" w:color="auto" w:fill="auto"/>
            <w:vAlign w:val="center"/>
          </w:tcPr>
          <w:p w14:paraId="4484A2D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750" w:type="dxa"/>
            <w:shd w:val="clear" w:color="auto" w:fill="auto"/>
            <w:vAlign w:val="center"/>
          </w:tcPr>
          <w:p w14:paraId="400C1A1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25</w:t>
            </w:r>
          </w:p>
        </w:tc>
        <w:tc>
          <w:tcPr>
            <w:tcW w:w="853" w:type="dxa"/>
            <w:shd w:val="clear" w:color="auto" w:fill="auto"/>
            <w:vAlign w:val="center"/>
          </w:tcPr>
          <w:p w14:paraId="05B633D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501" w:type="dxa"/>
            <w:shd w:val="clear" w:color="auto" w:fill="auto"/>
            <w:vAlign w:val="center"/>
          </w:tcPr>
          <w:p w14:paraId="266C350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20</w:t>
            </w:r>
          </w:p>
        </w:tc>
      </w:tr>
    </w:tbl>
    <w:p w14:paraId="27F43392">
      <w:pPr>
        <w:pStyle w:val="4"/>
        <w:bidi w:val="0"/>
        <w:rPr>
          <w:rFonts w:hint="default"/>
          <w:color w:val="auto"/>
          <w:lang w:val="en-US" w:eastAsia="zh-CN"/>
        </w:rPr>
      </w:pPr>
      <w:bookmarkStart w:id="492" w:name="_Toc17372"/>
      <w:bookmarkStart w:id="493" w:name="_Toc28548"/>
      <w:bookmarkStart w:id="494" w:name="_Toc12640"/>
      <w:bookmarkStart w:id="495" w:name="_Toc29026"/>
      <w:bookmarkStart w:id="496" w:name="_Toc24893"/>
      <w:bookmarkStart w:id="497" w:name="_Toc29655"/>
      <w:r>
        <w:rPr>
          <w:rFonts w:hint="default"/>
          <w:color w:val="auto"/>
          <w:lang w:val="en-US" w:eastAsia="zh-CN"/>
        </w:rPr>
        <w:t>5.</w:t>
      </w:r>
      <w:r>
        <w:rPr>
          <w:rFonts w:hint="eastAsia"/>
          <w:color w:val="auto"/>
          <w:lang w:val="en-US" w:eastAsia="zh-CN"/>
        </w:rPr>
        <w:t>3</w:t>
      </w:r>
      <w:r>
        <w:rPr>
          <w:rFonts w:hint="default"/>
          <w:color w:val="auto"/>
          <w:lang w:val="en-US" w:eastAsia="zh-CN"/>
        </w:rPr>
        <w:t>.2 评价小结</w:t>
      </w:r>
      <w:bookmarkEnd w:id="492"/>
      <w:bookmarkEnd w:id="493"/>
      <w:bookmarkEnd w:id="494"/>
      <w:bookmarkEnd w:id="495"/>
      <w:bookmarkEnd w:id="496"/>
      <w:bookmarkEnd w:id="497"/>
    </w:p>
    <w:p w14:paraId="135BFDE4">
      <w:pPr>
        <w:rPr>
          <w:rFonts w:hint="default"/>
          <w:color w:val="auto"/>
          <w:lang w:val="en-US" w:eastAsia="zh-CN"/>
        </w:rPr>
      </w:pPr>
      <w:r>
        <w:rPr>
          <w:rFonts w:hint="eastAsia"/>
          <w:color w:val="auto"/>
          <w:lang w:val="en-US" w:eastAsia="zh-CN"/>
        </w:rPr>
        <w:t>鄱阳县响水滩乡禾互山建筑用石料矿</w:t>
      </w:r>
      <w:r>
        <w:rPr>
          <w:rFonts w:hint="default"/>
          <w:color w:val="auto"/>
          <w:lang w:val="en-US" w:eastAsia="zh-CN"/>
        </w:rPr>
        <w:t>边坡管理单元</w:t>
      </w:r>
      <w:r>
        <w:rPr>
          <w:rFonts w:hint="eastAsia"/>
          <w:color w:val="auto"/>
          <w:lang w:val="en-US" w:eastAsia="zh-CN"/>
        </w:rPr>
        <w:t>安全</w:t>
      </w:r>
      <w:r>
        <w:rPr>
          <w:rFonts w:hint="default"/>
          <w:color w:val="auto"/>
          <w:lang w:val="en-US" w:eastAsia="zh-CN"/>
        </w:rPr>
        <w:t>检查表中无否决项，一般项总分</w:t>
      </w:r>
      <w:r>
        <w:rPr>
          <w:rFonts w:hint="eastAsia"/>
          <w:color w:val="auto"/>
          <w:lang w:val="en-US" w:eastAsia="zh-CN"/>
        </w:rPr>
        <w:t>25</w:t>
      </w:r>
      <w:r>
        <w:rPr>
          <w:rFonts w:hint="default"/>
          <w:color w:val="auto"/>
          <w:lang w:val="en-US" w:eastAsia="zh-CN"/>
        </w:rPr>
        <w:t>分，</w:t>
      </w:r>
      <w:r>
        <w:rPr>
          <w:rFonts w:hint="eastAsia"/>
          <w:color w:val="auto"/>
          <w:lang w:val="en-US" w:eastAsia="zh-CN"/>
        </w:rPr>
        <w:t>得分20</w:t>
      </w:r>
      <w:r>
        <w:rPr>
          <w:rFonts w:hint="default"/>
          <w:color w:val="auto"/>
          <w:lang w:val="en-US" w:eastAsia="zh-CN"/>
        </w:rPr>
        <w:t>分，得分率为</w:t>
      </w:r>
      <w:r>
        <w:rPr>
          <w:rFonts w:hint="eastAsia"/>
          <w:color w:val="auto"/>
          <w:lang w:val="en-US" w:eastAsia="zh-CN"/>
        </w:rPr>
        <w:t>80</w:t>
      </w:r>
      <w:r>
        <w:rPr>
          <w:rFonts w:hint="default"/>
          <w:color w:val="auto"/>
          <w:lang w:val="en-US" w:eastAsia="zh-CN"/>
        </w:rPr>
        <w:t>%，说明</w:t>
      </w:r>
      <w:r>
        <w:rPr>
          <w:rFonts w:hint="eastAsia"/>
          <w:color w:val="auto"/>
          <w:lang w:val="en-US" w:eastAsia="zh-CN"/>
        </w:rPr>
        <w:t>鄱阳县响水滩乡禾互山建筑用石料矿</w:t>
      </w:r>
      <w:r>
        <w:rPr>
          <w:rFonts w:hint="default"/>
          <w:color w:val="auto"/>
          <w:lang w:val="en-US" w:eastAsia="zh-CN"/>
        </w:rPr>
        <w:t>采场单元具备安全生产条件。</w:t>
      </w:r>
    </w:p>
    <w:p w14:paraId="467111DF">
      <w:pPr>
        <w:rPr>
          <w:rFonts w:hint="default"/>
          <w:color w:val="auto"/>
          <w:lang w:val="en-US" w:eastAsia="zh-CN"/>
        </w:rPr>
      </w:pPr>
      <w:r>
        <w:rPr>
          <w:rFonts w:hint="eastAsia"/>
          <w:color w:val="auto"/>
          <w:lang w:val="en-US" w:eastAsia="zh-CN"/>
        </w:rPr>
        <w:t>存在的主要问题：1）未见边坡检查记录。</w:t>
      </w:r>
    </w:p>
    <w:p w14:paraId="5A4EC953">
      <w:pPr>
        <w:pStyle w:val="3"/>
        <w:bidi w:val="0"/>
        <w:rPr>
          <w:rFonts w:hint="eastAsia"/>
          <w:color w:val="auto"/>
          <w:lang w:val="en-US" w:eastAsia="zh-CN"/>
        </w:rPr>
      </w:pPr>
      <w:bookmarkStart w:id="498" w:name="_Toc31266"/>
      <w:bookmarkStart w:id="499" w:name="_Toc18728"/>
      <w:bookmarkStart w:id="500" w:name="_Toc23527"/>
      <w:bookmarkStart w:id="501" w:name="_Toc31829"/>
      <w:bookmarkStart w:id="502" w:name="_Toc23888"/>
      <w:bookmarkStart w:id="503" w:name="_Toc2849"/>
      <w:r>
        <w:rPr>
          <w:rFonts w:hint="eastAsia"/>
          <w:color w:val="auto"/>
          <w:lang w:val="en-US" w:eastAsia="zh-CN"/>
        </w:rPr>
        <w:t>5.4 供配电设施单元</w:t>
      </w:r>
      <w:bookmarkEnd w:id="498"/>
      <w:bookmarkEnd w:id="499"/>
      <w:bookmarkEnd w:id="500"/>
      <w:bookmarkEnd w:id="501"/>
      <w:bookmarkEnd w:id="502"/>
      <w:bookmarkEnd w:id="503"/>
    </w:p>
    <w:p w14:paraId="32FC63CF">
      <w:pPr>
        <w:pStyle w:val="4"/>
        <w:bidi w:val="0"/>
        <w:rPr>
          <w:rFonts w:hint="default"/>
          <w:color w:val="auto"/>
          <w:lang w:val="en-US" w:eastAsia="zh-CN"/>
        </w:rPr>
      </w:pPr>
      <w:bookmarkStart w:id="504" w:name="_Toc28343"/>
      <w:bookmarkStart w:id="505" w:name="_Toc8052"/>
      <w:bookmarkStart w:id="506" w:name="_Toc28530"/>
      <w:bookmarkStart w:id="507" w:name="_Toc24942"/>
      <w:bookmarkStart w:id="508" w:name="_Toc31491"/>
      <w:bookmarkStart w:id="509" w:name="_Toc9211"/>
      <w:r>
        <w:rPr>
          <w:rFonts w:hint="eastAsia"/>
          <w:color w:val="auto"/>
          <w:lang w:val="en-US" w:eastAsia="zh-CN"/>
        </w:rPr>
        <w:t>5.4.1 供配电设施安全检查表</w:t>
      </w:r>
      <w:bookmarkEnd w:id="504"/>
      <w:bookmarkEnd w:id="505"/>
      <w:bookmarkEnd w:id="506"/>
      <w:bookmarkEnd w:id="507"/>
      <w:bookmarkEnd w:id="508"/>
      <w:bookmarkEnd w:id="509"/>
    </w:p>
    <w:p w14:paraId="68E9E8B7">
      <w:pPr>
        <w:rPr>
          <w:rFonts w:hint="eastAsia"/>
          <w:color w:val="auto"/>
          <w:lang w:val="en-US" w:eastAsia="zh-CN"/>
        </w:rPr>
      </w:pPr>
      <w:r>
        <w:rPr>
          <w:rFonts w:hint="default"/>
          <w:color w:val="auto"/>
          <w:lang w:val="en-US" w:eastAsia="zh-CN"/>
        </w:rPr>
        <w:t>供配电设施</w:t>
      </w:r>
      <w:r>
        <w:rPr>
          <w:rFonts w:hint="eastAsia"/>
          <w:color w:val="auto"/>
          <w:lang w:val="en-US" w:eastAsia="zh-CN"/>
        </w:rPr>
        <w:t>安全检查表见表5.4-1。</w:t>
      </w:r>
    </w:p>
    <w:p w14:paraId="613A75A7">
      <w:pPr>
        <w:ind w:left="0" w:leftChars="0" w:firstLine="0" w:firstLineChars="0"/>
        <w:jc w:val="center"/>
        <w:rPr>
          <w:rFonts w:hint="eastAsia"/>
          <w:color w:val="auto"/>
          <w:lang w:val="en-US" w:eastAsia="zh-CN"/>
        </w:rPr>
      </w:pPr>
      <w:r>
        <w:rPr>
          <w:rFonts w:hint="eastAsia"/>
          <w:color w:val="auto"/>
          <w:lang w:val="en-US" w:eastAsia="zh-CN"/>
        </w:rPr>
        <w:t>表5.4-1 供配电设施安全检查表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3635"/>
        <w:gridCol w:w="1080"/>
        <w:gridCol w:w="840"/>
        <w:gridCol w:w="734"/>
        <w:gridCol w:w="727"/>
        <w:gridCol w:w="809"/>
        <w:gridCol w:w="633"/>
      </w:tblGrid>
      <w:tr w14:paraId="2140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Align w:val="center"/>
          </w:tcPr>
          <w:p w14:paraId="442EE21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序号</w:t>
            </w:r>
          </w:p>
        </w:tc>
        <w:tc>
          <w:tcPr>
            <w:tcW w:w="3635" w:type="dxa"/>
            <w:vAlign w:val="center"/>
          </w:tcPr>
          <w:p w14:paraId="72B2D21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检查内容</w:t>
            </w:r>
          </w:p>
        </w:tc>
        <w:tc>
          <w:tcPr>
            <w:tcW w:w="1080" w:type="dxa"/>
            <w:vAlign w:val="center"/>
          </w:tcPr>
          <w:p w14:paraId="309FD54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检查依据</w:t>
            </w:r>
          </w:p>
        </w:tc>
        <w:tc>
          <w:tcPr>
            <w:tcW w:w="840" w:type="dxa"/>
            <w:vAlign w:val="center"/>
          </w:tcPr>
          <w:p w14:paraId="4D9EE38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检查方法及地点</w:t>
            </w:r>
          </w:p>
        </w:tc>
        <w:tc>
          <w:tcPr>
            <w:tcW w:w="734" w:type="dxa"/>
            <w:vAlign w:val="center"/>
          </w:tcPr>
          <w:p w14:paraId="661E2A1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检查</w:t>
            </w:r>
          </w:p>
          <w:p w14:paraId="5FB1F99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记录</w:t>
            </w:r>
          </w:p>
        </w:tc>
        <w:tc>
          <w:tcPr>
            <w:tcW w:w="727" w:type="dxa"/>
            <w:vAlign w:val="center"/>
          </w:tcPr>
          <w:p w14:paraId="094EFE5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标准</w:t>
            </w:r>
          </w:p>
          <w:p w14:paraId="4771647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分值</w:t>
            </w:r>
          </w:p>
        </w:tc>
        <w:tc>
          <w:tcPr>
            <w:tcW w:w="809" w:type="dxa"/>
            <w:vAlign w:val="center"/>
          </w:tcPr>
          <w:p w14:paraId="43E4D73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评分</w:t>
            </w:r>
          </w:p>
          <w:p w14:paraId="7CBC08B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标准</w:t>
            </w:r>
          </w:p>
        </w:tc>
        <w:tc>
          <w:tcPr>
            <w:tcW w:w="633" w:type="dxa"/>
            <w:vAlign w:val="center"/>
          </w:tcPr>
          <w:p w14:paraId="2175DA2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得分</w:t>
            </w:r>
          </w:p>
        </w:tc>
      </w:tr>
      <w:tr w14:paraId="309E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restart"/>
            <w:vAlign w:val="center"/>
          </w:tcPr>
          <w:p w14:paraId="3045053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 电源电压及供电系统</w:t>
            </w:r>
          </w:p>
        </w:tc>
        <w:tc>
          <w:tcPr>
            <w:tcW w:w="3635" w:type="dxa"/>
            <w:vAlign w:val="center"/>
          </w:tcPr>
          <w:p w14:paraId="2C8F677A">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1.1 矿山企业电源的供电电压宜采用10kV~110kV。</w:t>
            </w:r>
          </w:p>
        </w:tc>
        <w:tc>
          <w:tcPr>
            <w:tcW w:w="1080" w:type="dxa"/>
            <w:vAlign w:val="center"/>
          </w:tcPr>
          <w:p w14:paraId="304E9C6B">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GB50070-2020</w:t>
            </w:r>
          </w:p>
          <w:p w14:paraId="3C2E3070">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3.0.5</w:t>
            </w:r>
          </w:p>
        </w:tc>
        <w:tc>
          <w:tcPr>
            <w:tcW w:w="840" w:type="dxa"/>
            <w:vAlign w:val="center"/>
          </w:tcPr>
          <w:p w14:paraId="1A3DABC4">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对照设计</w:t>
            </w:r>
          </w:p>
          <w:p w14:paraId="474F74D3">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检查现场</w:t>
            </w:r>
          </w:p>
        </w:tc>
        <w:tc>
          <w:tcPr>
            <w:tcW w:w="734" w:type="dxa"/>
            <w:vAlign w:val="center"/>
          </w:tcPr>
          <w:p w14:paraId="597F5BA9">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符合</w:t>
            </w:r>
          </w:p>
        </w:tc>
        <w:tc>
          <w:tcPr>
            <w:tcW w:w="727" w:type="dxa"/>
            <w:vAlign w:val="center"/>
          </w:tcPr>
          <w:p w14:paraId="16957EA4">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809" w:type="dxa"/>
            <w:vAlign w:val="center"/>
          </w:tcPr>
          <w:p w14:paraId="79F8194E">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不符合不得分</w:t>
            </w:r>
          </w:p>
        </w:tc>
        <w:tc>
          <w:tcPr>
            <w:tcW w:w="633" w:type="dxa"/>
            <w:vAlign w:val="center"/>
          </w:tcPr>
          <w:p w14:paraId="04BB841C">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r>
      <w:tr w14:paraId="164D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continue"/>
            <w:vAlign w:val="center"/>
          </w:tcPr>
          <w:p w14:paraId="2D1076D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p>
        </w:tc>
        <w:tc>
          <w:tcPr>
            <w:tcW w:w="3635" w:type="dxa"/>
            <w:vAlign w:val="center"/>
          </w:tcPr>
          <w:p w14:paraId="49332E88">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1.2 采矿场和排废场低压电力网的配电电压可采用380/660V或220/380V，手持式电气设备的电压不得大于220V，照明电压宜采用220V或220/380V，行灯电压不应大于36V。</w:t>
            </w:r>
          </w:p>
        </w:tc>
        <w:tc>
          <w:tcPr>
            <w:tcW w:w="1080" w:type="dxa"/>
            <w:vAlign w:val="center"/>
          </w:tcPr>
          <w:p w14:paraId="280B6C7B">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GB50070-2020</w:t>
            </w:r>
          </w:p>
          <w:p w14:paraId="64ECEA7B">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5.0.13</w:t>
            </w:r>
          </w:p>
        </w:tc>
        <w:tc>
          <w:tcPr>
            <w:tcW w:w="840" w:type="dxa"/>
            <w:vAlign w:val="center"/>
          </w:tcPr>
          <w:p w14:paraId="23C665C7">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对照设计</w:t>
            </w:r>
          </w:p>
          <w:p w14:paraId="71DADA88">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检查现场</w:t>
            </w:r>
          </w:p>
        </w:tc>
        <w:tc>
          <w:tcPr>
            <w:tcW w:w="734" w:type="dxa"/>
            <w:vAlign w:val="center"/>
          </w:tcPr>
          <w:p w14:paraId="6E57E24A">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采矿场无需供电，不涉及</w:t>
            </w:r>
          </w:p>
        </w:tc>
        <w:tc>
          <w:tcPr>
            <w:tcW w:w="727" w:type="dxa"/>
            <w:vAlign w:val="center"/>
          </w:tcPr>
          <w:p w14:paraId="37C784D8">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4</w:t>
            </w:r>
          </w:p>
        </w:tc>
        <w:tc>
          <w:tcPr>
            <w:tcW w:w="809" w:type="dxa"/>
            <w:vAlign w:val="center"/>
          </w:tcPr>
          <w:p w14:paraId="22D5477E">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1项不符合扣1分</w:t>
            </w:r>
          </w:p>
        </w:tc>
        <w:tc>
          <w:tcPr>
            <w:tcW w:w="633" w:type="dxa"/>
            <w:vAlign w:val="center"/>
          </w:tcPr>
          <w:p w14:paraId="76713434">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r>
      <w:tr w14:paraId="68CC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7" w:hRule="atLeast"/>
          <w:jc w:val="center"/>
        </w:trPr>
        <w:tc>
          <w:tcPr>
            <w:tcW w:w="830" w:type="dxa"/>
            <w:vMerge w:val="continue"/>
            <w:vAlign w:val="center"/>
          </w:tcPr>
          <w:p w14:paraId="7BD17F5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p>
        </w:tc>
        <w:tc>
          <w:tcPr>
            <w:tcW w:w="3635" w:type="dxa"/>
            <w:vAlign w:val="center"/>
          </w:tcPr>
          <w:p w14:paraId="70B7FFDE">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1.3 矿山地面主变电所的主变压器台数，应符合下规定：</w:t>
            </w:r>
          </w:p>
          <w:p w14:paraId="44FD5A4D">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w:t>
            </w:r>
            <w:r>
              <w:rPr>
                <w:rFonts w:hint="eastAsia"/>
                <w:color w:val="auto"/>
                <w:sz w:val="21"/>
                <w:szCs w:val="21"/>
                <w:vertAlign w:val="baseline"/>
                <w:lang w:val="en-US" w:eastAsia="zh-CN"/>
              </w:rPr>
              <w:t>.</w:t>
            </w:r>
            <w:r>
              <w:rPr>
                <w:rFonts w:hint="default"/>
                <w:color w:val="auto"/>
                <w:sz w:val="21"/>
                <w:szCs w:val="21"/>
                <w:vertAlign w:val="baseline"/>
                <w:lang w:val="en-US" w:eastAsia="zh-CN"/>
              </w:rPr>
              <w:t>大、中型矿山宜采用2台以上；</w:t>
            </w:r>
          </w:p>
          <w:p w14:paraId="7F3A0A0B">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2</w:t>
            </w:r>
            <w:r>
              <w:rPr>
                <w:rFonts w:hint="eastAsia"/>
                <w:color w:val="auto"/>
                <w:sz w:val="21"/>
                <w:szCs w:val="21"/>
                <w:vertAlign w:val="baseline"/>
                <w:lang w:val="en-US" w:eastAsia="zh-CN"/>
              </w:rPr>
              <w:t>.</w:t>
            </w:r>
            <w:r>
              <w:rPr>
                <w:rFonts w:hint="default"/>
                <w:color w:val="auto"/>
                <w:sz w:val="21"/>
                <w:szCs w:val="21"/>
                <w:vertAlign w:val="baseline"/>
                <w:lang w:val="en-US" w:eastAsia="zh-CN"/>
              </w:rPr>
              <w:t>矿山一级负荷的两个电源均需经主变压器时，应采用2台变压器；</w:t>
            </w:r>
          </w:p>
          <w:p w14:paraId="581CFBC0">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3</w:t>
            </w:r>
            <w:r>
              <w:rPr>
                <w:rFonts w:hint="eastAsia"/>
                <w:color w:val="auto"/>
                <w:sz w:val="21"/>
                <w:szCs w:val="21"/>
                <w:vertAlign w:val="baseline"/>
                <w:lang w:val="en-US" w:eastAsia="zh-CN"/>
              </w:rPr>
              <w:t>.</w:t>
            </w:r>
            <w:r>
              <w:rPr>
                <w:rFonts w:hint="default"/>
                <w:color w:val="auto"/>
                <w:sz w:val="21"/>
                <w:szCs w:val="21"/>
                <w:vertAlign w:val="baseline"/>
                <w:lang w:val="en-US" w:eastAsia="zh-CN"/>
              </w:rPr>
              <w:t>主变压器为2台及以上时，若其中1台停止运行，其余变压器应至少保证一级负荷的供电；</w:t>
            </w:r>
          </w:p>
          <w:p w14:paraId="0C8DAD7C">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4</w:t>
            </w:r>
            <w:r>
              <w:rPr>
                <w:rFonts w:hint="eastAsia"/>
                <w:color w:val="auto"/>
                <w:sz w:val="21"/>
                <w:szCs w:val="21"/>
                <w:vertAlign w:val="baseline"/>
                <w:lang w:val="en-US" w:eastAsia="zh-CN"/>
              </w:rPr>
              <w:t>.</w:t>
            </w:r>
            <w:r>
              <w:rPr>
                <w:rFonts w:hint="default"/>
                <w:color w:val="auto"/>
                <w:sz w:val="21"/>
                <w:szCs w:val="21"/>
                <w:vertAlign w:val="baseline"/>
                <w:lang w:val="en-US" w:eastAsia="zh-CN"/>
              </w:rPr>
              <w:t>无一级负荷的小型矿山工程可采用1台。</w:t>
            </w:r>
          </w:p>
        </w:tc>
        <w:tc>
          <w:tcPr>
            <w:tcW w:w="1080" w:type="dxa"/>
            <w:vAlign w:val="center"/>
          </w:tcPr>
          <w:p w14:paraId="64753D7E">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6B0284AB">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5.6.1.2</w:t>
            </w:r>
          </w:p>
          <w:p w14:paraId="2BF810AA">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GB50070-2020</w:t>
            </w:r>
          </w:p>
          <w:p w14:paraId="3CC4394B">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3.0.7</w:t>
            </w:r>
          </w:p>
        </w:tc>
        <w:tc>
          <w:tcPr>
            <w:tcW w:w="840" w:type="dxa"/>
            <w:vAlign w:val="center"/>
          </w:tcPr>
          <w:p w14:paraId="5B753CE3">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对照设计</w:t>
            </w:r>
          </w:p>
          <w:p w14:paraId="4AAAE26A">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检查现场</w:t>
            </w:r>
          </w:p>
        </w:tc>
        <w:tc>
          <w:tcPr>
            <w:tcW w:w="734" w:type="dxa"/>
            <w:vAlign w:val="center"/>
          </w:tcPr>
          <w:p w14:paraId="37D4900E">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符合</w:t>
            </w:r>
          </w:p>
        </w:tc>
        <w:tc>
          <w:tcPr>
            <w:tcW w:w="727" w:type="dxa"/>
            <w:vAlign w:val="center"/>
          </w:tcPr>
          <w:p w14:paraId="37DBD891">
            <w:pPr>
              <w:keepNext w:val="0"/>
              <w:keepLines w:val="0"/>
              <w:pageBreakBefore w:val="0"/>
              <w:widowControl w:val="0"/>
              <w:kinsoku/>
              <w:wordWrap/>
              <w:overflowPunct/>
              <w:topLinePunct w:val="0"/>
              <w:autoSpaceDE/>
              <w:autoSpaceDN/>
              <w:bidi w:val="0"/>
              <w:adjustRightInd/>
              <w:snapToGrid/>
              <w:spacing w:line="290" w:lineRule="exact"/>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4</w:t>
            </w:r>
          </w:p>
        </w:tc>
        <w:tc>
          <w:tcPr>
            <w:tcW w:w="809" w:type="dxa"/>
            <w:vAlign w:val="center"/>
          </w:tcPr>
          <w:p w14:paraId="6A89F692">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1项不符合扣1分</w:t>
            </w:r>
          </w:p>
        </w:tc>
        <w:tc>
          <w:tcPr>
            <w:tcW w:w="633" w:type="dxa"/>
            <w:vAlign w:val="center"/>
          </w:tcPr>
          <w:p w14:paraId="4CBF424C">
            <w:pPr>
              <w:keepNext w:val="0"/>
              <w:keepLines w:val="0"/>
              <w:pageBreakBefore w:val="0"/>
              <w:widowControl w:val="0"/>
              <w:kinsoku/>
              <w:wordWrap/>
              <w:overflowPunct/>
              <w:topLinePunct w:val="0"/>
              <w:autoSpaceDE/>
              <w:autoSpaceDN/>
              <w:bidi w:val="0"/>
              <w:adjustRightInd/>
              <w:snapToGrid/>
              <w:spacing w:line="290" w:lineRule="exact"/>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w:t>
            </w:r>
          </w:p>
        </w:tc>
      </w:tr>
      <w:tr w14:paraId="4EEC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continue"/>
            <w:vAlign w:val="center"/>
          </w:tcPr>
          <w:p w14:paraId="23469A1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p>
        </w:tc>
        <w:tc>
          <w:tcPr>
            <w:tcW w:w="3635" w:type="dxa"/>
            <w:vAlign w:val="center"/>
          </w:tcPr>
          <w:p w14:paraId="7911BAF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1.4采矿场采用双回路供电时，每回路供电能力应均能供全负荷；采用三回路供电时，每个回路的供电能力不应小于全部负荷的50%。</w:t>
            </w:r>
          </w:p>
        </w:tc>
        <w:tc>
          <w:tcPr>
            <w:tcW w:w="1080" w:type="dxa"/>
            <w:vAlign w:val="center"/>
          </w:tcPr>
          <w:p w14:paraId="1E3EF8D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3F938FB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5.6.1.4</w:t>
            </w:r>
          </w:p>
          <w:p w14:paraId="7768072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p>
        </w:tc>
        <w:tc>
          <w:tcPr>
            <w:tcW w:w="840" w:type="dxa"/>
            <w:vAlign w:val="center"/>
          </w:tcPr>
          <w:p w14:paraId="2A4C33B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对照设计</w:t>
            </w:r>
          </w:p>
          <w:p w14:paraId="1ECAA9E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检查现场</w:t>
            </w:r>
          </w:p>
        </w:tc>
        <w:tc>
          <w:tcPr>
            <w:tcW w:w="734" w:type="dxa"/>
            <w:vAlign w:val="center"/>
          </w:tcPr>
          <w:p w14:paraId="7030458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不涉及</w:t>
            </w:r>
          </w:p>
        </w:tc>
        <w:tc>
          <w:tcPr>
            <w:tcW w:w="727" w:type="dxa"/>
            <w:vAlign w:val="center"/>
          </w:tcPr>
          <w:p w14:paraId="7D709C6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2</w:t>
            </w:r>
          </w:p>
        </w:tc>
        <w:tc>
          <w:tcPr>
            <w:tcW w:w="809" w:type="dxa"/>
            <w:vAlign w:val="center"/>
          </w:tcPr>
          <w:p w14:paraId="57B0542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不符合不得分</w:t>
            </w:r>
          </w:p>
        </w:tc>
        <w:tc>
          <w:tcPr>
            <w:tcW w:w="633" w:type="dxa"/>
            <w:vAlign w:val="center"/>
          </w:tcPr>
          <w:p w14:paraId="2D07EBF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w:t>
            </w:r>
          </w:p>
        </w:tc>
      </w:tr>
      <w:tr w14:paraId="78BD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continue"/>
            <w:vAlign w:val="center"/>
          </w:tcPr>
          <w:p w14:paraId="45F1413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p>
        </w:tc>
        <w:tc>
          <w:tcPr>
            <w:tcW w:w="3635" w:type="dxa"/>
            <w:vAlign w:val="center"/>
          </w:tcPr>
          <w:p w14:paraId="2F49E97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1.5 露天采矿场的供电线路不宜少于两回路，两班生产的采矿场或小型采矿场可采用一回路；排废场的供电线路可采用一回路。</w:t>
            </w:r>
          </w:p>
        </w:tc>
        <w:tc>
          <w:tcPr>
            <w:tcW w:w="1080" w:type="dxa"/>
            <w:vAlign w:val="center"/>
          </w:tcPr>
          <w:p w14:paraId="2CE8FAB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GB50070-2020</w:t>
            </w:r>
          </w:p>
          <w:p w14:paraId="1401E0E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5.0.1</w:t>
            </w:r>
          </w:p>
        </w:tc>
        <w:tc>
          <w:tcPr>
            <w:tcW w:w="840" w:type="dxa"/>
            <w:vAlign w:val="center"/>
          </w:tcPr>
          <w:p w14:paraId="70160B5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对照设计</w:t>
            </w:r>
          </w:p>
          <w:p w14:paraId="3D8AE98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检查现场</w:t>
            </w:r>
          </w:p>
        </w:tc>
        <w:tc>
          <w:tcPr>
            <w:tcW w:w="734" w:type="dxa"/>
            <w:vAlign w:val="center"/>
          </w:tcPr>
          <w:p w14:paraId="1896933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不涉及</w:t>
            </w:r>
          </w:p>
        </w:tc>
        <w:tc>
          <w:tcPr>
            <w:tcW w:w="727" w:type="dxa"/>
            <w:vAlign w:val="center"/>
          </w:tcPr>
          <w:p w14:paraId="009F5DE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2</w:t>
            </w:r>
          </w:p>
        </w:tc>
        <w:tc>
          <w:tcPr>
            <w:tcW w:w="809" w:type="dxa"/>
            <w:vAlign w:val="center"/>
          </w:tcPr>
          <w:p w14:paraId="7A9096F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不符合不得分</w:t>
            </w:r>
          </w:p>
        </w:tc>
        <w:tc>
          <w:tcPr>
            <w:tcW w:w="633" w:type="dxa"/>
            <w:vAlign w:val="center"/>
          </w:tcPr>
          <w:p w14:paraId="7D9CBA8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w:t>
            </w:r>
          </w:p>
        </w:tc>
      </w:tr>
      <w:tr w14:paraId="48B40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continue"/>
            <w:vAlign w:val="center"/>
          </w:tcPr>
          <w:p w14:paraId="35C219C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p>
        </w:tc>
        <w:tc>
          <w:tcPr>
            <w:tcW w:w="3635" w:type="dxa"/>
            <w:vAlign w:val="center"/>
          </w:tcPr>
          <w:p w14:paraId="03FB15E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1.6 当采用连续开采工艺时，移动式输送机的配电宜采用移动变电站或可移动的户外组合式配电装置。</w:t>
            </w:r>
          </w:p>
        </w:tc>
        <w:tc>
          <w:tcPr>
            <w:tcW w:w="1080" w:type="dxa"/>
            <w:vAlign w:val="center"/>
          </w:tcPr>
          <w:p w14:paraId="0E5CD72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GB50070-2020</w:t>
            </w:r>
          </w:p>
          <w:p w14:paraId="557A479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5.0.3</w:t>
            </w:r>
          </w:p>
        </w:tc>
        <w:tc>
          <w:tcPr>
            <w:tcW w:w="840" w:type="dxa"/>
            <w:vAlign w:val="center"/>
          </w:tcPr>
          <w:p w14:paraId="54478A4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对照设计</w:t>
            </w:r>
          </w:p>
          <w:p w14:paraId="4977A97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检查现场</w:t>
            </w:r>
          </w:p>
        </w:tc>
        <w:tc>
          <w:tcPr>
            <w:tcW w:w="734" w:type="dxa"/>
            <w:vAlign w:val="center"/>
          </w:tcPr>
          <w:p w14:paraId="50FBAE7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不涉及</w:t>
            </w:r>
          </w:p>
        </w:tc>
        <w:tc>
          <w:tcPr>
            <w:tcW w:w="727" w:type="dxa"/>
            <w:vAlign w:val="center"/>
          </w:tcPr>
          <w:p w14:paraId="1F2A473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2</w:t>
            </w:r>
          </w:p>
        </w:tc>
        <w:tc>
          <w:tcPr>
            <w:tcW w:w="809" w:type="dxa"/>
            <w:vAlign w:val="center"/>
          </w:tcPr>
          <w:p w14:paraId="5AB2CDB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不符合不得分</w:t>
            </w:r>
          </w:p>
        </w:tc>
        <w:tc>
          <w:tcPr>
            <w:tcW w:w="633" w:type="dxa"/>
            <w:vAlign w:val="center"/>
          </w:tcPr>
          <w:p w14:paraId="5612D3E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w:t>
            </w:r>
          </w:p>
        </w:tc>
      </w:tr>
      <w:tr w14:paraId="4645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continue"/>
            <w:vAlign w:val="center"/>
          </w:tcPr>
          <w:p w14:paraId="5065226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p>
        </w:tc>
        <w:tc>
          <w:tcPr>
            <w:tcW w:w="3635" w:type="dxa"/>
            <w:vAlign w:val="center"/>
          </w:tcPr>
          <w:p w14:paraId="72A0AA6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1.7 采矿场和排废场供电线路的架设方式宜符合下列规定：</w:t>
            </w:r>
          </w:p>
          <w:p w14:paraId="227A54C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w:t>
            </w:r>
            <w:r>
              <w:rPr>
                <w:rFonts w:hint="eastAsia"/>
                <w:color w:val="auto"/>
                <w:sz w:val="21"/>
                <w:szCs w:val="21"/>
                <w:vertAlign w:val="baseline"/>
                <w:lang w:val="en-US" w:eastAsia="zh-CN"/>
              </w:rPr>
              <w:t>.</w:t>
            </w:r>
            <w:r>
              <w:rPr>
                <w:rFonts w:hint="default"/>
                <w:color w:val="auto"/>
                <w:sz w:val="21"/>
                <w:szCs w:val="21"/>
                <w:vertAlign w:val="baseline"/>
                <w:lang w:val="en-US" w:eastAsia="zh-CN"/>
              </w:rPr>
              <w:t>沿采矿场边缘宜架设环形或半环形的供电线路；</w:t>
            </w:r>
          </w:p>
          <w:p w14:paraId="233FC0B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2</w:t>
            </w:r>
            <w:r>
              <w:rPr>
                <w:rFonts w:hint="eastAsia"/>
                <w:color w:val="auto"/>
                <w:sz w:val="21"/>
                <w:szCs w:val="21"/>
                <w:vertAlign w:val="baseline"/>
                <w:lang w:val="en-US" w:eastAsia="zh-CN"/>
              </w:rPr>
              <w:t>.</w:t>
            </w:r>
            <w:r>
              <w:rPr>
                <w:rFonts w:hint="default"/>
                <w:color w:val="auto"/>
                <w:sz w:val="21"/>
                <w:szCs w:val="21"/>
                <w:vertAlign w:val="baseline"/>
                <w:lang w:val="en-US" w:eastAsia="zh-CN"/>
              </w:rPr>
              <w:t>排废场可采用干线式供电线路；</w:t>
            </w:r>
          </w:p>
          <w:p w14:paraId="3A9AC34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3</w:t>
            </w:r>
            <w:r>
              <w:rPr>
                <w:rFonts w:hint="eastAsia"/>
                <w:color w:val="auto"/>
                <w:sz w:val="21"/>
                <w:szCs w:val="21"/>
                <w:vertAlign w:val="baseline"/>
                <w:lang w:val="en-US" w:eastAsia="zh-CN"/>
              </w:rPr>
              <w:t>.</w:t>
            </w:r>
            <w:r>
              <w:rPr>
                <w:rFonts w:hint="default"/>
                <w:color w:val="auto"/>
                <w:sz w:val="21"/>
                <w:szCs w:val="21"/>
                <w:vertAlign w:val="baseline"/>
                <w:lang w:val="en-US" w:eastAsia="zh-CN"/>
              </w:rPr>
              <w:t>固定式供电线路与采矿场最终边界之间的距离宜大于10m；</w:t>
            </w:r>
          </w:p>
          <w:p w14:paraId="37B45D3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4</w:t>
            </w:r>
            <w:r>
              <w:rPr>
                <w:rFonts w:hint="eastAsia"/>
                <w:color w:val="auto"/>
                <w:sz w:val="21"/>
                <w:szCs w:val="21"/>
                <w:vertAlign w:val="baseline"/>
                <w:lang w:val="en-US" w:eastAsia="zh-CN"/>
              </w:rPr>
              <w:t>.</w:t>
            </w:r>
            <w:r>
              <w:rPr>
                <w:rFonts w:hint="default"/>
                <w:color w:val="auto"/>
                <w:sz w:val="21"/>
                <w:szCs w:val="21"/>
                <w:vertAlign w:val="baseline"/>
                <w:lang w:val="en-US" w:eastAsia="zh-CN"/>
              </w:rPr>
              <w:t>当采矿场宽度较大且开采时间较长，架设在最终边界线以外不合理时，可架设在最终边界线以内。</w:t>
            </w:r>
          </w:p>
        </w:tc>
        <w:tc>
          <w:tcPr>
            <w:tcW w:w="1080" w:type="dxa"/>
            <w:vAlign w:val="center"/>
          </w:tcPr>
          <w:p w14:paraId="03E1D69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GB50070-2020</w:t>
            </w:r>
          </w:p>
          <w:p w14:paraId="68E2B01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5.0.6</w:t>
            </w:r>
          </w:p>
        </w:tc>
        <w:tc>
          <w:tcPr>
            <w:tcW w:w="840" w:type="dxa"/>
            <w:vAlign w:val="center"/>
          </w:tcPr>
          <w:p w14:paraId="74884E9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检查现场</w:t>
            </w:r>
          </w:p>
        </w:tc>
        <w:tc>
          <w:tcPr>
            <w:tcW w:w="734" w:type="dxa"/>
            <w:vAlign w:val="center"/>
          </w:tcPr>
          <w:p w14:paraId="7F2D80D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不涉及</w:t>
            </w:r>
          </w:p>
        </w:tc>
        <w:tc>
          <w:tcPr>
            <w:tcW w:w="727" w:type="dxa"/>
            <w:vAlign w:val="center"/>
          </w:tcPr>
          <w:p w14:paraId="2D7FE4A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w:t>
            </w:r>
          </w:p>
        </w:tc>
        <w:tc>
          <w:tcPr>
            <w:tcW w:w="809" w:type="dxa"/>
            <w:vAlign w:val="center"/>
          </w:tcPr>
          <w:p w14:paraId="5876544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1项不符合扣1分</w:t>
            </w:r>
          </w:p>
        </w:tc>
        <w:tc>
          <w:tcPr>
            <w:tcW w:w="633" w:type="dxa"/>
            <w:vAlign w:val="center"/>
          </w:tcPr>
          <w:p w14:paraId="12ABD8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w:t>
            </w:r>
          </w:p>
        </w:tc>
      </w:tr>
      <w:tr w14:paraId="3192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continue"/>
            <w:vAlign w:val="center"/>
          </w:tcPr>
          <w:p w14:paraId="2208504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p>
        </w:tc>
        <w:tc>
          <w:tcPr>
            <w:tcW w:w="3635" w:type="dxa"/>
            <w:vAlign w:val="center"/>
          </w:tcPr>
          <w:p w14:paraId="2450FB5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1.8 采矿场内的架空线路宜采用钢芯铝绞线，其截面积不应小于35mm</w:t>
            </w:r>
            <w:r>
              <w:rPr>
                <w:rFonts w:hint="default"/>
                <w:color w:val="auto"/>
                <w:sz w:val="21"/>
                <w:szCs w:val="21"/>
                <w:vertAlign w:val="superscript"/>
                <w:lang w:val="en-US" w:eastAsia="zh-CN"/>
              </w:rPr>
              <w:t>2</w:t>
            </w:r>
            <w:r>
              <w:rPr>
                <w:rFonts w:hint="default"/>
                <w:color w:val="auto"/>
                <w:sz w:val="21"/>
                <w:szCs w:val="21"/>
                <w:vertAlign w:val="baseline"/>
                <w:lang w:val="en-US" w:eastAsia="zh-CN"/>
              </w:rPr>
              <w:t>。排废除场的架空线路宜采用铝绞线。</w:t>
            </w:r>
          </w:p>
        </w:tc>
        <w:tc>
          <w:tcPr>
            <w:tcW w:w="1080" w:type="dxa"/>
            <w:vAlign w:val="center"/>
          </w:tcPr>
          <w:p w14:paraId="676D425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GB50070-2020</w:t>
            </w:r>
          </w:p>
          <w:p w14:paraId="4802586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5.0.9</w:t>
            </w:r>
          </w:p>
        </w:tc>
        <w:tc>
          <w:tcPr>
            <w:tcW w:w="840" w:type="dxa"/>
            <w:vAlign w:val="center"/>
          </w:tcPr>
          <w:p w14:paraId="5CB794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检查现场</w:t>
            </w:r>
          </w:p>
        </w:tc>
        <w:tc>
          <w:tcPr>
            <w:tcW w:w="734" w:type="dxa"/>
            <w:vAlign w:val="center"/>
          </w:tcPr>
          <w:p w14:paraId="5C0C551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不涉及</w:t>
            </w:r>
          </w:p>
        </w:tc>
        <w:tc>
          <w:tcPr>
            <w:tcW w:w="727" w:type="dxa"/>
            <w:vAlign w:val="center"/>
          </w:tcPr>
          <w:p w14:paraId="3C79D26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2</w:t>
            </w:r>
          </w:p>
        </w:tc>
        <w:tc>
          <w:tcPr>
            <w:tcW w:w="809" w:type="dxa"/>
            <w:vAlign w:val="center"/>
          </w:tcPr>
          <w:p w14:paraId="03755B2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1项不符合扣1分</w:t>
            </w:r>
          </w:p>
        </w:tc>
        <w:tc>
          <w:tcPr>
            <w:tcW w:w="633" w:type="dxa"/>
            <w:vAlign w:val="center"/>
          </w:tcPr>
          <w:p w14:paraId="74A22D5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w:t>
            </w:r>
          </w:p>
        </w:tc>
      </w:tr>
      <w:tr w14:paraId="2D83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continue"/>
            <w:vAlign w:val="center"/>
          </w:tcPr>
          <w:p w14:paraId="70C4DAC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p>
        </w:tc>
        <w:tc>
          <w:tcPr>
            <w:tcW w:w="3635" w:type="dxa"/>
            <w:vAlign w:val="center"/>
          </w:tcPr>
          <w:p w14:paraId="4266D22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1.9 固定式高压架空电力线路不应架设在爆破作业区和未稳定的排土区内。</w:t>
            </w:r>
          </w:p>
        </w:tc>
        <w:tc>
          <w:tcPr>
            <w:tcW w:w="1080" w:type="dxa"/>
            <w:vAlign w:val="center"/>
          </w:tcPr>
          <w:p w14:paraId="21FDC90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1888967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5.6.1.8</w:t>
            </w:r>
          </w:p>
          <w:p w14:paraId="139AAEA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p>
        </w:tc>
        <w:tc>
          <w:tcPr>
            <w:tcW w:w="840" w:type="dxa"/>
            <w:vAlign w:val="center"/>
          </w:tcPr>
          <w:p w14:paraId="51CE5E4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现场检查</w:t>
            </w:r>
          </w:p>
        </w:tc>
        <w:tc>
          <w:tcPr>
            <w:tcW w:w="734" w:type="dxa"/>
            <w:vAlign w:val="center"/>
          </w:tcPr>
          <w:p w14:paraId="34288B6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不涉及</w:t>
            </w:r>
          </w:p>
        </w:tc>
        <w:tc>
          <w:tcPr>
            <w:tcW w:w="727" w:type="dxa"/>
            <w:vAlign w:val="center"/>
          </w:tcPr>
          <w:p w14:paraId="64FAC2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2</w:t>
            </w:r>
          </w:p>
        </w:tc>
        <w:tc>
          <w:tcPr>
            <w:tcW w:w="809" w:type="dxa"/>
            <w:vAlign w:val="center"/>
          </w:tcPr>
          <w:p w14:paraId="44270C5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不符合不得分</w:t>
            </w:r>
          </w:p>
        </w:tc>
        <w:tc>
          <w:tcPr>
            <w:tcW w:w="633" w:type="dxa"/>
            <w:vAlign w:val="center"/>
          </w:tcPr>
          <w:p w14:paraId="6ED6AE4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w:t>
            </w:r>
          </w:p>
        </w:tc>
      </w:tr>
      <w:tr w14:paraId="2A09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continue"/>
            <w:vAlign w:val="center"/>
          </w:tcPr>
          <w:p w14:paraId="62E3ED3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p>
        </w:tc>
        <w:tc>
          <w:tcPr>
            <w:tcW w:w="3635" w:type="dxa"/>
            <w:vAlign w:val="center"/>
          </w:tcPr>
          <w:p w14:paraId="2F7910C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1.10 移动式电气设备应使用矿用橡套软电缆。</w:t>
            </w:r>
          </w:p>
        </w:tc>
        <w:tc>
          <w:tcPr>
            <w:tcW w:w="1080" w:type="dxa"/>
            <w:vAlign w:val="center"/>
          </w:tcPr>
          <w:p w14:paraId="5A6DCBE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4D1D284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5.6.1.9</w:t>
            </w:r>
          </w:p>
        </w:tc>
        <w:tc>
          <w:tcPr>
            <w:tcW w:w="840" w:type="dxa"/>
            <w:vAlign w:val="center"/>
          </w:tcPr>
          <w:p w14:paraId="51547C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现场检查</w:t>
            </w:r>
          </w:p>
        </w:tc>
        <w:tc>
          <w:tcPr>
            <w:tcW w:w="734" w:type="dxa"/>
            <w:vAlign w:val="center"/>
          </w:tcPr>
          <w:p w14:paraId="575687A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不涉及</w:t>
            </w:r>
          </w:p>
        </w:tc>
        <w:tc>
          <w:tcPr>
            <w:tcW w:w="727" w:type="dxa"/>
            <w:vAlign w:val="center"/>
          </w:tcPr>
          <w:p w14:paraId="7E1B5CC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2</w:t>
            </w:r>
          </w:p>
        </w:tc>
        <w:tc>
          <w:tcPr>
            <w:tcW w:w="809" w:type="dxa"/>
            <w:vAlign w:val="center"/>
          </w:tcPr>
          <w:p w14:paraId="7D45767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不符合不得分</w:t>
            </w:r>
          </w:p>
        </w:tc>
        <w:tc>
          <w:tcPr>
            <w:tcW w:w="633" w:type="dxa"/>
            <w:vAlign w:val="center"/>
          </w:tcPr>
          <w:p w14:paraId="7C25EC0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w:t>
            </w:r>
          </w:p>
        </w:tc>
      </w:tr>
      <w:tr w14:paraId="387D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830" w:type="dxa"/>
            <w:vMerge w:val="restart"/>
            <w:vAlign w:val="center"/>
          </w:tcPr>
          <w:p w14:paraId="649BE20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 变配电室的安全设施</w:t>
            </w:r>
          </w:p>
        </w:tc>
        <w:tc>
          <w:tcPr>
            <w:tcW w:w="3635" w:type="dxa"/>
            <w:vAlign w:val="center"/>
          </w:tcPr>
          <w:p w14:paraId="1DF28F0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r>
              <w:rPr>
                <w:rFonts w:hint="default"/>
                <w:color w:val="auto"/>
                <w:sz w:val="21"/>
                <w:szCs w:val="21"/>
                <w:vertAlign w:val="baseline"/>
                <w:lang w:val="en-US" w:eastAsia="zh-CN"/>
              </w:rPr>
              <w:t>.1 主变电所设置应符合下列规定：</w:t>
            </w:r>
          </w:p>
          <w:p w14:paraId="7C2A388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设置在爆破警戒线以外；距离准轨铁路不小于40m；远离污秽及火灾、爆炸危险环境和噪声、震动环境；避开断层、滑坡、沉陷区等不良地质地带以及受雪崩影响地带；地面标高应高于当地最高洪水位0.5m以上。</w:t>
            </w:r>
          </w:p>
        </w:tc>
        <w:tc>
          <w:tcPr>
            <w:tcW w:w="1080" w:type="dxa"/>
            <w:vAlign w:val="center"/>
          </w:tcPr>
          <w:p w14:paraId="59D6886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5D4F385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5.6.1.1</w:t>
            </w:r>
          </w:p>
        </w:tc>
        <w:tc>
          <w:tcPr>
            <w:tcW w:w="840" w:type="dxa"/>
            <w:vAlign w:val="center"/>
          </w:tcPr>
          <w:p w14:paraId="705B0BF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对照设计</w:t>
            </w:r>
          </w:p>
          <w:p w14:paraId="67DF8F1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检查现场</w:t>
            </w:r>
          </w:p>
        </w:tc>
        <w:tc>
          <w:tcPr>
            <w:tcW w:w="734" w:type="dxa"/>
            <w:vAlign w:val="center"/>
          </w:tcPr>
          <w:p w14:paraId="2E5D27F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w:t>
            </w:r>
          </w:p>
        </w:tc>
        <w:tc>
          <w:tcPr>
            <w:tcW w:w="727" w:type="dxa"/>
            <w:vAlign w:val="center"/>
          </w:tcPr>
          <w:p w14:paraId="6D886BD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2</w:t>
            </w:r>
          </w:p>
        </w:tc>
        <w:tc>
          <w:tcPr>
            <w:tcW w:w="809" w:type="dxa"/>
            <w:vAlign w:val="center"/>
          </w:tcPr>
          <w:p w14:paraId="7954FF9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不符合不得分</w:t>
            </w:r>
          </w:p>
        </w:tc>
        <w:tc>
          <w:tcPr>
            <w:tcW w:w="633" w:type="dxa"/>
            <w:vAlign w:val="center"/>
          </w:tcPr>
          <w:p w14:paraId="5D9EC03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2</w:t>
            </w:r>
          </w:p>
        </w:tc>
      </w:tr>
      <w:tr w14:paraId="64C1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continue"/>
            <w:vAlign w:val="center"/>
          </w:tcPr>
          <w:p w14:paraId="7D2ECBD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p>
        </w:tc>
        <w:tc>
          <w:tcPr>
            <w:tcW w:w="3635" w:type="dxa"/>
            <w:vAlign w:val="center"/>
          </w:tcPr>
          <w:p w14:paraId="1877C47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r>
              <w:rPr>
                <w:rFonts w:hint="default"/>
                <w:color w:val="auto"/>
                <w:sz w:val="21"/>
                <w:szCs w:val="21"/>
                <w:vertAlign w:val="baseline"/>
                <w:lang w:val="en-US" w:eastAsia="zh-CN"/>
              </w:rPr>
              <w:t>.2 配电室的位置应靠近用电负荷中心，设置在尘埃少、腐蚀介质少、周围环境干燥和无剧烈震动的场所，并宜留有发展余地。</w:t>
            </w:r>
          </w:p>
        </w:tc>
        <w:tc>
          <w:tcPr>
            <w:tcW w:w="1080" w:type="dxa"/>
            <w:vAlign w:val="center"/>
          </w:tcPr>
          <w:p w14:paraId="5BFBB30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GB50054-2011</w:t>
            </w:r>
          </w:p>
          <w:p w14:paraId="05E7338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4.1.1</w:t>
            </w:r>
          </w:p>
        </w:tc>
        <w:tc>
          <w:tcPr>
            <w:tcW w:w="840" w:type="dxa"/>
            <w:vAlign w:val="center"/>
          </w:tcPr>
          <w:p w14:paraId="5F1D035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对照设计</w:t>
            </w:r>
          </w:p>
          <w:p w14:paraId="6F8FC01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检查现场</w:t>
            </w:r>
          </w:p>
        </w:tc>
        <w:tc>
          <w:tcPr>
            <w:tcW w:w="734" w:type="dxa"/>
            <w:vAlign w:val="center"/>
          </w:tcPr>
          <w:p w14:paraId="32F50C7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符合</w:t>
            </w:r>
          </w:p>
        </w:tc>
        <w:tc>
          <w:tcPr>
            <w:tcW w:w="727" w:type="dxa"/>
            <w:vAlign w:val="center"/>
          </w:tcPr>
          <w:p w14:paraId="729BA67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2</w:t>
            </w:r>
          </w:p>
        </w:tc>
        <w:tc>
          <w:tcPr>
            <w:tcW w:w="809" w:type="dxa"/>
            <w:vAlign w:val="center"/>
          </w:tcPr>
          <w:p w14:paraId="3C6E8AF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不符合不得分</w:t>
            </w:r>
          </w:p>
        </w:tc>
        <w:tc>
          <w:tcPr>
            <w:tcW w:w="633" w:type="dxa"/>
            <w:vAlign w:val="center"/>
          </w:tcPr>
          <w:p w14:paraId="546BB5F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2</w:t>
            </w:r>
          </w:p>
        </w:tc>
      </w:tr>
      <w:tr w14:paraId="65932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0" w:type="dxa"/>
            <w:vMerge w:val="continue"/>
            <w:shd w:val="clear" w:color="auto" w:fill="auto"/>
            <w:vAlign w:val="center"/>
          </w:tcPr>
          <w:p w14:paraId="402113C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3635" w:type="dxa"/>
            <w:shd w:val="clear" w:color="auto" w:fill="auto"/>
            <w:vAlign w:val="center"/>
          </w:tcPr>
          <w:p w14:paraId="1245B92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r>
              <w:rPr>
                <w:rFonts w:hint="default" w:ascii="Times New Roman" w:hAnsi="Times New Roman" w:eastAsia="宋体" w:cs="Times New Roman"/>
                <w:color w:val="auto"/>
                <w:kern w:val="2"/>
                <w:sz w:val="21"/>
                <w:szCs w:val="21"/>
                <w:vertAlign w:val="baseline"/>
                <w:lang w:val="en-US" w:eastAsia="zh-CN" w:bidi="ar-SA"/>
              </w:rPr>
              <w:t>.3 配电室屋顶承重构件的耐火等级不应低于二级，其他部分不应低于三级。当配电室与其他场所毗邻时，门的耐火等级应按两者中耐火等级高的确定。</w:t>
            </w:r>
          </w:p>
        </w:tc>
        <w:tc>
          <w:tcPr>
            <w:tcW w:w="1080" w:type="dxa"/>
            <w:shd w:val="clear" w:color="auto" w:fill="auto"/>
            <w:vAlign w:val="center"/>
          </w:tcPr>
          <w:p w14:paraId="2540699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GB50054-2011</w:t>
            </w:r>
          </w:p>
          <w:p w14:paraId="6CFF576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4.3.1</w:t>
            </w:r>
          </w:p>
        </w:tc>
        <w:tc>
          <w:tcPr>
            <w:tcW w:w="840" w:type="dxa"/>
            <w:shd w:val="clear" w:color="auto" w:fill="auto"/>
            <w:vAlign w:val="center"/>
          </w:tcPr>
          <w:p w14:paraId="79C5B3B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对照设计</w:t>
            </w:r>
          </w:p>
          <w:p w14:paraId="5B0808A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检查现场</w:t>
            </w:r>
          </w:p>
        </w:tc>
        <w:tc>
          <w:tcPr>
            <w:tcW w:w="734" w:type="dxa"/>
            <w:shd w:val="clear" w:color="auto" w:fill="auto"/>
            <w:vAlign w:val="center"/>
          </w:tcPr>
          <w:p w14:paraId="58252FD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727" w:type="dxa"/>
            <w:shd w:val="clear" w:color="auto" w:fill="auto"/>
            <w:vAlign w:val="center"/>
          </w:tcPr>
          <w:p w14:paraId="246F216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c>
          <w:tcPr>
            <w:tcW w:w="809" w:type="dxa"/>
            <w:shd w:val="clear" w:color="auto" w:fill="auto"/>
            <w:vAlign w:val="center"/>
          </w:tcPr>
          <w:p w14:paraId="00B5628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不符合不得分，不完善扣1.5分</w:t>
            </w:r>
          </w:p>
        </w:tc>
        <w:tc>
          <w:tcPr>
            <w:tcW w:w="633" w:type="dxa"/>
            <w:shd w:val="clear" w:color="auto" w:fill="auto"/>
            <w:vAlign w:val="center"/>
          </w:tcPr>
          <w:p w14:paraId="6C3F8C7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r>
      <w:tr w14:paraId="6CA3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830" w:type="dxa"/>
            <w:vMerge w:val="continue"/>
            <w:shd w:val="clear" w:color="auto" w:fill="auto"/>
            <w:vAlign w:val="center"/>
          </w:tcPr>
          <w:p w14:paraId="0BDA84F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3635" w:type="dxa"/>
            <w:shd w:val="clear" w:color="auto" w:fill="auto"/>
            <w:vAlign w:val="center"/>
          </w:tcPr>
          <w:p w14:paraId="11D54AC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r>
              <w:rPr>
                <w:rFonts w:hint="default" w:ascii="Times New Roman" w:hAnsi="Times New Roman" w:eastAsia="宋体" w:cs="Times New Roman"/>
                <w:color w:val="auto"/>
                <w:kern w:val="2"/>
                <w:sz w:val="21"/>
                <w:szCs w:val="21"/>
                <w:vertAlign w:val="baseline"/>
                <w:lang w:val="en-US" w:eastAsia="zh-CN" w:bidi="ar-SA"/>
              </w:rPr>
              <w:t>.4 配电室长度超过7m时，应设2个出口，并宜布置在配电室两端。当配电室双层布置时，楼上配电室的出口应至少设一个通向该层走廊或室外的安全出口。配电室的门均应向外开启，但通向高压配电室的门应为双向开启门。</w:t>
            </w:r>
          </w:p>
        </w:tc>
        <w:tc>
          <w:tcPr>
            <w:tcW w:w="1080" w:type="dxa"/>
            <w:shd w:val="clear" w:color="auto" w:fill="auto"/>
            <w:vAlign w:val="center"/>
          </w:tcPr>
          <w:p w14:paraId="48AA975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GB50054-2011</w:t>
            </w:r>
          </w:p>
          <w:p w14:paraId="3985C42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4.3.2</w:t>
            </w:r>
          </w:p>
        </w:tc>
        <w:tc>
          <w:tcPr>
            <w:tcW w:w="840" w:type="dxa"/>
            <w:shd w:val="clear" w:color="auto" w:fill="auto"/>
            <w:vAlign w:val="center"/>
          </w:tcPr>
          <w:p w14:paraId="0BCE230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现场检查</w:t>
            </w:r>
          </w:p>
        </w:tc>
        <w:tc>
          <w:tcPr>
            <w:tcW w:w="734" w:type="dxa"/>
            <w:shd w:val="clear" w:color="auto" w:fill="auto"/>
            <w:vAlign w:val="center"/>
          </w:tcPr>
          <w:p w14:paraId="28143D9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727" w:type="dxa"/>
            <w:shd w:val="clear" w:color="auto" w:fill="auto"/>
            <w:vAlign w:val="center"/>
          </w:tcPr>
          <w:p w14:paraId="2296B87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c>
          <w:tcPr>
            <w:tcW w:w="809" w:type="dxa"/>
            <w:shd w:val="clear" w:color="auto" w:fill="auto"/>
            <w:vAlign w:val="center"/>
          </w:tcPr>
          <w:p w14:paraId="6B5E99C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不符合不得分，不完善扣1.5分</w:t>
            </w:r>
          </w:p>
        </w:tc>
        <w:tc>
          <w:tcPr>
            <w:tcW w:w="633" w:type="dxa"/>
            <w:shd w:val="clear" w:color="auto" w:fill="auto"/>
            <w:vAlign w:val="center"/>
          </w:tcPr>
          <w:p w14:paraId="02EAF97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r>
      <w:tr w14:paraId="6FF0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0" w:type="dxa"/>
            <w:vMerge w:val="continue"/>
            <w:shd w:val="clear" w:color="auto" w:fill="auto"/>
            <w:vAlign w:val="center"/>
          </w:tcPr>
          <w:p w14:paraId="5BB4D45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3635" w:type="dxa"/>
            <w:shd w:val="clear" w:color="auto" w:fill="auto"/>
            <w:vAlign w:val="center"/>
          </w:tcPr>
          <w:p w14:paraId="20AEC06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r>
              <w:rPr>
                <w:rFonts w:hint="default" w:ascii="Times New Roman" w:hAnsi="Times New Roman" w:eastAsia="宋体" w:cs="Times New Roman"/>
                <w:color w:val="auto"/>
                <w:kern w:val="2"/>
                <w:sz w:val="21"/>
                <w:szCs w:val="21"/>
                <w:vertAlign w:val="baseline"/>
                <w:lang w:val="en-US" w:eastAsia="zh-CN" w:bidi="ar-SA"/>
              </w:rPr>
              <w:t>.5 配电室内的电缆沟，应采取防水盒排水措施。配电室的地面宜高出本层地面50mm或设置防水门槛。</w:t>
            </w:r>
          </w:p>
        </w:tc>
        <w:tc>
          <w:tcPr>
            <w:tcW w:w="1080" w:type="dxa"/>
            <w:shd w:val="clear" w:color="auto" w:fill="auto"/>
            <w:vAlign w:val="center"/>
          </w:tcPr>
          <w:p w14:paraId="54581DD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GB50054-2011</w:t>
            </w:r>
          </w:p>
          <w:p w14:paraId="79442A7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4.3.4</w:t>
            </w:r>
          </w:p>
        </w:tc>
        <w:tc>
          <w:tcPr>
            <w:tcW w:w="840" w:type="dxa"/>
            <w:shd w:val="clear" w:color="auto" w:fill="auto"/>
            <w:vAlign w:val="center"/>
          </w:tcPr>
          <w:p w14:paraId="083D1F7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现场检查</w:t>
            </w:r>
          </w:p>
        </w:tc>
        <w:tc>
          <w:tcPr>
            <w:tcW w:w="734" w:type="dxa"/>
            <w:shd w:val="clear" w:color="auto" w:fill="auto"/>
            <w:vAlign w:val="center"/>
          </w:tcPr>
          <w:p w14:paraId="4270CDB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727" w:type="dxa"/>
            <w:shd w:val="clear" w:color="auto" w:fill="auto"/>
            <w:vAlign w:val="center"/>
          </w:tcPr>
          <w:p w14:paraId="0BA4C09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c>
          <w:tcPr>
            <w:tcW w:w="809" w:type="dxa"/>
            <w:shd w:val="clear" w:color="auto" w:fill="auto"/>
            <w:vAlign w:val="center"/>
          </w:tcPr>
          <w:p w14:paraId="2FC9296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不符合不得分，不完善扣1.5分</w:t>
            </w:r>
          </w:p>
        </w:tc>
        <w:tc>
          <w:tcPr>
            <w:tcW w:w="633" w:type="dxa"/>
            <w:shd w:val="clear" w:color="auto" w:fill="auto"/>
            <w:vAlign w:val="center"/>
          </w:tcPr>
          <w:p w14:paraId="0CC5E38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r>
      <w:tr w14:paraId="7475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continue"/>
            <w:shd w:val="clear" w:color="auto" w:fill="auto"/>
            <w:vAlign w:val="center"/>
          </w:tcPr>
          <w:p w14:paraId="2005CD2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3635" w:type="dxa"/>
            <w:shd w:val="clear" w:color="auto" w:fill="auto"/>
            <w:vAlign w:val="center"/>
          </w:tcPr>
          <w:p w14:paraId="107A4FD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r>
              <w:rPr>
                <w:rFonts w:hint="default" w:ascii="Times New Roman" w:hAnsi="Times New Roman" w:eastAsia="宋体" w:cs="Times New Roman"/>
                <w:color w:val="auto"/>
                <w:kern w:val="2"/>
                <w:sz w:val="21"/>
                <w:szCs w:val="21"/>
                <w:vertAlign w:val="baseline"/>
                <w:lang w:val="en-US" w:eastAsia="zh-CN" w:bidi="ar-SA"/>
              </w:rPr>
              <w:t>.6 配电室的门、窗关闭应密合；与室外相通的洞、通风孔应设防止鼠、蛇类等小动物进入网罩。直接与室外露天相通的通风孔尚应采取防止雨雪飘入的措施。</w:t>
            </w:r>
          </w:p>
        </w:tc>
        <w:tc>
          <w:tcPr>
            <w:tcW w:w="1080" w:type="dxa"/>
            <w:shd w:val="clear" w:color="auto" w:fill="auto"/>
            <w:vAlign w:val="center"/>
          </w:tcPr>
          <w:p w14:paraId="2B8932E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GB50054-2011</w:t>
            </w:r>
          </w:p>
          <w:p w14:paraId="739A389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4.3.7</w:t>
            </w:r>
          </w:p>
        </w:tc>
        <w:tc>
          <w:tcPr>
            <w:tcW w:w="840" w:type="dxa"/>
            <w:shd w:val="clear" w:color="auto" w:fill="auto"/>
            <w:vAlign w:val="center"/>
          </w:tcPr>
          <w:p w14:paraId="65A59FB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现场检查</w:t>
            </w:r>
          </w:p>
        </w:tc>
        <w:tc>
          <w:tcPr>
            <w:tcW w:w="734" w:type="dxa"/>
            <w:shd w:val="clear" w:color="auto" w:fill="auto"/>
            <w:vAlign w:val="center"/>
          </w:tcPr>
          <w:p w14:paraId="448C2F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727" w:type="dxa"/>
            <w:shd w:val="clear" w:color="auto" w:fill="auto"/>
            <w:vAlign w:val="center"/>
          </w:tcPr>
          <w:p w14:paraId="5691FB7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c>
          <w:tcPr>
            <w:tcW w:w="809" w:type="dxa"/>
            <w:shd w:val="clear" w:color="auto" w:fill="auto"/>
            <w:vAlign w:val="center"/>
          </w:tcPr>
          <w:p w14:paraId="443ABA8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不符合不得分，不完善扣1.5分</w:t>
            </w:r>
          </w:p>
        </w:tc>
        <w:tc>
          <w:tcPr>
            <w:tcW w:w="633" w:type="dxa"/>
            <w:shd w:val="clear" w:color="auto" w:fill="auto"/>
            <w:vAlign w:val="center"/>
          </w:tcPr>
          <w:p w14:paraId="5756895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r>
      <w:tr w14:paraId="2248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continue"/>
            <w:shd w:val="clear" w:color="auto" w:fill="auto"/>
            <w:vAlign w:val="center"/>
          </w:tcPr>
          <w:p w14:paraId="6CF859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3635" w:type="dxa"/>
            <w:shd w:val="clear" w:color="auto" w:fill="auto"/>
            <w:vAlign w:val="center"/>
          </w:tcPr>
          <w:p w14:paraId="06C982E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r>
              <w:rPr>
                <w:rFonts w:hint="default" w:ascii="Times New Roman" w:hAnsi="Times New Roman" w:eastAsia="宋体" w:cs="Times New Roman"/>
                <w:color w:val="auto"/>
                <w:kern w:val="2"/>
                <w:sz w:val="21"/>
                <w:szCs w:val="21"/>
                <w:vertAlign w:val="baseline"/>
                <w:lang w:val="en-US" w:eastAsia="zh-CN" w:bidi="ar-SA"/>
              </w:rPr>
              <w:t>.7 露天矿户外安装的电气设备应采用户外型电气设备；室外配电装置的裸露导体应有安全防护，当电气设备外绝缘体最低部位距地小于2500mm时，应装设固定遮栏；高压设备周围应设置围栏；露天或半露天变电所的变压器四周应设高度不低于1.8m的固定围栏或围墙。</w:t>
            </w:r>
          </w:p>
        </w:tc>
        <w:tc>
          <w:tcPr>
            <w:tcW w:w="1080" w:type="dxa"/>
            <w:shd w:val="clear" w:color="auto" w:fill="auto"/>
            <w:vAlign w:val="center"/>
          </w:tcPr>
          <w:p w14:paraId="5294427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349684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5.6.1.7</w:t>
            </w:r>
          </w:p>
        </w:tc>
        <w:tc>
          <w:tcPr>
            <w:tcW w:w="840" w:type="dxa"/>
            <w:shd w:val="clear" w:color="auto" w:fill="auto"/>
            <w:vAlign w:val="center"/>
          </w:tcPr>
          <w:p w14:paraId="3CAC10E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现场检查</w:t>
            </w:r>
          </w:p>
        </w:tc>
        <w:tc>
          <w:tcPr>
            <w:tcW w:w="734" w:type="dxa"/>
            <w:shd w:val="clear" w:color="auto" w:fill="auto"/>
            <w:vAlign w:val="center"/>
          </w:tcPr>
          <w:p w14:paraId="5897A76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727" w:type="dxa"/>
            <w:shd w:val="clear" w:color="auto" w:fill="auto"/>
            <w:vAlign w:val="center"/>
          </w:tcPr>
          <w:p w14:paraId="5BB0B81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c>
          <w:tcPr>
            <w:tcW w:w="809" w:type="dxa"/>
            <w:shd w:val="clear" w:color="auto" w:fill="auto"/>
            <w:vAlign w:val="center"/>
          </w:tcPr>
          <w:p w14:paraId="2D5A2EF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不符合不得分，不完善扣1.5分</w:t>
            </w:r>
          </w:p>
        </w:tc>
        <w:tc>
          <w:tcPr>
            <w:tcW w:w="633" w:type="dxa"/>
            <w:shd w:val="clear" w:color="auto" w:fill="auto"/>
            <w:vAlign w:val="center"/>
          </w:tcPr>
          <w:p w14:paraId="024CBBF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r>
      <w:tr w14:paraId="425B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restart"/>
            <w:shd w:val="clear" w:color="auto" w:fill="auto"/>
            <w:vAlign w:val="center"/>
          </w:tcPr>
          <w:p w14:paraId="2B2E203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3. 防雷与接地</w:t>
            </w:r>
          </w:p>
        </w:tc>
        <w:tc>
          <w:tcPr>
            <w:tcW w:w="3635" w:type="dxa"/>
            <w:shd w:val="clear" w:color="auto" w:fill="auto"/>
            <w:vAlign w:val="center"/>
          </w:tcPr>
          <w:p w14:paraId="0EF3431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3</w:t>
            </w:r>
            <w:r>
              <w:rPr>
                <w:rFonts w:hint="default" w:ascii="Times New Roman" w:hAnsi="Times New Roman" w:eastAsia="宋体" w:cs="Times New Roman"/>
                <w:color w:val="auto"/>
                <w:kern w:val="2"/>
                <w:sz w:val="21"/>
                <w:szCs w:val="21"/>
                <w:vertAlign w:val="baseline"/>
                <w:lang w:val="en-US" w:eastAsia="zh-CN" w:bidi="ar-SA"/>
              </w:rPr>
              <w:t>.1 露天采场、排土场的架空供电线路上设置开关设备时，应符合下列规定：1</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环形或半环形线路的出口和联络处设置分段开关；</w:t>
            </w:r>
          </w:p>
          <w:p w14:paraId="7E55DE0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横跨线或纵架线与环形、半环形线或其它地面固定干线连接处设置开关；</w:t>
            </w:r>
          </w:p>
          <w:p w14:paraId="57A055D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高压电气设备或移动式变电站与横跨线或纵架线连接处设置开头；</w:t>
            </w:r>
          </w:p>
          <w:p w14:paraId="7758948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移动式高压电力设备的供电线路设置具有单相接地保护的开关设备。</w:t>
            </w:r>
          </w:p>
        </w:tc>
        <w:tc>
          <w:tcPr>
            <w:tcW w:w="1080" w:type="dxa"/>
            <w:shd w:val="clear" w:color="auto" w:fill="auto"/>
            <w:vAlign w:val="center"/>
          </w:tcPr>
          <w:p w14:paraId="00825A2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573DFC8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5.6.1.6</w:t>
            </w:r>
          </w:p>
        </w:tc>
        <w:tc>
          <w:tcPr>
            <w:tcW w:w="840" w:type="dxa"/>
            <w:shd w:val="clear" w:color="auto" w:fill="auto"/>
            <w:vAlign w:val="center"/>
          </w:tcPr>
          <w:p w14:paraId="60BBA13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现场检查</w:t>
            </w:r>
          </w:p>
        </w:tc>
        <w:tc>
          <w:tcPr>
            <w:tcW w:w="734" w:type="dxa"/>
            <w:shd w:val="clear" w:color="auto" w:fill="auto"/>
            <w:vAlign w:val="center"/>
          </w:tcPr>
          <w:p w14:paraId="17AA4C7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不涉及</w:t>
            </w:r>
          </w:p>
        </w:tc>
        <w:tc>
          <w:tcPr>
            <w:tcW w:w="727" w:type="dxa"/>
            <w:shd w:val="clear" w:color="auto" w:fill="auto"/>
            <w:vAlign w:val="center"/>
          </w:tcPr>
          <w:p w14:paraId="12FB700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4</w:t>
            </w:r>
          </w:p>
        </w:tc>
        <w:tc>
          <w:tcPr>
            <w:tcW w:w="809" w:type="dxa"/>
            <w:shd w:val="clear" w:color="auto" w:fill="auto"/>
            <w:vAlign w:val="center"/>
          </w:tcPr>
          <w:p w14:paraId="2E959B4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1项不符合扣1分</w:t>
            </w:r>
          </w:p>
        </w:tc>
        <w:tc>
          <w:tcPr>
            <w:tcW w:w="633" w:type="dxa"/>
            <w:shd w:val="clear" w:color="auto" w:fill="auto"/>
            <w:vAlign w:val="center"/>
          </w:tcPr>
          <w:p w14:paraId="27CDE30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w:t>
            </w:r>
          </w:p>
        </w:tc>
      </w:tr>
      <w:tr w14:paraId="4523E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0" w:type="dxa"/>
            <w:vMerge w:val="continue"/>
            <w:shd w:val="clear" w:color="auto" w:fill="auto"/>
            <w:vAlign w:val="center"/>
          </w:tcPr>
          <w:p w14:paraId="4E069DA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3635" w:type="dxa"/>
            <w:shd w:val="clear" w:color="auto" w:fill="auto"/>
            <w:vAlign w:val="center"/>
          </w:tcPr>
          <w:p w14:paraId="5975076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3</w:t>
            </w:r>
            <w:r>
              <w:rPr>
                <w:rFonts w:hint="default" w:ascii="Times New Roman" w:hAnsi="Times New Roman" w:eastAsia="宋体" w:cs="Times New Roman"/>
                <w:color w:val="auto"/>
                <w:kern w:val="2"/>
                <w:sz w:val="21"/>
                <w:szCs w:val="21"/>
                <w:vertAlign w:val="baseline"/>
                <w:lang w:val="en-US" w:eastAsia="zh-CN" w:bidi="ar-SA"/>
              </w:rPr>
              <w:t>.2 采场架空线路的下列位置应装设避雷装置：</w:t>
            </w:r>
          </w:p>
          <w:p w14:paraId="1AE4FA8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采场供电线路或纵架线的连接处；</w:t>
            </w:r>
          </w:p>
          <w:p w14:paraId="3A2802D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多雷地区的高压设备进线电缆与横跨线或纵架线的连接处；</w:t>
            </w:r>
          </w:p>
          <w:p w14:paraId="7CCCE18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排土场高压设备进线电缆与架空线的连接处。</w:t>
            </w:r>
          </w:p>
        </w:tc>
        <w:tc>
          <w:tcPr>
            <w:tcW w:w="1080" w:type="dxa"/>
            <w:shd w:val="clear" w:color="auto" w:fill="auto"/>
            <w:vAlign w:val="center"/>
          </w:tcPr>
          <w:p w14:paraId="22279F4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1AE1DDA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5.6.4.1</w:t>
            </w:r>
          </w:p>
        </w:tc>
        <w:tc>
          <w:tcPr>
            <w:tcW w:w="840" w:type="dxa"/>
            <w:shd w:val="clear" w:color="auto" w:fill="auto"/>
            <w:vAlign w:val="center"/>
          </w:tcPr>
          <w:p w14:paraId="2A39CCC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现场检查</w:t>
            </w:r>
          </w:p>
        </w:tc>
        <w:tc>
          <w:tcPr>
            <w:tcW w:w="734" w:type="dxa"/>
            <w:shd w:val="clear" w:color="auto" w:fill="auto"/>
            <w:vAlign w:val="center"/>
          </w:tcPr>
          <w:p w14:paraId="7C34C73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不涉及</w:t>
            </w:r>
          </w:p>
        </w:tc>
        <w:tc>
          <w:tcPr>
            <w:tcW w:w="727" w:type="dxa"/>
            <w:shd w:val="clear" w:color="auto" w:fill="auto"/>
            <w:vAlign w:val="center"/>
          </w:tcPr>
          <w:p w14:paraId="15A6C46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3</w:t>
            </w:r>
          </w:p>
        </w:tc>
        <w:tc>
          <w:tcPr>
            <w:tcW w:w="809" w:type="dxa"/>
            <w:shd w:val="clear" w:color="auto" w:fill="auto"/>
            <w:vAlign w:val="center"/>
          </w:tcPr>
          <w:p w14:paraId="3C4327F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1项不符合扣1分</w:t>
            </w:r>
          </w:p>
        </w:tc>
        <w:tc>
          <w:tcPr>
            <w:tcW w:w="633" w:type="dxa"/>
            <w:shd w:val="clear" w:color="auto" w:fill="auto"/>
            <w:vAlign w:val="center"/>
          </w:tcPr>
          <w:p w14:paraId="09D3DF9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w:t>
            </w:r>
          </w:p>
        </w:tc>
      </w:tr>
      <w:tr w14:paraId="1C2C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continue"/>
            <w:shd w:val="clear" w:color="auto" w:fill="auto"/>
            <w:vAlign w:val="center"/>
          </w:tcPr>
          <w:p w14:paraId="5CC6242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3635" w:type="dxa"/>
            <w:shd w:val="clear" w:color="auto" w:fill="auto"/>
            <w:vAlign w:val="center"/>
          </w:tcPr>
          <w:p w14:paraId="57B7AF9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3</w:t>
            </w:r>
            <w:r>
              <w:rPr>
                <w:rFonts w:hint="default" w:ascii="Times New Roman" w:hAnsi="Times New Roman" w:eastAsia="宋体" w:cs="Times New Roman"/>
                <w:color w:val="auto"/>
                <w:kern w:val="2"/>
                <w:sz w:val="21"/>
                <w:szCs w:val="21"/>
                <w:vertAlign w:val="baseline"/>
                <w:lang w:val="en-US" w:eastAsia="zh-CN" w:bidi="ar-SA"/>
              </w:rPr>
              <w:t>.3 地面牵引网的下列位置应装设避雷装置：</w:t>
            </w:r>
          </w:p>
          <w:p w14:paraId="7398A4F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馈电线与接触线连接处；</w:t>
            </w:r>
          </w:p>
          <w:p w14:paraId="7596ADE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机车进口处；</w:t>
            </w:r>
          </w:p>
          <w:p w14:paraId="3F4DAD4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运输平硐口；</w:t>
            </w:r>
          </w:p>
          <w:p w14:paraId="05D1E2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线路上每个独立区段内。</w:t>
            </w:r>
          </w:p>
        </w:tc>
        <w:tc>
          <w:tcPr>
            <w:tcW w:w="1080" w:type="dxa"/>
            <w:shd w:val="clear" w:color="auto" w:fill="auto"/>
            <w:vAlign w:val="center"/>
          </w:tcPr>
          <w:p w14:paraId="7D2FEBB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7780D45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5.6.4.2</w:t>
            </w:r>
          </w:p>
        </w:tc>
        <w:tc>
          <w:tcPr>
            <w:tcW w:w="840" w:type="dxa"/>
            <w:shd w:val="clear" w:color="auto" w:fill="auto"/>
            <w:vAlign w:val="center"/>
          </w:tcPr>
          <w:p w14:paraId="4D8694B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现场检查</w:t>
            </w:r>
          </w:p>
        </w:tc>
        <w:tc>
          <w:tcPr>
            <w:tcW w:w="734" w:type="dxa"/>
            <w:shd w:val="clear" w:color="auto" w:fill="auto"/>
            <w:vAlign w:val="center"/>
          </w:tcPr>
          <w:p w14:paraId="01AD606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727" w:type="dxa"/>
            <w:shd w:val="clear" w:color="auto" w:fill="auto"/>
            <w:vAlign w:val="center"/>
          </w:tcPr>
          <w:p w14:paraId="1AAB669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w:t>
            </w:r>
          </w:p>
        </w:tc>
        <w:tc>
          <w:tcPr>
            <w:tcW w:w="809" w:type="dxa"/>
            <w:shd w:val="clear" w:color="auto" w:fill="auto"/>
            <w:vAlign w:val="center"/>
          </w:tcPr>
          <w:p w14:paraId="3010974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1项不符合扣1分</w:t>
            </w:r>
          </w:p>
        </w:tc>
        <w:tc>
          <w:tcPr>
            <w:tcW w:w="633" w:type="dxa"/>
            <w:shd w:val="clear" w:color="auto" w:fill="auto"/>
            <w:vAlign w:val="center"/>
          </w:tcPr>
          <w:p w14:paraId="3550627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w:t>
            </w:r>
          </w:p>
        </w:tc>
      </w:tr>
      <w:tr w14:paraId="576A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830" w:type="dxa"/>
            <w:vMerge w:val="continue"/>
            <w:shd w:val="clear" w:color="auto" w:fill="auto"/>
            <w:vAlign w:val="center"/>
          </w:tcPr>
          <w:p w14:paraId="6194CB0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3635" w:type="dxa"/>
            <w:shd w:val="clear" w:color="auto" w:fill="auto"/>
            <w:vAlign w:val="center"/>
          </w:tcPr>
          <w:p w14:paraId="2848773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3.4 地面直流牵引变电所母线上应装设直流避雷装置；750V及以上或多雷地区的地面牵引变电所，应在每回出线装设直流避雷装置。</w:t>
            </w:r>
          </w:p>
        </w:tc>
        <w:tc>
          <w:tcPr>
            <w:tcW w:w="1080" w:type="dxa"/>
            <w:shd w:val="clear" w:color="auto" w:fill="auto"/>
            <w:vAlign w:val="center"/>
          </w:tcPr>
          <w:p w14:paraId="246449C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225539A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5.6.4.3</w:t>
            </w:r>
          </w:p>
        </w:tc>
        <w:tc>
          <w:tcPr>
            <w:tcW w:w="840" w:type="dxa"/>
            <w:shd w:val="clear" w:color="auto" w:fill="auto"/>
            <w:vAlign w:val="center"/>
          </w:tcPr>
          <w:p w14:paraId="4ACCB29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现场检查</w:t>
            </w:r>
          </w:p>
        </w:tc>
        <w:tc>
          <w:tcPr>
            <w:tcW w:w="734" w:type="dxa"/>
            <w:shd w:val="clear" w:color="auto" w:fill="auto"/>
            <w:vAlign w:val="center"/>
          </w:tcPr>
          <w:p w14:paraId="4BE9385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符合</w:t>
            </w:r>
          </w:p>
        </w:tc>
        <w:tc>
          <w:tcPr>
            <w:tcW w:w="727" w:type="dxa"/>
            <w:shd w:val="clear" w:color="auto" w:fill="auto"/>
            <w:vAlign w:val="center"/>
          </w:tcPr>
          <w:p w14:paraId="0876390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c>
          <w:tcPr>
            <w:tcW w:w="809" w:type="dxa"/>
            <w:shd w:val="clear" w:color="auto" w:fill="auto"/>
            <w:vAlign w:val="center"/>
          </w:tcPr>
          <w:p w14:paraId="0931324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不符合</w:t>
            </w:r>
            <w:r>
              <w:rPr>
                <w:rFonts w:hint="eastAsia" w:cs="Times New Roman"/>
                <w:color w:val="auto"/>
                <w:kern w:val="2"/>
                <w:sz w:val="21"/>
                <w:szCs w:val="21"/>
                <w:vertAlign w:val="baseline"/>
                <w:lang w:val="en-US" w:eastAsia="zh-CN" w:bidi="ar-SA"/>
              </w:rPr>
              <w:t>不得分不完善扣1.5</w:t>
            </w:r>
          </w:p>
        </w:tc>
        <w:tc>
          <w:tcPr>
            <w:tcW w:w="633" w:type="dxa"/>
            <w:shd w:val="clear" w:color="auto" w:fill="auto"/>
            <w:vAlign w:val="center"/>
          </w:tcPr>
          <w:p w14:paraId="2B8FC9F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w:t>
            </w:r>
          </w:p>
        </w:tc>
      </w:tr>
      <w:tr w14:paraId="0E3F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continue"/>
            <w:shd w:val="clear" w:color="auto" w:fill="auto"/>
            <w:vAlign w:val="center"/>
          </w:tcPr>
          <w:p w14:paraId="1FFC00D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3635" w:type="dxa"/>
            <w:shd w:val="clear" w:color="auto" w:fill="auto"/>
            <w:vAlign w:val="center"/>
          </w:tcPr>
          <w:p w14:paraId="46DF3A0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3</w:t>
            </w:r>
            <w:r>
              <w:rPr>
                <w:rFonts w:hint="default" w:ascii="Times New Roman" w:hAnsi="Times New Roman" w:eastAsia="宋体" w:cs="Times New Roman"/>
                <w:color w:val="auto"/>
                <w:kern w:val="2"/>
                <w:sz w:val="21"/>
                <w:szCs w:val="21"/>
                <w:vertAlign w:val="baseline"/>
                <w:lang w:val="en-US" w:eastAsia="zh-CN" w:bidi="ar-SA"/>
              </w:rPr>
              <w:t>.</w:t>
            </w:r>
            <w:r>
              <w:rPr>
                <w:rFonts w:hint="eastAsia" w:cs="Times New Roman"/>
                <w:color w:val="auto"/>
                <w:kern w:val="2"/>
                <w:sz w:val="21"/>
                <w:szCs w:val="21"/>
                <w:vertAlign w:val="baseline"/>
                <w:lang w:val="en-US" w:eastAsia="zh-CN" w:bidi="ar-SA"/>
              </w:rPr>
              <w:t>5</w:t>
            </w:r>
            <w:r>
              <w:rPr>
                <w:rFonts w:hint="default" w:ascii="Times New Roman" w:hAnsi="Times New Roman" w:eastAsia="宋体" w:cs="Times New Roman"/>
                <w:color w:val="auto"/>
                <w:kern w:val="2"/>
                <w:sz w:val="21"/>
                <w:szCs w:val="21"/>
                <w:vertAlign w:val="baseline"/>
                <w:lang w:val="en-US" w:eastAsia="zh-CN" w:bidi="ar-SA"/>
              </w:rPr>
              <w:t xml:space="preserve"> 主接地极的设置应符合下列规定：</w:t>
            </w:r>
          </w:p>
          <w:p w14:paraId="25E61E6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采矿场的主接地极不应少于2组，排废场主接地极可设1组；</w:t>
            </w:r>
          </w:p>
          <w:p w14:paraId="3965510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主接地极宜设在供电线路附近或其他土壤电阻率低的地方；</w:t>
            </w:r>
          </w:p>
          <w:p w14:paraId="5BD21AA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有2组及以上主接地极时，当任一组主接地断开后，在架空接地线上任一点所测得的对地电阻值不应大于4Ω</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移动式设备与架空接地线之间的接地线电阻值不应大于1Ω。</w:t>
            </w:r>
          </w:p>
        </w:tc>
        <w:tc>
          <w:tcPr>
            <w:tcW w:w="1080" w:type="dxa"/>
            <w:shd w:val="clear" w:color="auto" w:fill="auto"/>
            <w:vAlign w:val="center"/>
          </w:tcPr>
          <w:p w14:paraId="1DD3125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GB50070-2020</w:t>
            </w:r>
          </w:p>
          <w:p w14:paraId="3947B09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5.0.14</w:t>
            </w:r>
          </w:p>
        </w:tc>
        <w:tc>
          <w:tcPr>
            <w:tcW w:w="840" w:type="dxa"/>
            <w:shd w:val="clear" w:color="auto" w:fill="auto"/>
            <w:vAlign w:val="center"/>
          </w:tcPr>
          <w:p w14:paraId="44F6E82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查看资料，生产现场</w:t>
            </w:r>
          </w:p>
        </w:tc>
        <w:tc>
          <w:tcPr>
            <w:tcW w:w="734" w:type="dxa"/>
            <w:shd w:val="clear" w:color="auto" w:fill="auto"/>
            <w:vAlign w:val="center"/>
          </w:tcPr>
          <w:p w14:paraId="78AF423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不涉及</w:t>
            </w:r>
          </w:p>
        </w:tc>
        <w:tc>
          <w:tcPr>
            <w:tcW w:w="727" w:type="dxa"/>
            <w:shd w:val="clear" w:color="auto" w:fill="auto"/>
            <w:vAlign w:val="center"/>
          </w:tcPr>
          <w:p w14:paraId="23759B8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6</w:t>
            </w:r>
          </w:p>
        </w:tc>
        <w:tc>
          <w:tcPr>
            <w:tcW w:w="809" w:type="dxa"/>
            <w:shd w:val="clear" w:color="auto" w:fill="auto"/>
            <w:vAlign w:val="center"/>
          </w:tcPr>
          <w:p w14:paraId="4601B80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1项不符合扣2分</w:t>
            </w:r>
          </w:p>
        </w:tc>
        <w:tc>
          <w:tcPr>
            <w:tcW w:w="633" w:type="dxa"/>
            <w:shd w:val="clear" w:color="auto" w:fill="auto"/>
            <w:vAlign w:val="center"/>
          </w:tcPr>
          <w:p w14:paraId="1B3DD5A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w:t>
            </w:r>
          </w:p>
        </w:tc>
      </w:tr>
      <w:tr w14:paraId="43E2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continue"/>
            <w:shd w:val="clear" w:color="auto" w:fill="auto"/>
            <w:vAlign w:val="center"/>
          </w:tcPr>
          <w:p w14:paraId="7805C01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3635" w:type="dxa"/>
            <w:shd w:val="clear" w:color="auto" w:fill="auto"/>
            <w:vAlign w:val="center"/>
          </w:tcPr>
          <w:p w14:paraId="53D03C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3</w:t>
            </w:r>
            <w:r>
              <w:rPr>
                <w:rFonts w:hint="eastAsia" w:ascii="Times New Roman" w:hAnsi="Times New Roman" w:eastAsia="宋体" w:cs="Times New Roman"/>
                <w:color w:val="auto"/>
                <w:kern w:val="2"/>
                <w:sz w:val="21"/>
                <w:szCs w:val="21"/>
                <w:vertAlign w:val="baseline"/>
                <w:lang w:val="en-US" w:eastAsia="zh-CN" w:bidi="ar-SA"/>
              </w:rPr>
              <w:t>.</w:t>
            </w:r>
            <w:r>
              <w:rPr>
                <w:rFonts w:hint="eastAsia" w:cs="Times New Roman"/>
                <w:color w:val="auto"/>
                <w:kern w:val="2"/>
                <w:sz w:val="21"/>
                <w:szCs w:val="21"/>
                <w:vertAlign w:val="baseline"/>
                <w:lang w:val="en-US" w:eastAsia="zh-CN" w:bidi="ar-SA"/>
              </w:rPr>
              <w:t>6</w:t>
            </w:r>
            <w:r>
              <w:rPr>
                <w:rFonts w:hint="eastAsia" w:ascii="Times New Roman" w:hAnsi="Times New Roman" w:eastAsia="宋体" w:cs="Times New Roman"/>
                <w:color w:val="auto"/>
                <w:kern w:val="2"/>
                <w:sz w:val="21"/>
                <w:szCs w:val="21"/>
                <w:vertAlign w:val="baseline"/>
                <w:lang w:val="en-US" w:eastAsia="zh-CN" w:bidi="ar-SA"/>
              </w:rPr>
              <w:t xml:space="preserve"> 接地电阻应每年测定1次，测定工作应在该地区最干燥、地下水位最低的季节进行。</w:t>
            </w:r>
          </w:p>
        </w:tc>
        <w:tc>
          <w:tcPr>
            <w:tcW w:w="1080" w:type="dxa"/>
            <w:shd w:val="clear" w:color="auto" w:fill="auto"/>
            <w:vAlign w:val="center"/>
          </w:tcPr>
          <w:p w14:paraId="6A42C20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676268A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5.6.5.1</w:t>
            </w:r>
          </w:p>
        </w:tc>
        <w:tc>
          <w:tcPr>
            <w:tcW w:w="840" w:type="dxa"/>
            <w:shd w:val="clear" w:color="auto" w:fill="auto"/>
            <w:vAlign w:val="center"/>
          </w:tcPr>
          <w:p w14:paraId="1F69058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查阅检测报告</w:t>
            </w:r>
          </w:p>
        </w:tc>
        <w:tc>
          <w:tcPr>
            <w:tcW w:w="734" w:type="dxa"/>
            <w:shd w:val="clear" w:color="auto" w:fill="auto"/>
            <w:vAlign w:val="center"/>
          </w:tcPr>
          <w:p w14:paraId="3015413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不涉及</w:t>
            </w:r>
          </w:p>
        </w:tc>
        <w:tc>
          <w:tcPr>
            <w:tcW w:w="727" w:type="dxa"/>
            <w:shd w:val="clear" w:color="auto" w:fill="auto"/>
            <w:vAlign w:val="center"/>
          </w:tcPr>
          <w:p w14:paraId="3B17B39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c>
          <w:tcPr>
            <w:tcW w:w="809" w:type="dxa"/>
            <w:shd w:val="clear" w:color="auto" w:fill="auto"/>
            <w:vAlign w:val="center"/>
          </w:tcPr>
          <w:p w14:paraId="3B04D71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未检测不得分</w:t>
            </w:r>
          </w:p>
        </w:tc>
        <w:tc>
          <w:tcPr>
            <w:tcW w:w="633" w:type="dxa"/>
            <w:shd w:val="clear" w:color="auto" w:fill="auto"/>
            <w:vAlign w:val="center"/>
          </w:tcPr>
          <w:p w14:paraId="5264BD3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w:t>
            </w:r>
          </w:p>
        </w:tc>
      </w:tr>
      <w:tr w14:paraId="4094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restart"/>
            <w:shd w:val="clear" w:color="auto" w:fill="auto"/>
            <w:vAlign w:val="center"/>
          </w:tcPr>
          <w:p w14:paraId="031E172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4. 照明</w:t>
            </w:r>
          </w:p>
        </w:tc>
        <w:tc>
          <w:tcPr>
            <w:tcW w:w="3635" w:type="dxa"/>
            <w:shd w:val="clear" w:color="auto" w:fill="auto"/>
            <w:vAlign w:val="center"/>
          </w:tcPr>
          <w:p w14:paraId="70BB5B3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4</w:t>
            </w:r>
            <w:r>
              <w:rPr>
                <w:rFonts w:hint="default" w:ascii="Times New Roman" w:hAnsi="Times New Roman" w:eastAsia="宋体" w:cs="Times New Roman"/>
                <w:color w:val="auto"/>
                <w:kern w:val="2"/>
                <w:sz w:val="21"/>
                <w:szCs w:val="21"/>
                <w:vertAlign w:val="baseline"/>
                <w:lang w:val="en-US" w:eastAsia="zh-CN" w:bidi="ar-SA"/>
              </w:rPr>
              <w:t>.1 夜间工作的采矿场和排废场，在下列地点应设置照明</w:t>
            </w:r>
            <w:r>
              <w:rPr>
                <w:rFonts w:hint="eastAsia" w:cs="Times New Roman"/>
                <w:color w:val="auto"/>
                <w:kern w:val="2"/>
                <w:sz w:val="21"/>
                <w:szCs w:val="21"/>
                <w:vertAlign w:val="baseline"/>
                <w:lang w:val="en-US" w:eastAsia="zh-CN" w:bidi="ar-SA"/>
              </w:rPr>
              <w:t>：</w:t>
            </w:r>
          </w:p>
          <w:p w14:paraId="10D7AA0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凿岩机、移动式或固定式空气压缩机和水泵的工作地点；</w:t>
            </w:r>
          </w:p>
          <w:p w14:paraId="1E6A895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斜坡卷扬机道、人行梯和人行道；</w:t>
            </w:r>
          </w:p>
          <w:p w14:paraId="40A5AA4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汽车运输的装卸车处、人工装卸车地点的排废场、卸车线；</w:t>
            </w:r>
          </w:p>
          <w:p w14:paraId="2A60BA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调车站、会让站。</w:t>
            </w:r>
          </w:p>
        </w:tc>
        <w:tc>
          <w:tcPr>
            <w:tcW w:w="1080" w:type="dxa"/>
            <w:shd w:val="clear" w:color="auto" w:fill="auto"/>
            <w:vAlign w:val="center"/>
          </w:tcPr>
          <w:p w14:paraId="4E61BA7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GB50070-2020</w:t>
            </w:r>
          </w:p>
          <w:p w14:paraId="230D6C7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5.0.20</w:t>
            </w:r>
          </w:p>
        </w:tc>
        <w:tc>
          <w:tcPr>
            <w:tcW w:w="840" w:type="dxa"/>
            <w:shd w:val="clear" w:color="auto" w:fill="auto"/>
            <w:vAlign w:val="center"/>
          </w:tcPr>
          <w:p w14:paraId="6D45501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查看资料、生产现场</w:t>
            </w:r>
          </w:p>
        </w:tc>
        <w:tc>
          <w:tcPr>
            <w:tcW w:w="734" w:type="dxa"/>
            <w:shd w:val="clear" w:color="auto" w:fill="auto"/>
            <w:vAlign w:val="center"/>
          </w:tcPr>
          <w:p w14:paraId="481B34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不涉及</w:t>
            </w:r>
          </w:p>
        </w:tc>
        <w:tc>
          <w:tcPr>
            <w:tcW w:w="727" w:type="dxa"/>
            <w:shd w:val="clear" w:color="auto" w:fill="auto"/>
            <w:vAlign w:val="center"/>
          </w:tcPr>
          <w:p w14:paraId="0AFA0C4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8</w:t>
            </w:r>
          </w:p>
        </w:tc>
        <w:tc>
          <w:tcPr>
            <w:tcW w:w="809" w:type="dxa"/>
            <w:shd w:val="clear" w:color="auto" w:fill="auto"/>
            <w:vAlign w:val="center"/>
          </w:tcPr>
          <w:p w14:paraId="139D1EE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1项不符合扣2分</w:t>
            </w:r>
          </w:p>
        </w:tc>
        <w:tc>
          <w:tcPr>
            <w:tcW w:w="633" w:type="dxa"/>
            <w:shd w:val="clear" w:color="auto" w:fill="auto"/>
            <w:vAlign w:val="center"/>
          </w:tcPr>
          <w:p w14:paraId="48FB0E9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w:t>
            </w:r>
          </w:p>
        </w:tc>
      </w:tr>
      <w:tr w14:paraId="7EDD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continue"/>
            <w:shd w:val="clear" w:color="auto" w:fill="auto"/>
            <w:vAlign w:val="center"/>
          </w:tcPr>
          <w:p w14:paraId="0492C09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3635" w:type="dxa"/>
            <w:shd w:val="clear" w:color="auto" w:fill="auto"/>
            <w:vAlign w:val="center"/>
          </w:tcPr>
          <w:p w14:paraId="5881919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4</w:t>
            </w:r>
            <w:r>
              <w:rPr>
                <w:rFonts w:hint="default" w:ascii="Times New Roman" w:hAnsi="Times New Roman" w:eastAsia="宋体" w:cs="Times New Roman"/>
                <w:color w:val="auto"/>
                <w:kern w:val="2"/>
                <w:sz w:val="21"/>
                <w:szCs w:val="21"/>
                <w:vertAlign w:val="baseline"/>
                <w:lang w:val="en-US" w:eastAsia="zh-CN" w:bidi="ar-SA"/>
              </w:rPr>
              <w:t>.2 照明电压应符合下列规定：</w:t>
            </w:r>
          </w:p>
          <w:p w14:paraId="441DF5B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固定式照明灯具，不高于220V；</w:t>
            </w:r>
          </w:p>
          <w:p w14:paraId="17095FD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行灯或移动式灯具，不高于36V，并经安全隔离变压器供电；</w:t>
            </w:r>
          </w:p>
          <w:p w14:paraId="52614DA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在金属容器内或潮湿地点作业时，不高于12V。</w:t>
            </w:r>
          </w:p>
        </w:tc>
        <w:tc>
          <w:tcPr>
            <w:tcW w:w="1080" w:type="dxa"/>
            <w:shd w:val="clear" w:color="auto" w:fill="auto"/>
            <w:vAlign w:val="center"/>
          </w:tcPr>
          <w:p w14:paraId="4AFF8E2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214C60A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5.6.3.2</w:t>
            </w:r>
          </w:p>
        </w:tc>
        <w:tc>
          <w:tcPr>
            <w:tcW w:w="840" w:type="dxa"/>
            <w:shd w:val="clear" w:color="auto" w:fill="auto"/>
            <w:vAlign w:val="center"/>
          </w:tcPr>
          <w:p w14:paraId="0E09F27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734" w:type="dxa"/>
            <w:shd w:val="clear" w:color="auto" w:fill="auto"/>
            <w:vAlign w:val="center"/>
          </w:tcPr>
          <w:p w14:paraId="7A62472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符合</w:t>
            </w:r>
          </w:p>
        </w:tc>
        <w:tc>
          <w:tcPr>
            <w:tcW w:w="727" w:type="dxa"/>
            <w:shd w:val="clear" w:color="auto" w:fill="auto"/>
            <w:vAlign w:val="center"/>
          </w:tcPr>
          <w:p w14:paraId="5E8CBCC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6</w:t>
            </w:r>
          </w:p>
        </w:tc>
        <w:tc>
          <w:tcPr>
            <w:tcW w:w="809" w:type="dxa"/>
            <w:shd w:val="clear" w:color="auto" w:fill="auto"/>
            <w:vAlign w:val="center"/>
          </w:tcPr>
          <w:p w14:paraId="5892183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1项不符合扣2分</w:t>
            </w:r>
          </w:p>
        </w:tc>
        <w:tc>
          <w:tcPr>
            <w:tcW w:w="633" w:type="dxa"/>
            <w:shd w:val="clear" w:color="auto" w:fill="auto"/>
            <w:vAlign w:val="center"/>
          </w:tcPr>
          <w:p w14:paraId="5594532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6</w:t>
            </w:r>
          </w:p>
        </w:tc>
      </w:tr>
      <w:tr w14:paraId="48E9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8" w:hRule="atLeast"/>
          <w:jc w:val="center"/>
        </w:trPr>
        <w:tc>
          <w:tcPr>
            <w:tcW w:w="830" w:type="dxa"/>
            <w:vMerge w:val="continue"/>
            <w:shd w:val="clear" w:color="auto" w:fill="auto"/>
            <w:vAlign w:val="center"/>
          </w:tcPr>
          <w:p w14:paraId="2B48791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3635" w:type="dxa"/>
            <w:shd w:val="clear" w:color="auto" w:fill="auto"/>
            <w:vAlign w:val="center"/>
          </w:tcPr>
          <w:p w14:paraId="4A37642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4</w:t>
            </w:r>
            <w:r>
              <w:rPr>
                <w:rFonts w:hint="default" w:ascii="Times New Roman" w:hAnsi="Times New Roman" w:eastAsia="宋体" w:cs="Times New Roman"/>
                <w:color w:val="auto"/>
                <w:kern w:val="2"/>
                <w:sz w:val="21"/>
                <w:szCs w:val="21"/>
                <w:vertAlign w:val="baseline"/>
                <w:lang w:val="en-US" w:eastAsia="zh-CN" w:bidi="ar-SA"/>
              </w:rPr>
              <w:t>.3 下列场所应设置应急照明：</w:t>
            </w:r>
          </w:p>
          <w:p w14:paraId="3760C21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变配电所；</w:t>
            </w:r>
          </w:p>
          <w:p w14:paraId="408D741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监控室、生产调度室、通信站和网络中心；</w:t>
            </w:r>
          </w:p>
          <w:p w14:paraId="480ABFB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矿山救护值班室。</w:t>
            </w:r>
          </w:p>
        </w:tc>
        <w:tc>
          <w:tcPr>
            <w:tcW w:w="1080" w:type="dxa"/>
            <w:shd w:val="clear" w:color="auto" w:fill="auto"/>
            <w:vAlign w:val="center"/>
          </w:tcPr>
          <w:p w14:paraId="0ADA2EC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398F19B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5.6.3.3</w:t>
            </w:r>
          </w:p>
        </w:tc>
        <w:tc>
          <w:tcPr>
            <w:tcW w:w="840" w:type="dxa"/>
            <w:shd w:val="clear" w:color="auto" w:fill="auto"/>
            <w:vAlign w:val="center"/>
          </w:tcPr>
          <w:p w14:paraId="06C3BA8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734" w:type="dxa"/>
            <w:shd w:val="clear" w:color="auto" w:fill="auto"/>
            <w:vAlign w:val="center"/>
          </w:tcPr>
          <w:p w14:paraId="17D5893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符合</w:t>
            </w:r>
          </w:p>
        </w:tc>
        <w:tc>
          <w:tcPr>
            <w:tcW w:w="727" w:type="dxa"/>
            <w:shd w:val="clear" w:color="auto" w:fill="auto"/>
            <w:vAlign w:val="center"/>
          </w:tcPr>
          <w:p w14:paraId="6BEEAA6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6</w:t>
            </w:r>
          </w:p>
        </w:tc>
        <w:tc>
          <w:tcPr>
            <w:tcW w:w="809" w:type="dxa"/>
            <w:shd w:val="clear" w:color="auto" w:fill="auto"/>
            <w:vAlign w:val="center"/>
          </w:tcPr>
          <w:p w14:paraId="77C0CDC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1项不符合扣2分</w:t>
            </w:r>
          </w:p>
        </w:tc>
        <w:tc>
          <w:tcPr>
            <w:tcW w:w="633" w:type="dxa"/>
            <w:shd w:val="clear" w:color="auto" w:fill="auto"/>
            <w:vAlign w:val="center"/>
          </w:tcPr>
          <w:p w14:paraId="7EB57BA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6</w:t>
            </w:r>
          </w:p>
        </w:tc>
      </w:tr>
      <w:tr w14:paraId="1C10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830" w:type="dxa"/>
            <w:vMerge w:val="continue"/>
            <w:shd w:val="clear" w:color="auto" w:fill="auto"/>
            <w:vAlign w:val="center"/>
          </w:tcPr>
          <w:p w14:paraId="3074BD6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3635" w:type="dxa"/>
            <w:shd w:val="clear" w:color="auto" w:fill="auto"/>
            <w:vAlign w:val="center"/>
          </w:tcPr>
          <w:p w14:paraId="36F8E25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4</w:t>
            </w:r>
            <w:r>
              <w:rPr>
                <w:rFonts w:hint="default" w:ascii="Times New Roman" w:hAnsi="Times New Roman" w:eastAsia="宋体" w:cs="Times New Roman"/>
                <w:color w:val="auto"/>
                <w:kern w:val="2"/>
                <w:sz w:val="21"/>
                <w:szCs w:val="21"/>
                <w:vertAlign w:val="baseline"/>
                <w:lang w:val="en-US" w:eastAsia="zh-CN" w:bidi="ar-SA"/>
              </w:rPr>
              <w:t>.4 移动式非架空照明线路应采用橡套软电缆。</w:t>
            </w:r>
          </w:p>
        </w:tc>
        <w:tc>
          <w:tcPr>
            <w:tcW w:w="1080" w:type="dxa"/>
            <w:shd w:val="clear" w:color="auto" w:fill="auto"/>
            <w:vAlign w:val="center"/>
          </w:tcPr>
          <w:p w14:paraId="25CE0DD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350B322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5.6.3.4</w:t>
            </w:r>
          </w:p>
        </w:tc>
        <w:tc>
          <w:tcPr>
            <w:tcW w:w="840" w:type="dxa"/>
            <w:shd w:val="clear" w:color="auto" w:fill="auto"/>
            <w:vAlign w:val="center"/>
          </w:tcPr>
          <w:p w14:paraId="582A857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734" w:type="dxa"/>
            <w:shd w:val="clear" w:color="auto" w:fill="auto"/>
            <w:vAlign w:val="center"/>
          </w:tcPr>
          <w:p w14:paraId="7D4EC6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符合</w:t>
            </w:r>
          </w:p>
        </w:tc>
        <w:tc>
          <w:tcPr>
            <w:tcW w:w="727" w:type="dxa"/>
            <w:shd w:val="clear" w:color="auto" w:fill="auto"/>
            <w:vAlign w:val="center"/>
          </w:tcPr>
          <w:p w14:paraId="4FE7853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c>
          <w:tcPr>
            <w:tcW w:w="809" w:type="dxa"/>
            <w:shd w:val="clear" w:color="auto" w:fill="auto"/>
            <w:vAlign w:val="center"/>
          </w:tcPr>
          <w:p w14:paraId="06574D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不符合不得分</w:t>
            </w:r>
          </w:p>
        </w:tc>
        <w:tc>
          <w:tcPr>
            <w:tcW w:w="633" w:type="dxa"/>
            <w:shd w:val="clear" w:color="auto" w:fill="auto"/>
            <w:vAlign w:val="center"/>
          </w:tcPr>
          <w:p w14:paraId="57AE2A4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w:t>
            </w:r>
          </w:p>
        </w:tc>
      </w:tr>
      <w:tr w14:paraId="54EF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4" w:hRule="atLeast"/>
          <w:jc w:val="center"/>
        </w:trPr>
        <w:tc>
          <w:tcPr>
            <w:tcW w:w="830" w:type="dxa"/>
            <w:vMerge w:val="restart"/>
            <w:shd w:val="clear" w:color="auto" w:fill="auto"/>
            <w:vAlign w:val="center"/>
          </w:tcPr>
          <w:p w14:paraId="249B1F2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5. 运行检查和维修</w:t>
            </w:r>
          </w:p>
        </w:tc>
        <w:tc>
          <w:tcPr>
            <w:tcW w:w="3635" w:type="dxa"/>
            <w:shd w:val="clear" w:color="auto" w:fill="auto"/>
            <w:vAlign w:val="center"/>
          </w:tcPr>
          <w:p w14:paraId="6CFA7A0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5</w:t>
            </w:r>
            <w:r>
              <w:rPr>
                <w:rFonts w:hint="default" w:ascii="Times New Roman" w:hAnsi="Times New Roman" w:eastAsia="宋体" w:cs="Times New Roman"/>
                <w:color w:val="auto"/>
                <w:kern w:val="2"/>
                <w:sz w:val="21"/>
                <w:szCs w:val="21"/>
                <w:vertAlign w:val="baseline"/>
                <w:lang w:val="en-US" w:eastAsia="zh-CN" w:bidi="ar-SA"/>
              </w:rPr>
              <w:t>.1 矿山应建立电气作业安全制度，规定工作票、工作许可、监护、间断、转移和终结等工作程序。停电检修时，所有已切断的电源的开关把手均应加锁，并验电、放电、将线路接地，悬挂</w:t>
            </w:r>
            <w:r>
              <w:rPr>
                <w:rFonts w:hint="eastAsia" w:ascii="宋体" w:hAnsi="宋体" w:eastAsia="宋体" w:cs="宋体"/>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有人作业，禁止送电</w:t>
            </w:r>
            <w:r>
              <w:rPr>
                <w:rFonts w:hint="eastAsia" w:ascii="宋体" w:hAnsi="宋体" w:eastAsia="宋体" w:cs="宋体"/>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的警示牌。</w:t>
            </w:r>
          </w:p>
        </w:tc>
        <w:tc>
          <w:tcPr>
            <w:tcW w:w="1080" w:type="dxa"/>
            <w:shd w:val="clear" w:color="auto" w:fill="auto"/>
            <w:vAlign w:val="center"/>
          </w:tcPr>
          <w:p w14:paraId="3B53D37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GB16423-2020</w:t>
            </w:r>
          </w:p>
          <w:p w14:paraId="6ED0297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5.6.5.1</w:t>
            </w:r>
          </w:p>
        </w:tc>
        <w:tc>
          <w:tcPr>
            <w:tcW w:w="840" w:type="dxa"/>
            <w:shd w:val="clear" w:color="auto" w:fill="auto"/>
            <w:vAlign w:val="center"/>
          </w:tcPr>
          <w:p w14:paraId="07AA1C4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查阅制度</w:t>
            </w:r>
            <w:r>
              <w:rPr>
                <w:rFonts w:hint="eastAsia" w:cs="Times New Roman"/>
                <w:color w:val="auto"/>
                <w:kern w:val="2"/>
                <w:sz w:val="21"/>
                <w:szCs w:val="21"/>
                <w:vertAlign w:val="baseline"/>
                <w:lang w:val="en-US" w:eastAsia="zh-CN" w:bidi="ar-SA"/>
              </w:rPr>
              <w:t>现场检查</w:t>
            </w:r>
          </w:p>
        </w:tc>
        <w:tc>
          <w:tcPr>
            <w:tcW w:w="734" w:type="dxa"/>
            <w:shd w:val="clear" w:color="auto" w:fill="auto"/>
            <w:vAlign w:val="center"/>
          </w:tcPr>
          <w:p w14:paraId="06F9C68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未建立电气作业安全制度</w:t>
            </w:r>
          </w:p>
        </w:tc>
        <w:tc>
          <w:tcPr>
            <w:tcW w:w="727" w:type="dxa"/>
            <w:shd w:val="clear" w:color="auto" w:fill="auto"/>
            <w:vAlign w:val="center"/>
          </w:tcPr>
          <w:p w14:paraId="732E42A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4</w:t>
            </w:r>
          </w:p>
        </w:tc>
        <w:tc>
          <w:tcPr>
            <w:tcW w:w="809" w:type="dxa"/>
            <w:shd w:val="clear" w:color="auto" w:fill="auto"/>
            <w:vAlign w:val="center"/>
          </w:tcPr>
          <w:p w14:paraId="2CBBF33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不符合</w:t>
            </w:r>
            <w:r>
              <w:rPr>
                <w:rFonts w:hint="eastAsia" w:cs="Times New Roman"/>
                <w:color w:val="auto"/>
                <w:kern w:val="2"/>
                <w:sz w:val="21"/>
                <w:szCs w:val="21"/>
                <w:vertAlign w:val="baseline"/>
                <w:lang w:val="en-US" w:eastAsia="zh-CN" w:bidi="ar-SA"/>
              </w:rPr>
              <w:t>不得分不完善扣2分</w:t>
            </w:r>
          </w:p>
        </w:tc>
        <w:tc>
          <w:tcPr>
            <w:tcW w:w="633" w:type="dxa"/>
            <w:shd w:val="clear" w:color="auto" w:fill="auto"/>
            <w:vAlign w:val="center"/>
          </w:tcPr>
          <w:p w14:paraId="620C364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0</w:t>
            </w:r>
          </w:p>
        </w:tc>
      </w:tr>
      <w:tr w14:paraId="3600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vMerge w:val="continue"/>
            <w:shd w:val="clear" w:color="auto" w:fill="auto"/>
            <w:vAlign w:val="center"/>
          </w:tcPr>
          <w:p w14:paraId="6D8B19F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3635" w:type="dxa"/>
            <w:shd w:val="clear" w:color="auto" w:fill="auto"/>
            <w:vAlign w:val="center"/>
          </w:tcPr>
          <w:p w14:paraId="700930D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5</w:t>
            </w:r>
            <w:r>
              <w:rPr>
                <w:rFonts w:hint="default" w:ascii="Times New Roman" w:hAnsi="Times New Roman" w:eastAsia="宋体" w:cs="Times New Roman"/>
                <w:color w:val="auto"/>
                <w:kern w:val="2"/>
                <w:sz w:val="21"/>
                <w:szCs w:val="21"/>
                <w:vertAlign w:val="baseline"/>
                <w:lang w:val="en-US" w:eastAsia="zh-CN" w:bidi="ar-SA"/>
              </w:rPr>
              <w:t>.2 电气室内的各种电气设备控制装置上应注明编号和用途，并有停送电标志；电气室入口应悬挂</w:t>
            </w:r>
            <w:r>
              <w:rPr>
                <w:rFonts w:hint="eastAsia" w:ascii="宋体" w:hAnsi="宋体" w:eastAsia="宋体" w:cs="宋体"/>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非工作人员禁止入内</w:t>
            </w:r>
            <w:r>
              <w:rPr>
                <w:rFonts w:hint="eastAsia" w:ascii="宋体" w:hAnsi="宋体" w:eastAsia="宋体" w:cs="宋体"/>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的标志牌，高压电气设备应悬挂</w:t>
            </w:r>
            <w:r>
              <w:rPr>
                <w:rFonts w:hint="eastAsia" w:ascii="宋体" w:hAnsi="宋体" w:eastAsia="宋体" w:cs="宋体"/>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高压危险</w:t>
            </w:r>
            <w:r>
              <w:rPr>
                <w:rFonts w:hint="eastAsia" w:ascii="宋体" w:hAnsi="宋体" w:eastAsia="宋体" w:cs="宋体"/>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的标志牌，并应有照明。</w:t>
            </w:r>
          </w:p>
        </w:tc>
        <w:tc>
          <w:tcPr>
            <w:tcW w:w="1080" w:type="dxa"/>
            <w:shd w:val="clear" w:color="auto" w:fill="auto"/>
            <w:vAlign w:val="center"/>
          </w:tcPr>
          <w:p w14:paraId="6132E58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GB16423-2020</w:t>
            </w:r>
          </w:p>
          <w:p w14:paraId="374741E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5.6.5.3</w:t>
            </w:r>
          </w:p>
        </w:tc>
        <w:tc>
          <w:tcPr>
            <w:tcW w:w="840" w:type="dxa"/>
            <w:shd w:val="clear" w:color="auto" w:fill="auto"/>
            <w:vAlign w:val="center"/>
          </w:tcPr>
          <w:p w14:paraId="0A3C737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现场检查</w:t>
            </w:r>
          </w:p>
        </w:tc>
        <w:tc>
          <w:tcPr>
            <w:tcW w:w="734" w:type="dxa"/>
            <w:shd w:val="clear" w:color="auto" w:fill="auto"/>
            <w:vAlign w:val="center"/>
          </w:tcPr>
          <w:p w14:paraId="71CCD19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符合</w:t>
            </w:r>
          </w:p>
        </w:tc>
        <w:tc>
          <w:tcPr>
            <w:tcW w:w="727" w:type="dxa"/>
            <w:shd w:val="clear" w:color="auto" w:fill="auto"/>
            <w:vAlign w:val="center"/>
          </w:tcPr>
          <w:p w14:paraId="469CFD3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4</w:t>
            </w:r>
          </w:p>
        </w:tc>
        <w:tc>
          <w:tcPr>
            <w:tcW w:w="809" w:type="dxa"/>
            <w:shd w:val="clear" w:color="auto" w:fill="auto"/>
            <w:vAlign w:val="center"/>
          </w:tcPr>
          <w:p w14:paraId="008B517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1项不符合扣</w:t>
            </w:r>
            <w:r>
              <w:rPr>
                <w:rFonts w:hint="eastAsia" w:cs="Times New Roman"/>
                <w:color w:val="auto"/>
                <w:kern w:val="2"/>
                <w:sz w:val="21"/>
                <w:szCs w:val="21"/>
                <w:vertAlign w:val="baseline"/>
                <w:lang w:val="en-US" w:eastAsia="zh-CN" w:bidi="ar-SA"/>
              </w:rPr>
              <w:t>2</w:t>
            </w:r>
            <w:r>
              <w:rPr>
                <w:rFonts w:hint="eastAsia" w:ascii="Times New Roman" w:hAnsi="Times New Roman" w:eastAsia="宋体" w:cs="Times New Roman"/>
                <w:color w:val="auto"/>
                <w:kern w:val="2"/>
                <w:sz w:val="21"/>
                <w:szCs w:val="21"/>
                <w:vertAlign w:val="baseline"/>
                <w:lang w:val="en-US" w:eastAsia="zh-CN" w:bidi="ar-SA"/>
              </w:rPr>
              <w:t>分</w:t>
            </w:r>
          </w:p>
        </w:tc>
        <w:tc>
          <w:tcPr>
            <w:tcW w:w="633" w:type="dxa"/>
            <w:shd w:val="clear" w:color="auto" w:fill="auto"/>
            <w:vAlign w:val="center"/>
          </w:tcPr>
          <w:p w14:paraId="491B652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4</w:t>
            </w:r>
          </w:p>
        </w:tc>
      </w:tr>
      <w:tr w14:paraId="3F92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shd w:val="clear" w:color="auto" w:fill="auto"/>
            <w:vAlign w:val="center"/>
          </w:tcPr>
          <w:p w14:paraId="12EE0C9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小计</w:t>
            </w:r>
          </w:p>
        </w:tc>
        <w:tc>
          <w:tcPr>
            <w:tcW w:w="3635" w:type="dxa"/>
            <w:shd w:val="clear" w:color="auto" w:fill="auto"/>
            <w:vAlign w:val="center"/>
          </w:tcPr>
          <w:p w14:paraId="3915863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p>
        </w:tc>
        <w:tc>
          <w:tcPr>
            <w:tcW w:w="1080" w:type="dxa"/>
            <w:shd w:val="clear" w:color="auto" w:fill="auto"/>
            <w:vAlign w:val="center"/>
          </w:tcPr>
          <w:p w14:paraId="577592E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840" w:type="dxa"/>
            <w:shd w:val="clear" w:color="auto" w:fill="auto"/>
            <w:vAlign w:val="center"/>
          </w:tcPr>
          <w:p w14:paraId="2891292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734" w:type="dxa"/>
            <w:shd w:val="clear" w:color="auto" w:fill="auto"/>
            <w:vAlign w:val="center"/>
          </w:tcPr>
          <w:p w14:paraId="44126F1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727" w:type="dxa"/>
            <w:shd w:val="clear" w:color="auto" w:fill="auto"/>
            <w:vAlign w:val="center"/>
          </w:tcPr>
          <w:p w14:paraId="35FF07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53</w:t>
            </w:r>
          </w:p>
        </w:tc>
        <w:tc>
          <w:tcPr>
            <w:tcW w:w="809" w:type="dxa"/>
            <w:shd w:val="clear" w:color="auto" w:fill="auto"/>
            <w:vAlign w:val="center"/>
          </w:tcPr>
          <w:p w14:paraId="7C5EBA2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vertAlign w:val="baseline"/>
                <w:lang w:val="en-US" w:eastAsia="zh-CN" w:bidi="ar-SA"/>
              </w:rPr>
            </w:pPr>
          </w:p>
        </w:tc>
        <w:tc>
          <w:tcPr>
            <w:tcW w:w="633" w:type="dxa"/>
            <w:shd w:val="clear" w:color="auto" w:fill="auto"/>
            <w:vAlign w:val="center"/>
          </w:tcPr>
          <w:p w14:paraId="4C94A5A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49</w:t>
            </w:r>
          </w:p>
        </w:tc>
      </w:tr>
    </w:tbl>
    <w:p w14:paraId="26D98DB3">
      <w:pPr>
        <w:pStyle w:val="4"/>
        <w:bidi w:val="0"/>
        <w:rPr>
          <w:rFonts w:hint="default"/>
          <w:color w:val="auto"/>
          <w:lang w:val="en-US" w:eastAsia="zh-CN"/>
        </w:rPr>
      </w:pPr>
      <w:bookmarkStart w:id="510" w:name="_Toc15352"/>
      <w:bookmarkStart w:id="511" w:name="_Toc675"/>
      <w:bookmarkStart w:id="512" w:name="_Toc30937"/>
      <w:bookmarkStart w:id="513" w:name="_Toc13958"/>
      <w:bookmarkStart w:id="514" w:name="_Toc28567"/>
      <w:bookmarkStart w:id="515" w:name="_Toc24622"/>
      <w:r>
        <w:rPr>
          <w:rFonts w:hint="eastAsia"/>
          <w:color w:val="auto"/>
          <w:lang w:val="en-US" w:eastAsia="zh-CN"/>
        </w:rPr>
        <w:t>5.4.2 评价小结</w:t>
      </w:r>
      <w:bookmarkEnd w:id="510"/>
      <w:bookmarkEnd w:id="511"/>
      <w:bookmarkEnd w:id="512"/>
      <w:bookmarkEnd w:id="513"/>
      <w:bookmarkEnd w:id="514"/>
      <w:bookmarkEnd w:id="515"/>
    </w:p>
    <w:p w14:paraId="3FE7AF81">
      <w:pPr>
        <w:bidi w:val="0"/>
        <w:rPr>
          <w:rFonts w:hint="default"/>
          <w:color w:val="auto"/>
          <w:lang w:val="en-US" w:eastAsia="zh-CN"/>
        </w:rPr>
      </w:pPr>
      <w:r>
        <w:rPr>
          <w:rFonts w:hint="eastAsia"/>
          <w:color w:val="auto"/>
          <w:lang w:val="en-US" w:eastAsia="zh-CN"/>
        </w:rPr>
        <w:t>鄱阳县响水滩乡禾互山建筑用石料矿</w:t>
      </w:r>
      <w:r>
        <w:rPr>
          <w:rFonts w:hint="default"/>
          <w:color w:val="auto"/>
          <w:lang w:val="en-US" w:eastAsia="zh-CN"/>
        </w:rPr>
        <w:t>供配电设施单元</w:t>
      </w:r>
      <w:r>
        <w:rPr>
          <w:rFonts w:hint="eastAsia"/>
          <w:color w:val="auto"/>
          <w:lang w:val="en-US" w:eastAsia="zh-CN"/>
        </w:rPr>
        <w:t>安全</w:t>
      </w:r>
      <w:r>
        <w:rPr>
          <w:rFonts w:hint="default"/>
          <w:color w:val="auto"/>
          <w:lang w:val="en-US" w:eastAsia="zh-CN"/>
        </w:rPr>
        <w:t>检查表中无否决项，一般项总分</w:t>
      </w:r>
      <w:r>
        <w:rPr>
          <w:rFonts w:hint="eastAsia"/>
          <w:color w:val="auto"/>
          <w:lang w:val="en-US" w:eastAsia="zh-CN"/>
        </w:rPr>
        <w:t>53</w:t>
      </w:r>
      <w:r>
        <w:rPr>
          <w:rFonts w:hint="default"/>
          <w:color w:val="auto"/>
          <w:lang w:val="en-US" w:eastAsia="zh-CN"/>
        </w:rPr>
        <w:t>分</w:t>
      </w:r>
      <w:r>
        <w:rPr>
          <w:rFonts w:hint="eastAsia"/>
          <w:color w:val="auto"/>
          <w:lang w:val="en-US" w:eastAsia="zh-CN"/>
        </w:rPr>
        <w:t>，得分49</w:t>
      </w:r>
      <w:r>
        <w:rPr>
          <w:rFonts w:hint="default"/>
          <w:color w:val="auto"/>
          <w:lang w:val="en-US" w:eastAsia="zh-CN"/>
        </w:rPr>
        <w:t>分，得分率为</w:t>
      </w:r>
      <w:r>
        <w:rPr>
          <w:rFonts w:hint="eastAsia"/>
          <w:color w:val="auto"/>
          <w:lang w:val="en-US" w:eastAsia="zh-CN"/>
        </w:rPr>
        <w:t>92.45</w:t>
      </w:r>
      <w:r>
        <w:rPr>
          <w:rFonts w:hint="default"/>
          <w:color w:val="auto"/>
          <w:lang w:val="en-US" w:eastAsia="zh-CN"/>
        </w:rPr>
        <w:t>%，说明</w:t>
      </w:r>
      <w:r>
        <w:rPr>
          <w:rFonts w:hint="eastAsia"/>
          <w:color w:val="auto"/>
          <w:lang w:val="en-US" w:eastAsia="zh-CN"/>
        </w:rPr>
        <w:t>鄱阳县响水滩乡禾互山建筑用石料矿</w:t>
      </w:r>
      <w:r>
        <w:rPr>
          <w:rFonts w:hint="default"/>
          <w:color w:val="auto"/>
          <w:lang w:val="en-US" w:eastAsia="zh-CN"/>
        </w:rPr>
        <w:t>供配电设施单元具备安全生产条件。</w:t>
      </w:r>
    </w:p>
    <w:p w14:paraId="13E771D0">
      <w:pPr>
        <w:bidi w:val="0"/>
        <w:rPr>
          <w:rFonts w:hint="default"/>
          <w:color w:val="auto"/>
          <w:lang w:val="en-US" w:eastAsia="zh-CN"/>
        </w:rPr>
      </w:pPr>
      <w:r>
        <w:rPr>
          <w:rFonts w:hint="default"/>
          <w:color w:val="auto"/>
          <w:lang w:val="en-US" w:eastAsia="zh-CN"/>
        </w:rPr>
        <w:t>存在的主要问题</w:t>
      </w:r>
      <w:r>
        <w:rPr>
          <w:rFonts w:hint="eastAsia"/>
          <w:color w:val="auto"/>
          <w:lang w:val="en-US" w:eastAsia="zh-CN"/>
        </w:rPr>
        <w:t>：1</w:t>
      </w:r>
      <w:r>
        <w:rPr>
          <w:rFonts w:hint="eastAsia" w:ascii="宋体" w:hAnsi="宋体" w:eastAsia="宋体" w:cs="宋体"/>
          <w:color w:val="auto"/>
          <w:lang w:val="en-US" w:eastAsia="zh-CN"/>
        </w:rPr>
        <w:t>）</w:t>
      </w:r>
      <w:r>
        <w:rPr>
          <w:rFonts w:hint="default"/>
          <w:color w:val="auto"/>
          <w:lang w:val="en-US" w:eastAsia="zh-CN"/>
        </w:rPr>
        <w:t>未建立电气作业安全制度。</w:t>
      </w:r>
    </w:p>
    <w:p w14:paraId="779E41D2">
      <w:pPr>
        <w:pStyle w:val="3"/>
        <w:bidi w:val="0"/>
        <w:rPr>
          <w:rFonts w:hint="default"/>
          <w:color w:val="auto"/>
          <w:lang w:val="en-US" w:eastAsia="zh-CN"/>
        </w:rPr>
      </w:pPr>
      <w:bookmarkStart w:id="516" w:name="_Toc3529"/>
      <w:bookmarkStart w:id="517" w:name="_Toc7286"/>
      <w:bookmarkStart w:id="518" w:name="_Toc32224"/>
      <w:bookmarkStart w:id="519" w:name="_Toc28628"/>
      <w:bookmarkStart w:id="520" w:name="_Toc5623"/>
      <w:bookmarkStart w:id="521" w:name="_Toc5709"/>
      <w:r>
        <w:rPr>
          <w:rFonts w:hint="eastAsia"/>
          <w:color w:val="auto"/>
          <w:lang w:val="en-US" w:eastAsia="zh-CN"/>
        </w:rPr>
        <w:t>5.5 防排水单元</w:t>
      </w:r>
      <w:bookmarkEnd w:id="516"/>
      <w:bookmarkEnd w:id="517"/>
      <w:bookmarkEnd w:id="518"/>
      <w:bookmarkEnd w:id="519"/>
      <w:bookmarkEnd w:id="520"/>
      <w:bookmarkEnd w:id="521"/>
    </w:p>
    <w:p w14:paraId="6AF09323">
      <w:pPr>
        <w:pStyle w:val="4"/>
        <w:bidi w:val="0"/>
        <w:rPr>
          <w:rFonts w:hint="default"/>
          <w:color w:val="auto"/>
          <w:lang w:val="en-US" w:eastAsia="zh-CN"/>
        </w:rPr>
      </w:pPr>
      <w:bookmarkStart w:id="522" w:name="_Toc19372"/>
      <w:bookmarkStart w:id="523" w:name="_Toc31415"/>
      <w:bookmarkStart w:id="524" w:name="_Toc5450"/>
      <w:bookmarkStart w:id="525" w:name="_Toc1457"/>
      <w:bookmarkStart w:id="526" w:name="_Toc26734"/>
      <w:bookmarkStart w:id="527" w:name="_Toc10255"/>
      <w:r>
        <w:rPr>
          <w:rFonts w:hint="eastAsia"/>
          <w:color w:val="auto"/>
          <w:lang w:val="en-US" w:eastAsia="zh-CN"/>
        </w:rPr>
        <w:t>5.5.1 防排水安全检查表</w:t>
      </w:r>
      <w:bookmarkEnd w:id="522"/>
      <w:bookmarkEnd w:id="523"/>
      <w:bookmarkEnd w:id="524"/>
      <w:bookmarkEnd w:id="525"/>
      <w:bookmarkEnd w:id="526"/>
      <w:bookmarkEnd w:id="527"/>
    </w:p>
    <w:p w14:paraId="2D7DC325">
      <w:pPr>
        <w:rPr>
          <w:rFonts w:hint="default"/>
          <w:color w:val="auto"/>
          <w:lang w:val="en-US" w:eastAsia="zh-CN"/>
        </w:rPr>
      </w:pPr>
      <w:r>
        <w:rPr>
          <w:rFonts w:hint="default"/>
          <w:color w:val="auto"/>
          <w:lang w:val="en-US" w:eastAsia="zh-CN"/>
        </w:rPr>
        <w:t>防排水安全检查表见表5.</w:t>
      </w:r>
      <w:r>
        <w:rPr>
          <w:rFonts w:hint="eastAsia"/>
          <w:color w:val="auto"/>
          <w:lang w:val="en-US" w:eastAsia="zh-CN"/>
        </w:rPr>
        <w:t>5</w:t>
      </w:r>
      <w:r>
        <w:rPr>
          <w:rFonts w:hint="default"/>
          <w:color w:val="auto"/>
          <w:lang w:val="en-US" w:eastAsia="zh-CN"/>
        </w:rPr>
        <w:t>-1。</w:t>
      </w:r>
    </w:p>
    <w:p w14:paraId="16362AC8">
      <w:pPr>
        <w:ind w:left="0" w:leftChars="0" w:firstLine="0" w:firstLineChars="0"/>
        <w:jc w:val="center"/>
        <w:rPr>
          <w:rFonts w:hint="eastAsia"/>
          <w:color w:val="auto"/>
          <w:lang w:val="en-US" w:eastAsia="zh-CN"/>
        </w:rPr>
      </w:pPr>
      <w:r>
        <w:rPr>
          <w:rFonts w:hint="default"/>
          <w:color w:val="auto"/>
          <w:lang w:val="en-US" w:eastAsia="zh-CN"/>
        </w:rPr>
        <w:t>表5.</w:t>
      </w:r>
      <w:r>
        <w:rPr>
          <w:rFonts w:hint="eastAsia"/>
          <w:color w:val="auto"/>
          <w:lang w:val="en-US" w:eastAsia="zh-CN"/>
        </w:rPr>
        <w:t>5</w:t>
      </w:r>
      <w:r>
        <w:rPr>
          <w:rFonts w:hint="default"/>
          <w:color w:val="auto"/>
          <w:lang w:val="en-US" w:eastAsia="zh-CN"/>
        </w:rPr>
        <w:t>-1</w:t>
      </w:r>
      <w:r>
        <w:rPr>
          <w:rFonts w:hint="eastAsia"/>
          <w:color w:val="auto"/>
          <w:lang w:val="en-US" w:eastAsia="zh-CN"/>
        </w:rPr>
        <w:t xml:space="preserve"> 防排水安全检查表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3000"/>
        <w:gridCol w:w="1511"/>
        <w:gridCol w:w="1073"/>
        <w:gridCol w:w="1108"/>
        <w:gridCol w:w="693"/>
        <w:gridCol w:w="681"/>
        <w:gridCol w:w="530"/>
      </w:tblGrid>
      <w:tr w14:paraId="3E9A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692" w:type="dxa"/>
            <w:vAlign w:val="center"/>
          </w:tcPr>
          <w:p w14:paraId="2BCA1C4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序号</w:t>
            </w:r>
          </w:p>
        </w:tc>
        <w:tc>
          <w:tcPr>
            <w:tcW w:w="3000" w:type="dxa"/>
            <w:vAlign w:val="center"/>
          </w:tcPr>
          <w:p w14:paraId="1C03410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检查内容</w:t>
            </w:r>
          </w:p>
        </w:tc>
        <w:tc>
          <w:tcPr>
            <w:tcW w:w="1511" w:type="dxa"/>
            <w:vAlign w:val="center"/>
          </w:tcPr>
          <w:p w14:paraId="2D897B6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检查依据</w:t>
            </w:r>
          </w:p>
        </w:tc>
        <w:tc>
          <w:tcPr>
            <w:tcW w:w="1073" w:type="dxa"/>
            <w:vAlign w:val="center"/>
          </w:tcPr>
          <w:p w14:paraId="6C22C02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检查方法及地点</w:t>
            </w:r>
          </w:p>
        </w:tc>
        <w:tc>
          <w:tcPr>
            <w:tcW w:w="1108" w:type="dxa"/>
            <w:vAlign w:val="center"/>
          </w:tcPr>
          <w:p w14:paraId="19572DF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检查</w:t>
            </w:r>
          </w:p>
          <w:p w14:paraId="3529CE1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记录</w:t>
            </w:r>
          </w:p>
        </w:tc>
        <w:tc>
          <w:tcPr>
            <w:tcW w:w="693" w:type="dxa"/>
            <w:vAlign w:val="center"/>
          </w:tcPr>
          <w:p w14:paraId="17A6BC2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标准</w:t>
            </w:r>
          </w:p>
          <w:p w14:paraId="479EFFD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分值</w:t>
            </w:r>
          </w:p>
        </w:tc>
        <w:tc>
          <w:tcPr>
            <w:tcW w:w="681" w:type="dxa"/>
            <w:vAlign w:val="center"/>
          </w:tcPr>
          <w:p w14:paraId="6A640FA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评分</w:t>
            </w:r>
          </w:p>
          <w:p w14:paraId="7179BF8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标准</w:t>
            </w:r>
          </w:p>
        </w:tc>
        <w:tc>
          <w:tcPr>
            <w:tcW w:w="530" w:type="dxa"/>
            <w:vAlign w:val="center"/>
          </w:tcPr>
          <w:p w14:paraId="15CB116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得分</w:t>
            </w:r>
          </w:p>
        </w:tc>
      </w:tr>
      <w:tr w14:paraId="44CA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1" w:hRule="atLeast"/>
          <w:jc w:val="center"/>
        </w:trPr>
        <w:tc>
          <w:tcPr>
            <w:tcW w:w="692" w:type="dxa"/>
            <w:vAlign w:val="center"/>
          </w:tcPr>
          <w:p w14:paraId="0149698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w:t>
            </w:r>
          </w:p>
        </w:tc>
        <w:tc>
          <w:tcPr>
            <w:tcW w:w="3000" w:type="dxa"/>
            <w:vAlign w:val="center"/>
          </w:tcPr>
          <w:p w14:paraId="30469A6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露天矿山应建立水文地质资料档案；有洪水或地下水威胁的应设置防、排水机构；水文地质条件复杂或有洪水淹没危险的应配备专职水文地质人员。</w:t>
            </w:r>
          </w:p>
        </w:tc>
        <w:tc>
          <w:tcPr>
            <w:tcW w:w="1511" w:type="dxa"/>
            <w:vAlign w:val="center"/>
          </w:tcPr>
          <w:p w14:paraId="63BA6D0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7A4E6CB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5.7.1.1</w:t>
            </w:r>
          </w:p>
        </w:tc>
        <w:tc>
          <w:tcPr>
            <w:tcW w:w="1073" w:type="dxa"/>
            <w:vAlign w:val="center"/>
          </w:tcPr>
          <w:p w14:paraId="629019D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对照设计</w:t>
            </w:r>
          </w:p>
          <w:p w14:paraId="6E782D4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检查现场</w:t>
            </w:r>
          </w:p>
        </w:tc>
        <w:tc>
          <w:tcPr>
            <w:tcW w:w="1108" w:type="dxa"/>
            <w:vAlign w:val="center"/>
          </w:tcPr>
          <w:p w14:paraId="3D2A843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已建立水文地质资料档案，无洪水或地下水威胁，水文地质条件简单</w:t>
            </w:r>
          </w:p>
        </w:tc>
        <w:tc>
          <w:tcPr>
            <w:tcW w:w="693" w:type="dxa"/>
            <w:vAlign w:val="center"/>
          </w:tcPr>
          <w:p w14:paraId="7ED1950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6</w:t>
            </w:r>
          </w:p>
        </w:tc>
        <w:tc>
          <w:tcPr>
            <w:tcW w:w="681" w:type="dxa"/>
            <w:vAlign w:val="center"/>
          </w:tcPr>
          <w:p w14:paraId="0096AE8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不符合不得分</w:t>
            </w:r>
          </w:p>
        </w:tc>
        <w:tc>
          <w:tcPr>
            <w:tcW w:w="530" w:type="dxa"/>
            <w:vAlign w:val="center"/>
          </w:tcPr>
          <w:p w14:paraId="4D2BB66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6</w:t>
            </w:r>
          </w:p>
        </w:tc>
      </w:tr>
      <w:tr w14:paraId="3930B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2" w:type="dxa"/>
            <w:vAlign w:val="center"/>
          </w:tcPr>
          <w:p w14:paraId="122B5AD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3000" w:type="dxa"/>
            <w:vAlign w:val="center"/>
          </w:tcPr>
          <w:p w14:paraId="6B51FE6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露天采场的总出入沟口、平硐口、排水井口和工业场地应不受洪水威胁。</w:t>
            </w:r>
          </w:p>
        </w:tc>
        <w:tc>
          <w:tcPr>
            <w:tcW w:w="1511" w:type="dxa"/>
            <w:vAlign w:val="center"/>
          </w:tcPr>
          <w:p w14:paraId="25B1DD6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021FC34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5.7.1.2</w:t>
            </w:r>
          </w:p>
        </w:tc>
        <w:tc>
          <w:tcPr>
            <w:tcW w:w="1073" w:type="dxa"/>
            <w:vAlign w:val="center"/>
          </w:tcPr>
          <w:p w14:paraId="45DAEF6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对照设计</w:t>
            </w:r>
          </w:p>
          <w:p w14:paraId="16BEFB8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检查现场</w:t>
            </w:r>
          </w:p>
        </w:tc>
        <w:tc>
          <w:tcPr>
            <w:tcW w:w="1108" w:type="dxa"/>
            <w:vAlign w:val="center"/>
          </w:tcPr>
          <w:p w14:paraId="0DA2573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区内最低侵蚀基准面标高+85</w:t>
            </w:r>
            <w:r>
              <w:rPr>
                <w:rFonts w:hint="default"/>
                <w:color w:val="auto"/>
                <w:sz w:val="21"/>
                <w:szCs w:val="21"/>
                <w:vertAlign w:val="baseline"/>
                <w:lang w:val="en-US" w:eastAsia="zh-CN"/>
              </w:rPr>
              <w:t>.00m</w:t>
            </w:r>
            <w:r>
              <w:rPr>
                <w:rFonts w:hint="eastAsia"/>
                <w:color w:val="auto"/>
                <w:sz w:val="21"/>
                <w:szCs w:val="21"/>
                <w:vertAlign w:val="baseline"/>
                <w:lang w:val="en-US" w:eastAsia="zh-CN"/>
              </w:rPr>
              <w:t>，不受洪水威胁</w:t>
            </w:r>
          </w:p>
        </w:tc>
        <w:tc>
          <w:tcPr>
            <w:tcW w:w="693" w:type="dxa"/>
            <w:vAlign w:val="center"/>
          </w:tcPr>
          <w:p w14:paraId="405A01C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6</w:t>
            </w:r>
          </w:p>
        </w:tc>
        <w:tc>
          <w:tcPr>
            <w:tcW w:w="681" w:type="dxa"/>
            <w:vAlign w:val="center"/>
          </w:tcPr>
          <w:p w14:paraId="0A29B2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不符合不得分</w:t>
            </w:r>
          </w:p>
        </w:tc>
        <w:tc>
          <w:tcPr>
            <w:tcW w:w="530" w:type="dxa"/>
            <w:vAlign w:val="center"/>
          </w:tcPr>
          <w:p w14:paraId="6BCCDE8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6</w:t>
            </w:r>
          </w:p>
        </w:tc>
      </w:tr>
      <w:tr w14:paraId="1579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6" w:hRule="atLeast"/>
          <w:jc w:val="center"/>
        </w:trPr>
        <w:tc>
          <w:tcPr>
            <w:tcW w:w="692" w:type="dxa"/>
            <w:vAlign w:val="center"/>
          </w:tcPr>
          <w:p w14:paraId="66F3265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w:t>
            </w:r>
          </w:p>
        </w:tc>
        <w:tc>
          <w:tcPr>
            <w:tcW w:w="3000" w:type="dxa"/>
            <w:vAlign w:val="center"/>
          </w:tcPr>
          <w:p w14:paraId="7A81132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露天矿山应采取下列措施证采场安全：</w:t>
            </w:r>
          </w:p>
          <w:p w14:paraId="44BCDC6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sz w:val="21"/>
                <w:szCs w:val="21"/>
                <w:vertAlign w:val="baseline"/>
                <w:lang w:val="en-US" w:eastAsia="zh-CN"/>
              </w:rPr>
            </w:pPr>
            <w:r>
              <w:rPr>
                <w:rFonts w:hint="default" w:ascii="Times New Roman" w:hAnsi="Times New Roman" w:eastAsia="宋体" w:cs="Times New Roman"/>
                <w:color w:val="auto"/>
                <w:kern w:val="2"/>
                <w:sz w:val="21"/>
                <w:szCs w:val="21"/>
                <w:vertAlign w:val="baseline"/>
                <w:lang w:val="en-US" w:eastAsia="zh-CN" w:bidi="ar-SA"/>
              </w:rPr>
              <w:t>1、</w:t>
            </w:r>
            <w:r>
              <w:rPr>
                <w:rFonts w:hint="default"/>
                <w:color w:val="auto"/>
                <w:sz w:val="21"/>
                <w:szCs w:val="21"/>
                <w:vertAlign w:val="baseline"/>
                <w:lang w:val="en-US" w:eastAsia="zh-CN"/>
              </w:rPr>
              <w:t>在采场边坡台阶设置排水沟；</w:t>
            </w:r>
          </w:p>
          <w:p w14:paraId="7F43EBB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2、地下水影响露天采场的安全生产时，应采取疏干等防治措施。</w:t>
            </w:r>
          </w:p>
        </w:tc>
        <w:tc>
          <w:tcPr>
            <w:tcW w:w="1511" w:type="dxa"/>
            <w:vAlign w:val="center"/>
          </w:tcPr>
          <w:p w14:paraId="277C925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068D3DA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5.7.1.3</w:t>
            </w:r>
          </w:p>
        </w:tc>
        <w:tc>
          <w:tcPr>
            <w:tcW w:w="1073" w:type="dxa"/>
            <w:vAlign w:val="center"/>
          </w:tcPr>
          <w:p w14:paraId="68C79D0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对照设计</w:t>
            </w:r>
          </w:p>
          <w:p w14:paraId="0B11BB7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检查现场</w:t>
            </w:r>
          </w:p>
        </w:tc>
        <w:tc>
          <w:tcPr>
            <w:tcW w:w="1108" w:type="dxa"/>
            <w:vAlign w:val="center"/>
          </w:tcPr>
          <w:p w14:paraId="0A0A0EB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暂不涉及</w:t>
            </w:r>
          </w:p>
        </w:tc>
        <w:tc>
          <w:tcPr>
            <w:tcW w:w="693" w:type="dxa"/>
            <w:vAlign w:val="center"/>
          </w:tcPr>
          <w:p w14:paraId="4E48F17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4</w:t>
            </w:r>
          </w:p>
        </w:tc>
        <w:tc>
          <w:tcPr>
            <w:tcW w:w="681" w:type="dxa"/>
            <w:vAlign w:val="center"/>
          </w:tcPr>
          <w:p w14:paraId="09D46E6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ascii="Times New Roman" w:hAnsi="Times New Roman" w:eastAsia="宋体" w:cs="Times New Roman"/>
                <w:color w:val="auto"/>
                <w:kern w:val="2"/>
                <w:sz w:val="21"/>
                <w:szCs w:val="21"/>
                <w:vertAlign w:val="baseline"/>
                <w:lang w:val="en-US" w:eastAsia="zh-CN" w:bidi="ar-SA"/>
              </w:rPr>
              <w:t>1项不符合扣2分</w:t>
            </w:r>
          </w:p>
        </w:tc>
        <w:tc>
          <w:tcPr>
            <w:tcW w:w="530" w:type="dxa"/>
            <w:vAlign w:val="center"/>
          </w:tcPr>
          <w:p w14:paraId="248AD7D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w:t>
            </w:r>
          </w:p>
        </w:tc>
      </w:tr>
      <w:tr w14:paraId="4BED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2" w:type="dxa"/>
            <w:vAlign w:val="center"/>
          </w:tcPr>
          <w:p w14:paraId="51BB30E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4</w:t>
            </w:r>
          </w:p>
        </w:tc>
        <w:tc>
          <w:tcPr>
            <w:tcW w:w="3000" w:type="dxa"/>
            <w:vAlign w:val="center"/>
          </w:tcPr>
          <w:p w14:paraId="5A622A8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露天矿山应按照下列要求建立防排水系统：</w:t>
            </w:r>
          </w:p>
          <w:p w14:paraId="4151A91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sz w:val="21"/>
                <w:szCs w:val="21"/>
                <w:vertAlign w:val="baseline"/>
                <w:lang w:val="en-US" w:eastAsia="zh-CN"/>
              </w:rPr>
            </w:pPr>
            <w:r>
              <w:rPr>
                <w:rFonts w:hint="default" w:ascii="Times New Roman" w:hAnsi="Times New Roman" w:eastAsia="宋体" w:cs="Times New Roman"/>
                <w:color w:val="auto"/>
                <w:kern w:val="2"/>
                <w:sz w:val="21"/>
                <w:szCs w:val="21"/>
                <w:vertAlign w:val="baseline"/>
                <w:lang w:val="en-US" w:eastAsia="zh-CN" w:bidi="ar-SA"/>
              </w:rPr>
              <w:t>1、</w:t>
            </w:r>
            <w:r>
              <w:rPr>
                <w:rFonts w:hint="default"/>
                <w:color w:val="auto"/>
                <w:sz w:val="21"/>
                <w:szCs w:val="21"/>
                <w:vertAlign w:val="baseline"/>
                <w:lang w:val="en-US" w:eastAsia="zh-CN"/>
              </w:rPr>
              <w:t>受洪水威胁的露天采场应按设置地面防洪工程、</w:t>
            </w:r>
          </w:p>
          <w:p w14:paraId="4A2ED00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2、不具备自然外排条件的山坡露天矿，境界外应设截水沟排水；</w:t>
            </w:r>
          </w:p>
          <w:p w14:paraId="71E5774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3、凹陷露天矿坑应设机械排水或自流排水设施；</w:t>
            </w:r>
          </w:p>
          <w:p w14:paraId="4C4FB3D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4、遇设计防洪频率的暴雨时，最低台阶淹没时间不应超过7d，淹没前应撤出人员和重要设备。</w:t>
            </w:r>
          </w:p>
        </w:tc>
        <w:tc>
          <w:tcPr>
            <w:tcW w:w="1511" w:type="dxa"/>
            <w:vAlign w:val="center"/>
          </w:tcPr>
          <w:p w14:paraId="2A21FDE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5E0D0EF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5.7.1.4</w:t>
            </w:r>
          </w:p>
        </w:tc>
        <w:tc>
          <w:tcPr>
            <w:tcW w:w="1073" w:type="dxa"/>
            <w:vAlign w:val="center"/>
          </w:tcPr>
          <w:p w14:paraId="7D1AA18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对照设计</w:t>
            </w:r>
          </w:p>
          <w:p w14:paraId="076A1D8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检查现场</w:t>
            </w:r>
          </w:p>
        </w:tc>
        <w:tc>
          <w:tcPr>
            <w:tcW w:w="1108" w:type="dxa"/>
            <w:vAlign w:val="center"/>
          </w:tcPr>
          <w:p w14:paraId="4156A02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已设置截水沟排水沟</w:t>
            </w:r>
          </w:p>
        </w:tc>
        <w:tc>
          <w:tcPr>
            <w:tcW w:w="693" w:type="dxa"/>
            <w:vAlign w:val="center"/>
          </w:tcPr>
          <w:p w14:paraId="2445FF5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8</w:t>
            </w:r>
          </w:p>
        </w:tc>
        <w:tc>
          <w:tcPr>
            <w:tcW w:w="681" w:type="dxa"/>
            <w:vAlign w:val="center"/>
          </w:tcPr>
          <w:p w14:paraId="252FB47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1项不符合扣2分</w:t>
            </w:r>
          </w:p>
        </w:tc>
        <w:tc>
          <w:tcPr>
            <w:tcW w:w="530" w:type="dxa"/>
            <w:vAlign w:val="center"/>
          </w:tcPr>
          <w:p w14:paraId="23DFE66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8</w:t>
            </w:r>
          </w:p>
        </w:tc>
      </w:tr>
      <w:tr w14:paraId="5230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5" w:hRule="atLeast"/>
          <w:jc w:val="center"/>
        </w:trPr>
        <w:tc>
          <w:tcPr>
            <w:tcW w:w="692" w:type="dxa"/>
            <w:vAlign w:val="center"/>
          </w:tcPr>
          <w:p w14:paraId="7F4C4A0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w:t>
            </w:r>
          </w:p>
        </w:tc>
        <w:tc>
          <w:tcPr>
            <w:tcW w:w="3000" w:type="dxa"/>
            <w:vAlign w:val="center"/>
          </w:tcPr>
          <w:p w14:paraId="19DDD0A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机械排水设施应符合下列规定：</w:t>
            </w:r>
          </w:p>
          <w:p w14:paraId="52AD085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1、应设工作水泵和备用水泵；工作水泵就能在20h内排出一昼夜正常涌水量，全部水泵应能在20h内排出一昼夜的设计最大排水量；</w:t>
            </w:r>
          </w:p>
          <w:p w14:paraId="67DA97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2、应高性能工作排水管路和备用排水管路。工作排水管 路应能配合工作水泵在20h内排出一昼夜正常涌水量；全部排水管路应能配合工作水泵和备用水泵在20h内排出一昼夜正常涌水量。任意一条排水管路检修时，其他排水管路应能完成正常排水任务。</w:t>
            </w:r>
          </w:p>
        </w:tc>
        <w:tc>
          <w:tcPr>
            <w:tcW w:w="1511" w:type="dxa"/>
            <w:vAlign w:val="center"/>
          </w:tcPr>
          <w:p w14:paraId="735E51E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1BA5884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5.7.1.5</w:t>
            </w:r>
          </w:p>
        </w:tc>
        <w:tc>
          <w:tcPr>
            <w:tcW w:w="1073" w:type="dxa"/>
            <w:vAlign w:val="center"/>
          </w:tcPr>
          <w:p w14:paraId="1435AB1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对照设计</w:t>
            </w:r>
          </w:p>
          <w:p w14:paraId="03DA9A7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检查现场</w:t>
            </w:r>
          </w:p>
        </w:tc>
        <w:tc>
          <w:tcPr>
            <w:tcW w:w="1108" w:type="dxa"/>
            <w:vAlign w:val="center"/>
          </w:tcPr>
          <w:p w14:paraId="05B267F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不涉及</w:t>
            </w:r>
          </w:p>
        </w:tc>
        <w:tc>
          <w:tcPr>
            <w:tcW w:w="693" w:type="dxa"/>
            <w:vAlign w:val="center"/>
          </w:tcPr>
          <w:p w14:paraId="36C0626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4</w:t>
            </w:r>
          </w:p>
        </w:tc>
        <w:tc>
          <w:tcPr>
            <w:tcW w:w="681" w:type="dxa"/>
            <w:vAlign w:val="center"/>
          </w:tcPr>
          <w:p w14:paraId="56DC052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1项不符合扣2分</w:t>
            </w:r>
          </w:p>
        </w:tc>
        <w:tc>
          <w:tcPr>
            <w:tcW w:w="530" w:type="dxa"/>
            <w:vAlign w:val="center"/>
          </w:tcPr>
          <w:p w14:paraId="53D9401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r>
      <w:tr w14:paraId="6F86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692" w:type="dxa"/>
            <w:vAlign w:val="center"/>
          </w:tcPr>
          <w:p w14:paraId="22DDB19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小计</w:t>
            </w:r>
          </w:p>
        </w:tc>
        <w:tc>
          <w:tcPr>
            <w:tcW w:w="3000" w:type="dxa"/>
            <w:vAlign w:val="center"/>
          </w:tcPr>
          <w:p w14:paraId="3097CDB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color w:val="auto"/>
                <w:sz w:val="21"/>
                <w:szCs w:val="21"/>
                <w:vertAlign w:val="baseline"/>
                <w:lang w:val="en-US" w:eastAsia="zh-CN"/>
              </w:rPr>
            </w:pPr>
          </w:p>
        </w:tc>
        <w:tc>
          <w:tcPr>
            <w:tcW w:w="1511" w:type="dxa"/>
            <w:vAlign w:val="center"/>
          </w:tcPr>
          <w:p w14:paraId="54DDCC7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p>
        </w:tc>
        <w:tc>
          <w:tcPr>
            <w:tcW w:w="1073" w:type="dxa"/>
            <w:vAlign w:val="center"/>
          </w:tcPr>
          <w:p w14:paraId="560440A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p>
        </w:tc>
        <w:tc>
          <w:tcPr>
            <w:tcW w:w="1108" w:type="dxa"/>
            <w:vAlign w:val="center"/>
          </w:tcPr>
          <w:p w14:paraId="27DA999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p>
        </w:tc>
        <w:tc>
          <w:tcPr>
            <w:tcW w:w="693" w:type="dxa"/>
            <w:vAlign w:val="center"/>
          </w:tcPr>
          <w:p w14:paraId="0B7B59A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20</w:t>
            </w:r>
          </w:p>
        </w:tc>
        <w:tc>
          <w:tcPr>
            <w:tcW w:w="681" w:type="dxa"/>
            <w:vAlign w:val="center"/>
          </w:tcPr>
          <w:p w14:paraId="6013C58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vertAlign w:val="baseline"/>
                <w:lang w:val="en-US" w:eastAsia="zh-CN"/>
              </w:rPr>
            </w:pPr>
          </w:p>
        </w:tc>
        <w:tc>
          <w:tcPr>
            <w:tcW w:w="530" w:type="dxa"/>
            <w:vAlign w:val="center"/>
          </w:tcPr>
          <w:p w14:paraId="502FE4C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20</w:t>
            </w:r>
          </w:p>
        </w:tc>
      </w:tr>
    </w:tbl>
    <w:p w14:paraId="5C465D69">
      <w:pPr>
        <w:pStyle w:val="4"/>
        <w:bidi w:val="0"/>
        <w:rPr>
          <w:rFonts w:hint="default"/>
          <w:color w:val="auto"/>
          <w:lang w:val="en-US" w:eastAsia="zh-CN"/>
        </w:rPr>
      </w:pPr>
      <w:bookmarkStart w:id="528" w:name="_Toc17751"/>
      <w:bookmarkStart w:id="529" w:name="_Toc27269"/>
      <w:bookmarkStart w:id="530" w:name="_Toc25288"/>
      <w:bookmarkStart w:id="531" w:name="_Toc13805"/>
      <w:bookmarkStart w:id="532" w:name="_Toc30458"/>
      <w:bookmarkStart w:id="533" w:name="_Toc12438"/>
      <w:r>
        <w:rPr>
          <w:rFonts w:hint="eastAsia"/>
          <w:color w:val="auto"/>
          <w:lang w:val="en-US" w:eastAsia="zh-CN"/>
        </w:rPr>
        <w:t>5.5.2 评价小结</w:t>
      </w:r>
      <w:bookmarkEnd w:id="528"/>
      <w:bookmarkEnd w:id="529"/>
      <w:bookmarkEnd w:id="530"/>
      <w:bookmarkEnd w:id="531"/>
      <w:bookmarkEnd w:id="532"/>
      <w:bookmarkEnd w:id="533"/>
    </w:p>
    <w:p w14:paraId="468BC94E">
      <w:pPr>
        <w:rPr>
          <w:rFonts w:hint="default"/>
          <w:color w:val="auto"/>
          <w:lang w:val="en-US" w:eastAsia="zh-CN"/>
        </w:rPr>
      </w:pPr>
      <w:r>
        <w:rPr>
          <w:rFonts w:hint="eastAsia"/>
          <w:color w:val="auto"/>
          <w:lang w:val="en-US" w:eastAsia="zh-CN"/>
        </w:rPr>
        <w:t>鄱阳县响水滩乡禾互山建筑用石料矿</w:t>
      </w:r>
      <w:r>
        <w:rPr>
          <w:rFonts w:hint="default"/>
          <w:color w:val="auto"/>
          <w:lang w:val="en-US" w:eastAsia="zh-CN"/>
        </w:rPr>
        <w:t>防排水单元检查表中无否决项，一般项总分2</w:t>
      </w:r>
      <w:r>
        <w:rPr>
          <w:rFonts w:hint="eastAsia"/>
          <w:color w:val="auto"/>
          <w:lang w:val="en-US" w:eastAsia="zh-CN"/>
        </w:rPr>
        <w:t>0</w:t>
      </w:r>
      <w:r>
        <w:rPr>
          <w:rFonts w:hint="default"/>
          <w:color w:val="auto"/>
          <w:lang w:val="en-US" w:eastAsia="zh-CN"/>
        </w:rPr>
        <w:t>分，</w:t>
      </w:r>
      <w:r>
        <w:rPr>
          <w:rFonts w:hint="eastAsia"/>
          <w:color w:val="auto"/>
          <w:lang w:val="en-US" w:eastAsia="zh-CN"/>
        </w:rPr>
        <w:t>得分</w:t>
      </w:r>
      <w:r>
        <w:rPr>
          <w:rFonts w:hint="default"/>
          <w:color w:val="auto"/>
          <w:lang w:val="en-US" w:eastAsia="zh-CN"/>
        </w:rPr>
        <w:t>2</w:t>
      </w:r>
      <w:r>
        <w:rPr>
          <w:rFonts w:hint="eastAsia"/>
          <w:color w:val="auto"/>
          <w:lang w:val="en-US" w:eastAsia="zh-CN"/>
        </w:rPr>
        <w:t>0</w:t>
      </w:r>
      <w:r>
        <w:rPr>
          <w:rFonts w:hint="default"/>
          <w:color w:val="auto"/>
          <w:lang w:val="en-US" w:eastAsia="zh-CN"/>
        </w:rPr>
        <w:t>分，得分率为</w:t>
      </w:r>
      <w:r>
        <w:rPr>
          <w:rFonts w:hint="eastAsia"/>
          <w:color w:val="auto"/>
          <w:lang w:val="en-US" w:eastAsia="zh-CN"/>
        </w:rPr>
        <w:t>100</w:t>
      </w:r>
      <w:r>
        <w:rPr>
          <w:rFonts w:hint="default"/>
          <w:color w:val="auto"/>
          <w:lang w:val="en-US" w:eastAsia="zh-CN"/>
        </w:rPr>
        <w:t>%，说明</w:t>
      </w:r>
      <w:r>
        <w:rPr>
          <w:rFonts w:hint="eastAsia"/>
          <w:color w:val="auto"/>
          <w:lang w:val="en-US" w:eastAsia="zh-CN"/>
        </w:rPr>
        <w:t>鄱阳县响水滩乡禾互山建筑用石料矿</w:t>
      </w:r>
      <w:r>
        <w:rPr>
          <w:rFonts w:hint="default"/>
          <w:color w:val="auto"/>
          <w:lang w:val="en-US" w:eastAsia="zh-CN"/>
        </w:rPr>
        <w:t>防排水单元具备安全生产条件。</w:t>
      </w:r>
    </w:p>
    <w:p w14:paraId="0FECE6E9">
      <w:pPr>
        <w:pStyle w:val="3"/>
        <w:bidi w:val="0"/>
        <w:rPr>
          <w:rFonts w:hint="default"/>
          <w:color w:val="auto"/>
          <w:lang w:val="en-US" w:eastAsia="zh-CN"/>
        </w:rPr>
      </w:pPr>
      <w:bookmarkStart w:id="534" w:name="_Toc16193"/>
      <w:bookmarkStart w:id="535" w:name="_Toc21240"/>
      <w:bookmarkStart w:id="536" w:name="_Toc4503"/>
      <w:bookmarkStart w:id="537" w:name="_Toc23898"/>
      <w:bookmarkStart w:id="538" w:name="_Toc2088"/>
      <w:bookmarkStart w:id="539" w:name="_Toc30532"/>
      <w:r>
        <w:rPr>
          <w:rFonts w:hint="eastAsia"/>
          <w:color w:val="auto"/>
          <w:lang w:val="en-US" w:eastAsia="zh-CN"/>
        </w:rPr>
        <w:t>5.6 防灭火单元</w:t>
      </w:r>
      <w:bookmarkEnd w:id="534"/>
      <w:bookmarkEnd w:id="535"/>
      <w:bookmarkEnd w:id="536"/>
      <w:bookmarkEnd w:id="537"/>
      <w:bookmarkEnd w:id="538"/>
      <w:bookmarkEnd w:id="539"/>
    </w:p>
    <w:p w14:paraId="0E8E5C0C">
      <w:pPr>
        <w:pStyle w:val="4"/>
        <w:bidi w:val="0"/>
        <w:rPr>
          <w:rFonts w:hint="default"/>
          <w:color w:val="auto"/>
          <w:lang w:val="en-US" w:eastAsia="zh-CN"/>
        </w:rPr>
      </w:pPr>
      <w:bookmarkStart w:id="540" w:name="_Toc20291"/>
      <w:bookmarkStart w:id="541" w:name="_Toc28403"/>
      <w:bookmarkStart w:id="542" w:name="_Toc23513"/>
      <w:bookmarkStart w:id="543" w:name="_Toc22539"/>
      <w:bookmarkStart w:id="544" w:name="_Toc31717"/>
      <w:bookmarkStart w:id="545" w:name="_Toc23749"/>
      <w:r>
        <w:rPr>
          <w:rFonts w:hint="eastAsia"/>
          <w:color w:val="auto"/>
          <w:lang w:val="en-US" w:eastAsia="zh-CN"/>
        </w:rPr>
        <w:t>5.6.1 防灭火安全检查表</w:t>
      </w:r>
      <w:bookmarkEnd w:id="540"/>
      <w:bookmarkEnd w:id="541"/>
      <w:bookmarkEnd w:id="542"/>
      <w:bookmarkEnd w:id="543"/>
      <w:bookmarkEnd w:id="544"/>
      <w:bookmarkEnd w:id="545"/>
    </w:p>
    <w:p w14:paraId="545B163D">
      <w:pPr>
        <w:rPr>
          <w:rFonts w:hint="default"/>
          <w:color w:val="auto"/>
          <w:lang w:val="en-US" w:eastAsia="zh-CN"/>
        </w:rPr>
      </w:pPr>
      <w:r>
        <w:rPr>
          <w:rFonts w:hint="default"/>
          <w:color w:val="auto"/>
          <w:lang w:val="en-US" w:eastAsia="zh-CN"/>
        </w:rPr>
        <w:t>防灭火安全检查表见表5.</w:t>
      </w:r>
      <w:r>
        <w:rPr>
          <w:rFonts w:hint="eastAsia"/>
          <w:color w:val="auto"/>
          <w:lang w:val="en-US" w:eastAsia="zh-CN"/>
        </w:rPr>
        <w:t>6</w:t>
      </w:r>
      <w:r>
        <w:rPr>
          <w:rFonts w:hint="default"/>
          <w:color w:val="auto"/>
          <w:lang w:val="en-US" w:eastAsia="zh-CN"/>
        </w:rPr>
        <w:t>-1。</w:t>
      </w:r>
    </w:p>
    <w:p w14:paraId="67190945">
      <w:pPr>
        <w:ind w:left="0" w:leftChars="0" w:firstLine="0" w:firstLineChars="0"/>
        <w:jc w:val="center"/>
        <w:rPr>
          <w:rFonts w:hint="eastAsia"/>
          <w:color w:val="auto"/>
          <w:lang w:val="en-US" w:eastAsia="zh-CN"/>
        </w:rPr>
      </w:pPr>
      <w:r>
        <w:rPr>
          <w:rFonts w:hint="default"/>
          <w:color w:val="auto"/>
          <w:lang w:val="en-US" w:eastAsia="zh-CN"/>
        </w:rPr>
        <w:t>表5.</w:t>
      </w:r>
      <w:r>
        <w:rPr>
          <w:rFonts w:hint="eastAsia"/>
          <w:color w:val="auto"/>
          <w:lang w:val="en-US" w:eastAsia="zh-CN"/>
        </w:rPr>
        <w:t>6</w:t>
      </w:r>
      <w:r>
        <w:rPr>
          <w:rFonts w:hint="default"/>
          <w:color w:val="auto"/>
          <w:lang w:val="en-US" w:eastAsia="zh-CN"/>
        </w:rPr>
        <w:t>-1</w:t>
      </w:r>
      <w:r>
        <w:rPr>
          <w:rFonts w:hint="eastAsia"/>
          <w:color w:val="auto"/>
          <w:lang w:val="en-US" w:eastAsia="zh-CN"/>
        </w:rPr>
        <w:t xml:space="preserve"> 防</w:t>
      </w:r>
      <w:r>
        <w:rPr>
          <w:rFonts w:hint="default"/>
          <w:color w:val="auto"/>
          <w:lang w:val="en-US" w:eastAsia="zh-CN"/>
        </w:rPr>
        <w:t>灭火</w:t>
      </w:r>
      <w:r>
        <w:rPr>
          <w:rFonts w:hint="eastAsia"/>
          <w:color w:val="auto"/>
          <w:lang w:val="en-US" w:eastAsia="zh-CN"/>
        </w:rPr>
        <w:t>安全检查表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2377"/>
        <w:gridCol w:w="1547"/>
        <w:gridCol w:w="1084"/>
        <w:gridCol w:w="1385"/>
        <w:gridCol w:w="669"/>
        <w:gridCol w:w="738"/>
        <w:gridCol w:w="530"/>
      </w:tblGrid>
      <w:tr w14:paraId="084F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dxa"/>
            <w:vAlign w:val="center"/>
          </w:tcPr>
          <w:p w14:paraId="7AB6BF4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序号</w:t>
            </w:r>
          </w:p>
        </w:tc>
        <w:tc>
          <w:tcPr>
            <w:tcW w:w="2377" w:type="dxa"/>
            <w:vAlign w:val="center"/>
          </w:tcPr>
          <w:p w14:paraId="3360DD9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检查内容</w:t>
            </w:r>
          </w:p>
        </w:tc>
        <w:tc>
          <w:tcPr>
            <w:tcW w:w="1547" w:type="dxa"/>
            <w:vAlign w:val="center"/>
          </w:tcPr>
          <w:p w14:paraId="4B95F78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检查依据</w:t>
            </w:r>
          </w:p>
        </w:tc>
        <w:tc>
          <w:tcPr>
            <w:tcW w:w="1084" w:type="dxa"/>
            <w:vAlign w:val="center"/>
          </w:tcPr>
          <w:p w14:paraId="4B2105B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检查方法及地点</w:t>
            </w:r>
          </w:p>
        </w:tc>
        <w:tc>
          <w:tcPr>
            <w:tcW w:w="1385" w:type="dxa"/>
            <w:vAlign w:val="center"/>
          </w:tcPr>
          <w:p w14:paraId="6AB02D3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检查</w:t>
            </w:r>
          </w:p>
          <w:p w14:paraId="0167979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记录</w:t>
            </w:r>
          </w:p>
        </w:tc>
        <w:tc>
          <w:tcPr>
            <w:tcW w:w="669" w:type="dxa"/>
            <w:vAlign w:val="center"/>
          </w:tcPr>
          <w:p w14:paraId="1F8FBDB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标准</w:t>
            </w:r>
          </w:p>
          <w:p w14:paraId="59A484B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分值</w:t>
            </w:r>
          </w:p>
        </w:tc>
        <w:tc>
          <w:tcPr>
            <w:tcW w:w="738" w:type="dxa"/>
            <w:vAlign w:val="center"/>
          </w:tcPr>
          <w:p w14:paraId="254130A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评分</w:t>
            </w:r>
          </w:p>
          <w:p w14:paraId="0E4EC90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t>标准</w:t>
            </w:r>
          </w:p>
        </w:tc>
        <w:tc>
          <w:tcPr>
            <w:tcW w:w="530" w:type="dxa"/>
            <w:vAlign w:val="center"/>
          </w:tcPr>
          <w:p w14:paraId="51F9163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得分</w:t>
            </w:r>
          </w:p>
        </w:tc>
      </w:tr>
      <w:tr w14:paraId="7EA2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8" w:type="dxa"/>
            <w:vAlign w:val="center"/>
          </w:tcPr>
          <w:p w14:paraId="2CC3C40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w:t>
            </w:r>
          </w:p>
        </w:tc>
        <w:tc>
          <w:tcPr>
            <w:tcW w:w="2377" w:type="dxa"/>
            <w:vAlign w:val="center"/>
          </w:tcPr>
          <w:p w14:paraId="4FE58B7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矿山建构筑物应建立消防设施，设置消防器材。</w:t>
            </w:r>
          </w:p>
        </w:tc>
        <w:tc>
          <w:tcPr>
            <w:tcW w:w="1547" w:type="dxa"/>
            <w:vAlign w:val="center"/>
          </w:tcPr>
          <w:p w14:paraId="332E936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5A93AC9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5.7.1.1</w:t>
            </w:r>
          </w:p>
        </w:tc>
        <w:tc>
          <w:tcPr>
            <w:tcW w:w="1084" w:type="dxa"/>
            <w:vAlign w:val="center"/>
          </w:tcPr>
          <w:p w14:paraId="4DE302A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查看资料、生产现场</w:t>
            </w:r>
          </w:p>
        </w:tc>
        <w:tc>
          <w:tcPr>
            <w:tcW w:w="1385" w:type="dxa"/>
            <w:vAlign w:val="center"/>
          </w:tcPr>
          <w:p w14:paraId="3EE3BDF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建构筑物</w:t>
            </w:r>
            <w:r>
              <w:rPr>
                <w:rFonts w:hint="eastAsia"/>
                <w:color w:val="auto"/>
                <w:sz w:val="21"/>
                <w:szCs w:val="21"/>
                <w:vertAlign w:val="baseline"/>
                <w:lang w:val="en-US" w:eastAsia="zh-CN"/>
              </w:rPr>
              <w:t>已</w:t>
            </w:r>
            <w:r>
              <w:rPr>
                <w:rFonts w:hint="default"/>
                <w:color w:val="auto"/>
                <w:sz w:val="21"/>
                <w:szCs w:val="21"/>
                <w:vertAlign w:val="baseline"/>
                <w:lang w:val="en-US" w:eastAsia="zh-CN"/>
              </w:rPr>
              <w:t>建立消防设施，设置</w:t>
            </w:r>
            <w:r>
              <w:rPr>
                <w:rFonts w:hint="eastAsia"/>
                <w:color w:val="auto"/>
                <w:sz w:val="21"/>
                <w:szCs w:val="21"/>
                <w:vertAlign w:val="baseline"/>
                <w:lang w:val="en-US" w:eastAsia="zh-CN"/>
              </w:rPr>
              <w:t>了</w:t>
            </w:r>
            <w:r>
              <w:rPr>
                <w:rFonts w:hint="default"/>
                <w:color w:val="auto"/>
                <w:sz w:val="21"/>
                <w:szCs w:val="21"/>
                <w:vertAlign w:val="baseline"/>
                <w:lang w:val="en-US" w:eastAsia="zh-CN"/>
              </w:rPr>
              <w:t>消防器材。</w:t>
            </w:r>
          </w:p>
        </w:tc>
        <w:tc>
          <w:tcPr>
            <w:tcW w:w="669" w:type="dxa"/>
            <w:vAlign w:val="center"/>
          </w:tcPr>
          <w:p w14:paraId="230A5F7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738" w:type="dxa"/>
            <w:vAlign w:val="center"/>
          </w:tcPr>
          <w:p w14:paraId="714EFE4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不符合扣2分</w:t>
            </w:r>
          </w:p>
        </w:tc>
        <w:tc>
          <w:tcPr>
            <w:tcW w:w="530" w:type="dxa"/>
            <w:vAlign w:val="center"/>
          </w:tcPr>
          <w:p w14:paraId="6C82069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r>
      <w:tr w14:paraId="313FB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958" w:type="dxa"/>
            <w:vAlign w:val="center"/>
          </w:tcPr>
          <w:p w14:paraId="0AF74AF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2377" w:type="dxa"/>
            <w:vAlign w:val="center"/>
          </w:tcPr>
          <w:p w14:paraId="25E3294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露天矿用设备应配备灭火器。</w:t>
            </w:r>
          </w:p>
        </w:tc>
        <w:tc>
          <w:tcPr>
            <w:tcW w:w="1547" w:type="dxa"/>
            <w:vAlign w:val="center"/>
          </w:tcPr>
          <w:p w14:paraId="31561BF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104072F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5.7.1.2</w:t>
            </w:r>
          </w:p>
        </w:tc>
        <w:tc>
          <w:tcPr>
            <w:tcW w:w="1084" w:type="dxa"/>
            <w:vAlign w:val="center"/>
          </w:tcPr>
          <w:p w14:paraId="65F8B2D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查看资料、生产现场</w:t>
            </w:r>
          </w:p>
        </w:tc>
        <w:tc>
          <w:tcPr>
            <w:tcW w:w="1385" w:type="dxa"/>
            <w:vAlign w:val="center"/>
          </w:tcPr>
          <w:p w14:paraId="016F5F8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露天矿用设备均配备了灭火器</w:t>
            </w:r>
          </w:p>
        </w:tc>
        <w:tc>
          <w:tcPr>
            <w:tcW w:w="669" w:type="dxa"/>
            <w:vAlign w:val="center"/>
          </w:tcPr>
          <w:p w14:paraId="5BD3DE5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738" w:type="dxa"/>
            <w:vAlign w:val="center"/>
          </w:tcPr>
          <w:p w14:paraId="77F930F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不符合扣2分</w:t>
            </w:r>
          </w:p>
        </w:tc>
        <w:tc>
          <w:tcPr>
            <w:tcW w:w="530" w:type="dxa"/>
            <w:vAlign w:val="center"/>
          </w:tcPr>
          <w:p w14:paraId="4252D52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r>
      <w:tr w14:paraId="1BBE1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958" w:type="dxa"/>
            <w:vAlign w:val="center"/>
          </w:tcPr>
          <w:p w14:paraId="4589474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w:t>
            </w:r>
          </w:p>
        </w:tc>
        <w:tc>
          <w:tcPr>
            <w:tcW w:w="2377" w:type="dxa"/>
            <w:vAlign w:val="center"/>
          </w:tcPr>
          <w:p w14:paraId="3866CF9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设备加油时严禁吸烟和明火。</w:t>
            </w:r>
          </w:p>
        </w:tc>
        <w:tc>
          <w:tcPr>
            <w:tcW w:w="1547" w:type="dxa"/>
            <w:vAlign w:val="center"/>
          </w:tcPr>
          <w:p w14:paraId="15B7ED2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6351118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5.7.1.3</w:t>
            </w:r>
          </w:p>
        </w:tc>
        <w:tc>
          <w:tcPr>
            <w:tcW w:w="1084" w:type="dxa"/>
            <w:vAlign w:val="center"/>
          </w:tcPr>
          <w:p w14:paraId="3BC430F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查看资料、生产现场</w:t>
            </w:r>
          </w:p>
        </w:tc>
        <w:tc>
          <w:tcPr>
            <w:tcW w:w="1385" w:type="dxa"/>
            <w:vAlign w:val="center"/>
          </w:tcPr>
          <w:p w14:paraId="6FC8335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不涉及</w:t>
            </w:r>
          </w:p>
        </w:tc>
        <w:tc>
          <w:tcPr>
            <w:tcW w:w="669" w:type="dxa"/>
            <w:vAlign w:val="center"/>
          </w:tcPr>
          <w:p w14:paraId="2170EB9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738" w:type="dxa"/>
            <w:vAlign w:val="center"/>
          </w:tcPr>
          <w:p w14:paraId="0487B94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不符合扣2分</w:t>
            </w:r>
          </w:p>
        </w:tc>
        <w:tc>
          <w:tcPr>
            <w:tcW w:w="530" w:type="dxa"/>
            <w:vAlign w:val="center"/>
          </w:tcPr>
          <w:p w14:paraId="2141CA9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r>
      <w:tr w14:paraId="210D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958" w:type="dxa"/>
            <w:vAlign w:val="center"/>
          </w:tcPr>
          <w:p w14:paraId="2439871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4</w:t>
            </w:r>
          </w:p>
        </w:tc>
        <w:tc>
          <w:tcPr>
            <w:tcW w:w="2377" w:type="dxa"/>
            <w:vAlign w:val="center"/>
          </w:tcPr>
          <w:p w14:paraId="7431042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露天矿用设备上严禁存放汽油和其他易燃易爆品</w:t>
            </w:r>
            <w:r>
              <w:rPr>
                <w:rFonts w:hint="eastAsia"/>
                <w:color w:val="auto"/>
                <w:sz w:val="21"/>
                <w:szCs w:val="21"/>
                <w:vertAlign w:val="baseline"/>
                <w:lang w:val="en-US" w:eastAsia="zh-CN"/>
              </w:rPr>
              <w:t>。</w:t>
            </w:r>
          </w:p>
        </w:tc>
        <w:tc>
          <w:tcPr>
            <w:tcW w:w="1547" w:type="dxa"/>
            <w:vAlign w:val="center"/>
          </w:tcPr>
          <w:p w14:paraId="72C0780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1A94281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5.7.1.4</w:t>
            </w:r>
          </w:p>
        </w:tc>
        <w:tc>
          <w:tcPr>
            <w:tcW w:w="1084" w:type="dxa"/>
            <w:vAlign w:val="center"/>
          </w:tcPr>
          <w:p w14:paraId="2F600EA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查看资料、生产现场</w:t>
            </w:r>
          </w:p>
        </w:tc>
        <w:tc>
          <w:tcPr>
            <w:tcW w:w="1385" w:type="dxa"/>
            <w:vAlign w:val="center"/>
          </w:tcPr>
          <w:p w14:paraId="5541D4F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未存放汽油和易燃易爆品</w:t>
            </w:r>
          </w:p>
        </w:tc>
        <w:tc>
          <w:tcPr>
            <w:tcW w:w="669" w:type="dxa"/>
            <w:vAlign w:val="center"/>
          </w:tcPr>
          <w:p w14:paraId="011A804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738" w:type="dxa"/>
            <w:vAlign w:val="center"/>
          </w:tcPr>
          <w:p w14:paraId="4DCB296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不符合扣2分</w:t>
            </w:r>
          </w:p>
        </w:tc>
        <w:tc>
          <w:tcPr>
            <w:tcW w:w="530" w:type="dxa"/>
            <w:vAlign w:val="center"/>
          </w:tcPr>
          <w:p w14:paraId="2CF4730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r>
      <w:tr w14:paraId="6BE2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958" w:type="dxa"/>
            <w:vAlign w:val="center"/>
          </w:tcPr>
          <w:p w14:paraId="0B4368A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w:t>
            </w:r>
          </w:p>
        </w:tc>
        <w:tc>
          <w:tcPr>
            <w:tcW w:w="2377" w:type="dxa"/>
            <w:vAlign w:val="center"/>
          </w:tcPr>
          <w:p w14:paraId="46B967E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严禁用汽油擦洗设备</w:t>
            </w:r>
            <w:r>
              <w:rPr>
                <w:rFonts w:hint="eastAsia"/>
                <w:color w:val="auto"/>
                <w:sz w:val="21"/>
                <w:szCs w:val="21"/>
                <w:vertAlign w:val="baseline"/>
                <w:lang w:val="en-US" w:eastAsia="zh-CN"/>
              </w:rPr>
              <w:t>。</w:t>
            </w:r>
          </w:p>
        </w:tc>
        <w:tc>
          <w:tcPr>
            <w:tcW w:w="1547" w:type="dxa"/>
            <w:vAlign w:val="center"/>
          </w:tcPr>
          <w:p w14:paraId="5B8CD3C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17DA26E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5.7.1.5</w:t>
            </w:r>
          </w:p>
        </w:tc>
        <w:tc>
          <w:tcPr>
            <w:tcW w:w="1084" w:type="dxa"/>
            <w:vAlign w:val="center"/>
          </w:tcPr>
          <w:p w14:paraId="62C552B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查看资料、生产现场</w:t>
            </w:r>
          </w:p>
        </w:tc>
        <w:tc>
          <w:tcPr>
            <w:tcW w:w="1385" w:type="dxa"/>
            <w:vAlign w:val="center"/>
          </w:tcPr>
          <w:p w14:paraId="4CF56DC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未使用</w:t>
            </w:r>
          </w:p>
        </w:tc>
        <w:tc>
          <w:tcPr>
            <w:tcW w:w="669" w:type="dxa"/>
            <w:vAlign w:val="center"/>
          </w:tcPr>
          <w:p w14:paraId="6A7CC5C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738" w:type="dxa"/>
            <w:vAlign w:val="center"/>
          </w:tcPr>
          <w:p w14:paraId="73418B0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不符合扣2分</w:t>
            </w:r>
          </w:p>
        </w:tc>
        <w:tc>
          <w:tcPr>
            <w:tcW w:w="530" w:type="dxa"/>
            <w:vAlign w:val="center"/>
          </w:tcPr>
          <w:p w14:paraId="08AB83F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r>
      <w:tr w14:paraId="6498B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3" w:hRule="atLeast"/>
          <w:jc w:val="center"/>
        </w:trPr>
        <w:tc>
          <w:tcPr>
            <w:tcW w:w="958" w:type="dxa"/>
            <w:vAlign w:val="center"/>
          </w:tcPr>
          <w:p w14:paraId="06D7FDF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6</w:t>
            </w:r>
          </w:p>
        </w:tc>
        <w:tc>
          <w:tcPr>
            <w:tcW w:w="2377" w:type="dxa"/>
            <w:vAlign w:val="center"/>
          </w:tcPr>
          <w:p w14:paraId="6158538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易燃易爆物品不应放在轨道接头、电缆接头或接地极附近。废弃的油料、棉纱和易燃物应妥善管理。</w:t>
            </w:r>
          </w:p>
        </w:tc>
        <w:tc>
          <w:tcPr>
            <w:tcW w:w="1547" w:type="dxa"/>
            <w:vAlign w:val="center"/>
          </w:tcPr>
          <w:p w14:paraId="68D7C8E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5B92DDB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5.7.1.6</w:t>
            </w:r>
          </w:p>
        </w:tc>
        <w:tc>
          <w:tcPr>
            <w:tcW w:w="1084" w:type="dxa"/>
            <w:vAlign w:val="center"/>
          </w:tcPr>
          <w:p w14:paraId="710E75D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查看资料、生产现场</w:t>
            </w:r>
          </w:p>
        </w:tc>
        <w:tc>
          <w:tcPr>
            <w:tcW w:w="1385" w:type="dxa"/>
            <w:vAlign w:val="center"/>
          </w:tcPr>
          <w:p w14:paraId="734A714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未发现上述现象</w:t>
            </w:r>
          </w:p>
        </w:tc>
        <w:tc>
          <w:tcPr>
            <w:tcW w:w="669" w:type="dxa"/>
            <w:vAlign w:val="center"/>
          </w:tcPr>
          <w:p w14:paraId="08ABA7A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738" w:type="dxa"/>
            <w:vAlign w:val="center"/>
          </w:tcPr>
          <w:p w14:paraId="339259A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不符合扣2分</w:t>
            </w:r>
          </w:p>
        </w:tc>
        <w:tc>
          <w:tcPr>
            <w:tcW w:w="530" w:type="dxa"/>
            <w:vAlign w:val="center"/>
          </w:tcPr>
          <w:p w14:paraId="78F7D0F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r>
      <w:tr w14:paraId="730B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6" w:hRule="atLeast"/>
          <w:jc w:val="center"/>
        </w:trPr>
        <w:tc>
          <w:tcPr>
            <w:tcW w:w="958" w:type="dxa"/>
            <w:vAlign w:val="center"/>
          </w:tcPr>
          <w:p w14:paraId="52DADFA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7</w:t>
            </w:r>
          </w:p>
        </w:tc>
        <w:tc>
          <w:tcPr>
            <w:tcW w:w="2377" w:type="dxa"/>
            <w:vAlign w:val="center"/>
          </w:tcPr>
          <w:p w14:paraId="575BA40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r>
              <w:rPr>
                <w:rFonts w:hint="default"/>
                <w:color w:val="auto"/>
                <w:sz w:val="21"/>
                <w:szCs w:val="21"/>
                <w:vertAlign w:val="baseline"/>
                <w:lang w:val="en-US" w:eastAsia="zh-CN"/>
              </w:rPr>
              <w:t>木材场、防护用品仓库、民用爆炸物品储存库、氢和乙炔瓶库、石油液化气站和油库等重要场所，应建立防火制度，采取防火、防爆措施，备足消防器材。</w:t>
            </w:r>
          </w:p>
        </w:tc>
        <w:tc>
          <w:tcPr>
            <w:tcW w:w="1547" w:type="dxa"/>
            <w:vAlign w:val="center"/>
          </w:tcPr>
          <w:p w14:paraId="6D86A13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GB16423-2020</w:t>
            </w:r>
          </w:p>
          <w:p w14:paraId="7C3974A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5.7.1.7</w:t>
            </w:r>
          </w:p>
        </w:tc>
        <w:tc>
          <w:tcPr>
            <w:tcW w:w="1084" w:type="dxa"/>
            <w:vAlign w:val="center"/>
          </w:tcPr>
          <w:p w14:paraId="302AAF7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查看资料、生产现场</w:t>
            </w:r>
          </w:p>
        </w:tc>
        <w:tc>
          <w:tcPr>
            <w:tcW w:w="1385" w:type="dxa"/>
            <w:vAlign w:val="center"/>
          </w:tcPr>
          <w:p w14:paraId="296D286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不涉及</w:t>
            </w:r>
          </w:p>
        </w:tc>
        <w:tc>
          <w:tcPr>
            <w:tcW w:w="669" w:type="dxa"/>
            <w:vAlign w:val="center"/>
          </w:tcPr>
          <w:p w14:paraId="67B3D39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738" w:type="dxa"/>
            <w:vAlign w:val="center"/>
          </w:tcPr>
          <w:p w14:paraId="6DF43BB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不符合扣2分</w:t>
            </w:r>
          </w:p>
        </w:tc>
        <w:tc>
          <w:tcPr>
            <w:tcW w:w="530" w:type="dxa"/>
            <w:vAlign w:val="center"/>
          </w:tcPr>
          <w:p w14:paraId="5A5D976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w:t>
            </w:r>
          </w:p>
        </w:tc>
      </w:tr>
      <w:tr w14:paraId="158D8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958" w:type="dxa"/>
            <w:vAlign w:val="center"/>
          </w:tcPr>
          <w:p w14:paraId="5F63453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小计</w:t>
            </w:r>
          </w:p>
        </w:tc>
        <w:tc>
          <w:tcPr>
            <w:tcW w:w="2377" w:type="dxa"/>
            <w:vAlign w:val="center"/>
          </w:tcPr>
          <w:p w14:paraId="39F35F5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color w:val="auto"/>
                <w:sz w:val="21"/>
                <w:szCs w:val="21"/>
                <w:vertAlign w:val="baseline"/>
                <w:lang w:val="en-US" w:eastAsia="zh-CN"/>
              </w:rPr>
            </w:pPr>
          </w:p>
        </w:tc>
        <w:tc>
          <w:tcPr>
            <w:tcW w:w="1547" w:type="dxa"/>
            <w:vAlign w:val="center"/>
          </w:tcPr>
          <w:p w14:paraId="354A480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p>
        </w:tc>
        <w:tc>
          <w:tcPr>
            <w:tcW w:w="1084" w:type="dxa"/>
            <w:vAlign w:val="center"/>
          </w:tcPr>
          <w:p w14:paraId="5CF4450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p>
        </w:tc>
        <w:tc>
          <w:tcPr>
            <w:tcW w:w="1385" w:type="dxa"/>
            <w:vAlign w:val="center"/>
          </w:tcPr>
          <w:p w14:paraId="15583B6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p>
        </w:tc>
        <w:tc>
          <w:tcPr>
            <w:tcW w:w="669" w:type="dxa"/>
            <w:vAlign w:val="center"/>
          </w:tcPr>
          <w:p w14:paraId="19037C3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10</w:t>
            </w:r>
          </w:p>
        </w:tc>
        <w:tc>
          <w:tcPr>
            <w:tcW w:w="738" w:type="dxa"/>
            <w:vAlign w:val="center"/>
          </w:tcPr>
          <w:p w14:paraId="69B1A50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color w:val="auto"/>
                <w:sz w:val="21"/>
                <w:szCs w:val="21"/>
                <w:vertAlign w:val="baseline"/>
                <w:lang w:val="en-US" w:eastAsia="zh-CN"/>
              </w:rPr>
            </w:pPr>
          </w:p>
        </w:tc>
        <w:tc>
          <w:tcPr>
            <w:tcW w:w="530" w:type="dxa"/>
            <w:vAlign w:val="center"/>
          </w:tcPr>
          <w:p w14:paraId="67A2AC5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10</w:t>
            </w:r>
          </w:p>
        </w:tc>
      </w:tr>
    </w:tbl>
    <w:p w14:paraId="0AA3AC49">
      <w:pPr>
        <w:pStyle w:val="4"/>
        <w:bidi w:val="0"/>
        <w:rPr>
          <w:rFonts w:hint="default"/>
          <w:color w:val="auto"/>
          <w:lang w:val="en-US" w:eastAsia="zh-CN"/>
        </w:rPr>
      </w:pPr>
      <w:bookmarkStart w:id="546" w:name="_Toc6252"/>
      <w:bookmarkStart w:id="547" w:name="_Toc29792"/>
      <w:bookmarkStart w:id="548" w:name="_Toc7986"/>
      <w:bookmarkStart w:id="549" w:name="_Toc3840"/>
      <w:bookmarkStart w:id="550" w:name="_Toc1677"/>
      <w:bookmarkStart w:id="551" w:name="_Toc24566"/>
      <w:r>
        <w:rPr>
          <w:rFonts w:hint="eastAsia"/>
          <w:color w:val="auto"/>
          <w:lang w:val="en-US" w:eastAsia="zh-CN"/>
        </w:rPr>
        <w:t>5.6.2 评价小结</w:t>
      </w:r>
      <w:bookmarkEnd w:id="546"/>
      <w:bookmarkEnd w:id="547"/>
      <w:bookmarkEnd w:id="548"/>
      <w:bookmarkEnd w:id="549"/>
      <w:bookmarkEnd w:id="550"/>
      <w:bookmarkEnd w:id="551"/>
    </w:p>
    <w:p w14:paraId="72AA2866">
      <w:pPr>
        <w:rPr>
          <w:rFonts w:hint="default"/>
          <w:color w:val="auto"/>
          <w:lang w:val="en-US" w:eastAsia="zh-CN"/>
        </w:rPr>
      </w:pPr>
      <w:r>
        <w:rPr>
          <w:rFonts w:hint="eastAsia"/>
          <w:color w:val="auto"/>
          <w:lang w:val="en-US" w:eastAsia="zh-CN"/>
        </w:rPr>
        <w:t>鄱阳县响水滩乡禾互山建筑用石料矿</w:t>
      </w:r>
      <w:r>
        <w:rPr>
          <w:rFonts w:hint="default"/>
          <w:color w:val="auto"/>
          <w:lang w:val="en-US" w:eastAsia="zh-CN"/>
        </w:rPr>
        <w:t>防</w:t>
      </w:r>
      <w:r>
        <w:rPr>
          <w:rFonts w:hint="eastAsia"/>
          <w:color w:val="auto"/>
          <w:lang w:val="en-US" w:eastAsia="zh-CN"/>
        </w:rPr>
        <w:t>灭火</w:t>
      </w:r>
      <w:r>
        <w:rPr>
          <w:rFonts w:hint="default"/>
          <w:color w:val="auto"/>
          <w:lang w:val="en-US" w:eastAsia="zh-CN"/>
        </w:rPr>
        <w:t>单元检查表中无否决项，一般项总分</w:t>
      </w:r>
      <w:r>
        <w:rPr>
          <w:rFonts w:hint="eastAsia"/>
          <w:color w:val="auto"/>
          <w:lang w:val="en-US" w:eastAsia="zh-CN"/>
        </w:rPr>
        <w:t>10</w:t>
      </w:r>
      <w:r>
        <w:rPr>
          <w:rFonts w:hint="default"/>
          <w:color w:val="auto"/>
          <w:lang w:val="en-US" w:eastAsia="zh-CN"/>
        </w:rPr>
        <w:t>分，得分</w:t>
      </w:r>
      <w:r>
        <w:rPr>
          <w:rFonts w:hint="eastAsia"/>
          <w:color w:val="auto"/>
          <w:lang w:val="en-US" w:eastAsia="zh-CN"/>
        </w:rPr>
        <w:t>10</w:t>
      </w:r>
      <w:r>
        <w:rPr>
          <w:rFonts w:hint="default"/>
          <w:color w:val="auto"/>
          <w:lang w:val="en-US" w:eastAsia="zh-CN"/>
        </w:rPr>
        <w:t>分，得分率为100%，说明</w:t>
      </w:r>
      <w:r>
        <w:rPr>
          <w:rFonts w:hint="eastAsia"/>
          <w:color w:val="auto"/>
          <w:lang w:val="en-US" w:eastAsia="zh-CN"/>
        </w:rPr>
        <w:t>鄱阳县响水滩乡禾互山建筑用石料矿</w:t>
      </w:r>
      <w:r>
        <w:rPr>
          <w:rFonts w:hint="default"/>
          <w:color w:val="auto"/>
          <w:lang w:val="en-US" w:eastAsia="zh-CN"/>
        </w:rPr>
        <w:t>防</w:t>
      </w:r>
      <w:r>
        <w:rPr>
          <w:rFonts w:hint="eastAsia"/>
          <w:color w:val="auto"/>
          <w:lang w:val="en-US" w:eastAsia="zh-CN"/>
        </w:rPr>
        <w:t>灭火</w:t>
      </w:r>
      <w:r>
        <w:rPr>
          <w:rFonts w:hint="default"/>
          <w:color w:val="auto"/>
          <w:lang w:val="en-US" w:eastAsia="zh-CN"/>
        </w:rPr>
        <w:t>单元具备安全生产条件。</w:t>
      </w:r>
    </w:p>
    <w:p w14:paraId="77CFC334">
      <w:pPr>
        <w:pStyle w:val="3"/>
        <w:bidi w:val="0"/>
        <w:rPr>
          <w:rFonts w:hint="default"/>
          <w:color w:val="auto"/>
          <w:lang w:val="en-US" w:eastAsia="zh-CN"/>
        </w:rPr>
      </w:pPr>
      <w:bookmarkStart w:id="552" w:name="_Toc19967"/>
      <w:bookmarkStart w:id="553" w:name="_Toc1468"/>
      <w:bookmarkStart w:id="554" w:name="_Toc23149"/>
      <w:bookmarkStart w:id="555" w:name="_Toc9939"/>
      <w:bookmarkStart w:id="556" w:name="_Toc27362"/>
      <w:bookmarkStart w:id="557" w:name="_Toc17912"/>
      <w:r>
        <w:rPr>
          <w:rFonts w:hint="eastAsia"/>
          <w:color w:val="auto"/>
          <w:lang w:val="en-US" w:eastAsia="zh-CN"/>
        </w:rPr>
        <w:t>5.7 重大生产安全事故隐患判定</w:t>
      </w:r>
      <w:bookmarkEnd w:id="552"/>
      <w:bookmarkEnd w:id="553"/>
      <w:bookmarkEnd w:id="554"/>
      <w:bookmarkEnd w:id="555"/>
      <w:bookmarkEnd w:id="556"/>
      <w:bookmarkEnd w:id="557"/>
    </w:p>
    <w:p w14:paraId="4D9D88A6">
      <w:pPr>
        <w:rPr>
          <w:rFonts w:hint="default"/>
          <w:color w:val="auto"/>
          <w:lang w:val="en-US" w:eastAsia="zh-CN"/>
        </w:rPr>
      </w:pPr>
      <w:r>
        <w:rPr>
          <w:rFonts w:hint="default"/>
          <w:color w:val="auto"/>
          <w:lang w:val="en-US" w:eastAsia="zh-CN"/>
        </w:rPr>
        <w:t>根据《国家矿山安全监察局关于印发〈金属非金属矿山重大事故隐患判定标准〉的通知》（矿安〔2022〕88号）和《国家矿山安全监察局关于印发</w:t>
      </w:r>
      <w:r>
        <w:rPr>
          <w:rFonts w:hint="eastAsia" w:asciiTheme="minorEastAsia" w:hAnsiTheme="minorEastAsia" w:eastAsiaTheme="minorEastAsia" w:cstheme="minorEastAsia"/>
          <w:color w:val="auto"/>
          <w:lang w:val="en-US" w:eastAsia="zh-CN"/>
        </w:rPr>
        <w:t>&lt;</w:t>
      </w:r>
      <w:r>
        <w:rPr>
          <w:rFonts w:hint="default"/>
          <w:color w:val="auto"/>
          <w:lang w:val="en-US" w:eastAsia="zh-CN"/>
        </w:rPr>
        <w:t>金属非金属矿山重大事故隐患判定标准补充情形</w:t>
      </w:r>
      <w:r>
        <w:rPr>
          <w:rFonts w:hint="eastAsia" w:asciiTheme="minorEastAsia" w:hAnsiTheme="minorEastAsia" w:eastAsiaTheme="minorEastAsia" w:cstheme="minorEastAsia"/>
          <w:color w:val="auto"/>
          <w:lang w:val="en-US" w:eastAsia="zh-CN"/>
        </w:rPr>
        <w:t>&gt;</w:t>
      </w:r>
      <w:r>
        <w:rPr>
          <w:rFonts w:hint="default"/>
          <w:color w:val="auto"/>
          <w:lang w:val="en-US" w:eastAsia="zh-CN"/>
        </w:rPr>
        <w:t>的通知》（矿安〔2024〕41号），对</w:t>
      </w:r>
      <w:r>
        <w:rPr>
          <w:rFonts w:hint="eastAsia"/>
          <w:color w:val="auto"/>
          <w:lang w:val="en-US" w:eastAsia="zh-CN"/>
        </w:rPr>
        <w:t>鄱阳县响水滩乡禾互山建筑用石料矿</w:t>
      </w:r>
      <w:r>
        <w:rPr>
          <w:rFonts w:hint="default"/>
          <w:color w:val="auto"/>
          <w:lang w:val="en-US" w:eastAsia="zh-CN"/>
        </w:rPr>
        <w:t>进行重大生产安全事故隐患判定，判定情况见表</w:t>
      </w:r>
      <w:r>
        <w:rPr>
          <w:rFonts w:hint="eastAsia"/>
          <w:color w:val="auto"/>
          <w:lang w:val="en-US" w:eastAsia="zh-CN"/>
        </w:rPr>
        <w:t>5.7</w:t>
      </w:r>
      <w:r>
        <w:rPr>
          <w:rFonts w:hint="default"/>
          <w:color w:val="auto"/>
          <w:lang w:val="en-US" w:eastAsia="zh-CN"/>
        </w:rPr>
        <w:t>-</w:t>
      </w:r>
      <w:r>
        <w:rPr>
          <w:rFonts w:hint="eastAsia"/>
          <w:color w:val="auto"/>
          <w:lang w:val="en-US" w:eastAsia="zh-CN"/>
        </w:rPr>
        <w:t>1</w:t>
      </w:r>
      <w:r>
        <w:rPr>
          <w:rFonts w:hint="default"/>
          <w:color w:val="auto"/>
          <w:lang w:val="en-US" w:eastAsia="zh-CN"/>
        </w:rPr>
        <w:t>。</w:t>
      </w:r>
    </w:p>
    <w:p w14:paraId="4BFDD25A">
      <w:pPr>
        <w:ind w:left="0" w:leftChars="0" w:firstLine="0" w:firstLineChars="0"/>
        <w:jc w:val="center"/>
        <w:rPr>
          <w:rFonts w:hint="eastAsia"/>
          <w:color w:val="auto"/>
          <w:lang w:val="en-US" w:eastAsia="zh-CN"/>
        </w:rPr>
      </w:pPr>
      <w:r>
        <w:rPr>
          <w:rFonts w:hint="default"/>
          <w:color w:val="auto"/>
          <w:lang w:val="en-US" w:eastAsia="zh-CN"/>
        </w:rPr>
        <w:t>表</w:t>
      </w:r>
      <w:r>
        <w:rPr>
          <w:rFonts w:hint="eastAsia"/>
          <w:color w:val="auto"/>
          <w:lang w:val="en-US" w:eastAsia="zh-CN"/>
        </w:rPr>
        <w:t>5.7</w:t>
      </w:r>
      <w:r>
        <w:rPr>
          <w:rFonts w:hint="default"/>
          <w:color w:val="auto"/>
          <w:lang w:val="en-US" w:eastAsia="zh-CN"/>
        </w:rPr>
        <w:t>-</w:t>
      </w:r>
      <w:r>
        <w:rPr>
          <w:rFonts w:hint="eastAsia"/>
          <w:color w:val="auto"/>
          <w:lang w:val="en-US" w:eastAsia="zh-CN"/>
        </w:rPr>
        <w:t>1 重大事故隐患判定检查表</w:t>
      </w:r>
    </w:p>
    <w:tbl>
      <w:tblPr>
        <w:tblStyle w:val="2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5371"/>
        <w:gridCol w:w="2007"/>
        <w:gridCol w:w="1229"/>
      </w:tblGrid>
      <w:tr w14:paraId="2E96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63" w:type="pct"/>
            <w:noWrap w:val="0"/>
            <w:vAlign w:val="center"/>
          </w:tcPr>
          <w:p w14:paraId="276A089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ascii="Times New Roman" w:hAnsi="宋体" w:eastAsia="宋体" w:cs="Times New Roman"/>
                <w:b/>
                <w:bCs/>
                <w:color w:val="auto"/>
                <w:kern w:val="0"/>
                <w:sz w:val="21"/>
                <w:szCs w:val="21"/>
                <w:lang w:val="en-US" w:eastAsia="zh-CN" w:bidi="ar-SA"/>
              </w:rPr>
              <w:t>序号</w:t>
            </w:r>
          </w:p>
        </w:tc>
        <w:tc>
          <w:tcPr>
            <w:tcW w:w="2893" w:type="pct"/>
            <w:noWrap w:val="0"/>
            <w:vAlign w:val="center"/>
          </w:tcPr>
          <w:p w14:paraId="70D41E6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ascii="Times New Roman" w:hAnsi="宋体" w:eastAsia="宋体" w:cs="Times New Roman"/>
                <w:b/>
                <w:bCs/>
                <w:color w:val="auto"/>
                <w:kern w:val="0"/>
                <w:sz w:val="21"/>
                <w:szCs w:val="21"/>
                <w:lang w:val="en-US" w:eastAsia="zh-CN" w:bidi="ar-SA"/>
              </w:rPr>
              <w:t>判定标准</w:t>
            </w:r>
          </w:p>
        </w:tc>
        <w:tc>
          <w:tcPr>
            <w:tcW w:w="1081" w:type="pct"/>
            <w:noWrap w:val="0"/>
            <w:vAlign w:val="center"/>
          </w:tcPr>
          <w:p w14:paraId="141BF47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b/>
                <w:bCs/>
                <w:color w:val="auto"/>
                <w:kern w:val="0"/>
                <w:sz w:val="21"/>
                <w:szCs w:val="21"/>
                <w:lang w:val="en-US" w:eastAsia="zh-CN" w:bidi="ar-SA"/>
              </w:rPr>
            </w:pPr>
            <w:r>
              <w:rPr>
                <w:rFonts w:hint="eastAsia" w:ascii="Times New Roman" w:hAnsi="宋体" w:eastAsia="宋体" w:cs="Times New Roman"/>
                <w:b/>
                <w:bCs/>
                <w:color w:val="auto"/>
                <w:kern w:val="0"/>
                <w:sz w:val="21"/>
                <w:szCs w:val="21"/>
                <w:lang w:val="en-US" w:eastAsia="zh-CN" w:bidi="ar-SA"/>
              </w:rPr>
              <w:t>检查情况</w:t>
            </w:r>
          </w:p>
        </w:tc>
        <w:tc>
          <w:tcPr>
            <w:tcW w:w="662" w:type="pct"/>
            <w:noWrap w:val="0"/>
            <w:vAlign w:val="center"/>
          </w:tcPr>
          <w:p w14:paraId="1CD7B33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ascii="Times New Roman" w:hAnsi="宋体" w:eastAsia="宋体" w:cs="Times New Roman"/>
                <w:b/>
                <w:bCs/>
                <w:color w:val="auto"/>
                <w:kern w:val="0"/>
                <w:sz w:val="21"/>
                <w:szCs w:val="21"/>
                <w:lang w:val="en-US" w:eastAsia="zh-CN" w:bidi="ar-SA"/>
              </w:rPr>
              <w:t>判定结果</w:t>
            </w:r>
          </w:p>
        </w:tc>
      </w:tr>
      <w:tr w14:paraId="63CC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3" w:type="pct"/>
            <w:noWrap w:val="0"/>
            <w:vAlign w:val="center"/>
          </w:tcPr>
          <w:p w14:paraId="7F2D6E4F">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1</w:t>
            </w:r>
          </w:p>
        </w:tc>
        <w:tc>
          <w:tcPr>
            <w:tcW w:w="2893" w:type="pct"/>
            <w:noWrap w:val="0"/>
            <w:vAlign w:val="center"/>
          </w:tcPr>
          <w:p w14:paraId="04FFD61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地下开采转露天开采前，未探明采空区和溶洞，或者未按设计处理对露天开采安全有威胁的采空区和溶洞。</w:t>
            </w:r>
          </w:p>
        </w:tc>
        <w:tc>
          <w:tcPr>
            <w:tcW w:w="1081" w:type="pct"/>
            <w:noWrap w:val="0"/>
            <w:vAlign w:val="center"/>
          </w:tcPr>
          <w:p w14:paraId="04EDFD9D">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不存在上述情况</w:t>
            </w:r>
          </w:p>
        </w:tc>
        <w:tc>
          <w:tcPr>
            <w:tcW w:w="662" w:type="pct"/>
            <w:noWrap w:val="0"/>
            <w:vAlign w:val="center"/>
          </w:tcPr>
          <w:p w14:paraId="470C6CEF">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不构成</w:t>
            </w:r>
          </w:p>
        </w:tc>
      </w:tr>
      <w:tr w14:paraId="4AFD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363" w:type="pct"/>
            <w:noWrap w:val="0"/>
            <w:vAlign w:val="center"/>
          </w:tcPr>
          <w:p w14:paraId="52CB2C0F">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2</w:t>
            </w:r>
          </w:p>
        </w:tc>
        <w:tc>
          <w:tcPr>
            <w:tcW w:w="2893" w:type="pct"/>
            <w:noWrap w:val="0"/>
            <w:vAlign w:val="center"/>
          </w:tcPr>
          <w:p w14:paraId="76C6F452">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使用国家明令禁止使用的设备、材料</w:t>
            </w:r>
            <w:r>
              <w:rPr>
                <w:rFonts w:hint="eastAsia" w:ascii="Times New Roman" w:hAnsi="宋体" w:eastAsia="宋体" w:cs="Times New Roman"/>
                <w:color w:val="auto"/>
                <w:kern w:val="0"/>
                <w:sz w:val="21"/>
                <w:szCs w:val="21"/>
                <w:lang w:val="en-US" w:eastAsia="zh-CN" w:bidi="ar-SA"/>
              </w:rPr>
              <w:t>或者</w:t>
            </w:r>
            <w:r>
              <w:rPr>
                <w:rFonts w:ascii="Times New Roman" w:hAnsi="宋体" w:eastAsia="宋体" w:cs="Times New Roman"/>
                <w:color w:val="auto"/>
                <w:kern w:val="0"/>
                <w:sz w:val="21"/>
                <w:szCs w:val="21"/>
                <w:lang w:val="en-US" w:eastAsia="zh-CN" w:bidi="ar-SA"/>
              </w:rPr>
              <w:t>工艺。</w:t>
            </w:r>
          </w:p>
        </w:tc>
        <w:tc>
          <w:tcPr>
            <w:tcW w:w="1081" w:type="pct"/>
            <w:noWrap w:val="0"/>
            <w:vAlign w:val="center"/>
          </w:tcPr>
          <w:p w14:paraId="6B37116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未使用</w:t>
            </w:r>
          </w:p>
        </w:tc>
        <w:tc>
          <w:tcPr>
            <w:tcW w:w="662" w:type="pct"/>
            <w:noWrap w:val="0"/>
            <w:vAlign w:val="center"/>
          </w:tcPr>
          <w:p w14:paraId="6A90546B">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不构成</w:t>
            </w:r>
          </w:p>
        </w:tc>
      </w:tr>
      <w:tr w14:paraId="2837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3" w:type="pct"/>
            <w:noWrap w:val="0"/>
            <w:vAlign w:val="center"/>
          </w:tcPr>
          <w:p w14:paraId="4E164AB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3</w:t>
            </w:r>
          </w:p>
        </w:tc>
        <w:tc>
          <w:tcPr>
            <w:tcW w:w="2893" w:type="pct"/>
            <w:noWrap w:val="0"/>
            <w:vAlign w:val="center"/>
          </w:tcPr>
          <w:p w14:paraId="78C10DA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未采用自上而下的开采顺序分台阶或者分层开采。</w:t>
            </w:r>
          </w:p>
        </w:tc>
        <w:tc>
          <w:tcPr>
            <w:tcW w:w="1081" w:type="pct"/>
            <w:noWrap w:val="0"/>
            <w:vAlign w:val="center"/>
          </w:tcPr>
          <w:p w14:paraId="005C003B">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自上而下，分台阶</w:t>
            </w:r>
            <w:r>
              <w:rPr>
                <w:rFonts w:hint="eastAsia" w:ascii="Times New Roman" w:hAnsi="宋体" w:eastAsia="宋体" w:cs="Times New Roman"/>
                <w:color w:val="auto"/>
                <w:kern w:val="0"/>
                <w:sz w:val="21"/>
                <w:szCs w:val="21"/>
                <w:lang w:val="en-US" w:eastAsia="zh-CN" w:bidi="ar-SA"/>
              </w:rPr>
              <w:t>逐层</w:t>
            </w:r>
            <w:r>
              <w:rPr>
                <w:rFonts w:ascii="Times New Roman" w:hAnsi="宋体" w:eastAsia="宋体" w:cs="Times New Roman"/>
                <w:color w:val="auto"/>
                <w:kern w:val="0"/>
                <w:sz w:val="21"/>
                <w:szCs w:val="21"/>
                <w:lang w:val="en-US" w:eastAsia="zh-CN" w:bidi="ar-SA"/>
              </w:rPr>
              <w:t>开采</w:t>
            </w:r>
          </w:p>
        </w:tc>
        <w:tc>
          <w:tcPr>
            <w:tcW w:w="662" w:type="pct"/>
            <w:noWrap w:val="0"/>
            <w:vAlign w:val="center"/>
          </w:tcPr>
          <w:p w14:paraId="490F741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不构成</w:t>
            </w:r>
          </w:p>
        </w:tc>
      </w:tr>
      <w:tr w14:paraId="5891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3" w:type="pct"/>
            <w:noWrap w:val="0"/>
            <w:vAlign w:val="center"/>
          </w:tcPr>
          <w:p w14:paraId="71A1B11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4</w:t>
            </w:r>
          </w:p>
        </w:tc>
        <w:tc>
          <w:tcPr>
            <w:tcW w:w="2893" w:type="pct"/>
            <w:noWrap w:val="0"/>
            <w:vAlign w:val="center"/>
          </w:tcPr>
          <w:p w14:paraId="38A8AF17">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工作帮坡角大于设计工作帮坡角，或者最终边坡台阶高度超过设计高度</w:t>
            </w:r>
            <w:r>
              <w:rPr>
                <w:rFonts w:hint="eastAsia" w:ascii="Times New Roman" w:hAnsi="宋体" w:eastAsia="宋体" w:cs="Times New Roman"/>
                <w:color w:val="auto"/>
                <w:kern w:val="0"/>
                <w:sz w:val="21"/>
                <w:szCs w:val="21"/>
                <w:lang w:val="en-US" w:eastAsia="zh-CN" w:bidi="ar-SA"/>
              </w:rPr>
              <w:t>。</w:t>
            </w:r>
          </w:p>
        </w:tc>
        <w:tc>
          <w:tcPr>
            <w:tcW w:w="1081" w:type="pct"/>
            <w:noWrap w:val="0"/>
            <w:vAlign w:val="center"/>
          </w:tcPr>
          <w:p w14:paraId="5ABD50E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工作帮坡角</w:t>
            </w:r>
          </w:p>
          <w:p w14:paraId="39DEF1B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符合要求</w:t>
            </w:r>
          </w:p>
        </w:tc>
        <w:tc>
          <w:tcPr>
            <w:tcW w:w="662" w:type="pct"/>
            <w:noWrap w:val="0"/>
            <w:vAlign w:val="center"/>
          </w:tcPr>
          <w:p w14:paraId="532781C7">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不构成</w:t>
            </w:r>
          </w:p>
        </w:tc>
      </w:tr>
      <w:tr w14:paraId="03A2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63" w:type="pct"/>
            <w:noWrap w:val="0"/>
            <w:vAlign w:val="center"/>
          </w:tcPr>
          <w:p w14:paraId="70D52EC1">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5</w:t>
            </w:r>
          </w:p>
        </w:tc>
        <w:tc>
          <w:tcPr>
            <w:tcW w:w="2893" w:type="pct"/>
            <w:noWrap w:val="0"/>
            <w:vAlign w:val="center"/>
          </w:tcPr>
          <w:p w14:paraId="1D14983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开采或者破坏设计要求保留的矿（岩）柱或者挂帮矿体。</w:t>
            </w:r>
          </w:p>
        </w:tc>
        <w:tc>
          <w:tcPr>
            <w:tcW w:w="1081" w:type="pct"/>
            <w:noWrap w:val="0"/>
            <w:vAlign w:val="center"/>
          </w:tcPr>
          <w:p w14:paraId="5C68B96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无此现象</w:t>
            </w:r>
          </w:p>
        </w:tc>
        <w:tc>
          <w:tcPr>
            <w:tcW w:w="662" w:type="pct"/>
            <w:noWrap w:val="0"/>
            <w:vAlign w:val="center"/>
          </w:tcPr>
          <w:p w14:paraId="475450F0">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不构成</w:t>
            </w:r>
          </w:p>
        </w:tc>
      </w:tr>
      <w:tr w14:paraId="6D4D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363" w:type="pct"/>
            <w:noWrap w:val="0"/>
            <w:vAlign w:val="center"/>
          </w:tcPr>
          <w:p w14:paraId="2A7E48F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6</w:t>
            </w:r>
          </w:p>
        </w:tc>
        <w:tc>
          <w:tcPr>
            <w:tcW w:w="2893" w:type="pct"/>
            <w:noWrap w:val="0"/>
            <w:vAlign w:val="center"/>
          </w:tcPr>
          <w:p w14:paraId="1DB2A9B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未按有关国家标准或者行业标准对采场边坡、排土场边坡进行稳定性分析。</w:t>
            </w:r>
          </w:p>
        </w:tc>
        <w:tc>
          <w:tcPr>
            <w:tcW w:w="1081" w:type="pct"/>
            <w:noWrap w:val="0"/>
            <w:vAlign w:val="center"/>
          </w:tcPr>
          <w:p w14:paraId="36B9A47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已进行</w:t>
            </w:r>
          </w:p>
        </w:tc>
        <w:tc>
          <w:tcPr>
            <w:tcW w:w="662" w:type="pct"/>
            <w:noWrap w:val="0"/>
            <w:vAlign w:val="center"/>
          </w:tcPr>
          <w:p w14:paraId="343609FF">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不构成</w:t>
            </w:r>
          </w:p>
        </w:tc>
      </w:tr>
      <w:tr w14:paraId="21D95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3" w:type="pct"/>
            <w:noWrap w:val="0"/>
            <w:vAlign w:val="center"/>
          </w:tcPr>
          <w:p w14:paraId="6FC8D0B6">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7</w:t>
            </w:r>
          </w:p>
        </w:tc>
        <w:tc>
          <w:tcPr>
            <w:tcW w:w="2893" w:type="pct"/>
            <w:noWrap w:val="0"/>
            <w:vAlign w:val="center"/>
          </w:tcPr>
          <w:p w14:paraId="5A091701">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边坡存在下列情形之一的：</w:t>
            </w:r>
          </w:p>
          <w:p w14:paraId="2443B8D4">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1.高度200米及以上的采场边坡未进行在线监测；</w:t>
            </w:r>
          </w:p>
          <w:p w14:paraId="146FC02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2.高度200米及以上的排土场边坡未建立边坡稳定监测系统；</w:t>
            </w:r>
          </w:p>
          <w:p w14:paraId="3A4EE752">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3.关闭、破坏监测系统或者隐瞒、篡改、销毁其相关数据、信息。</w:t>
            </w:r>
          </w:p>
        </w:tc>
        <w:tc>
          <w:tcPr>
            <w:tcW w:w="1081" w:type="pct"/>
            <w:noWrap w:val="0"/>
            <w:vAlign w:val="center"/>
          </w:tcPr>
          <w:p w14:paraId="6803C38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不涉及</w:t>
            </w:r>
          </w:p>
        </w:tc>
        <w:tc>
          <w:tcPr>
            <w:tcW w:w="662" w:type="pct"/>
            <w:noWrap w:val="0"/>
            <w:vAlign w:val="center"/>
          </w:tcPr>
          <w:p w14:paraId="785A557B">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不构成</w:t>
            </w:r>
          </w:p>
        </w:tc>
      </w:tr>
      <w:tr w14:paraId="1D5F0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3" w:type="pct"/>
            <w:noWrap w:val="0"/>
            <w:vAlign w:val="center"/>
          </w:tcPr>
          <w:p w14:paraId="3C4609C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8</w:t>
            </w:r>
          </w:p>
        </w:tc>
        <w:tc>
          <w:tcPr>
            <w:tcW w:w="2893" w:type="pct"/>
            <w:noWrap w:val="0"/>
            <w:vAlign w:val="center"/>
          </w:tcPr>
          <w:p w14:paraId="12DEAFFB">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边坡出现滑移现象，存在下列情形之一的：</w:t>
            </w:r>
          </w:p>
          <w:p w14:paraId="5903BE8F">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1.边坡出现横向及纵向放射状裂缝；</w:t>
            </w:r>
          </w:p>
          <w:p w14:paraId="3C3597F1">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2.坡体前缘坡脚处出现上隆（凸起）现象，后缘的裂缝急剧扩展；</w:t>
            </w:r>
          </w:p>
          <w:p w14:paraId="30BF5D6D">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3.位移观测资料显示的水平位移量或者垂直位移量出现加速变化的趋势。</w:t>
            </w:r>
          </w:p>
        </w:tc>
        <w:tc>
          <w:tcPr>
            <w:tcW w:w="1081" w:type="pct"/>
            <w:noWrap w:val="0"/>
            <w:vAlign w:val="center"/>
          </w:tcPr>
          <w:p w14:paraId="6B218F3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未出现上述情况</w:t>
            </w:r>
          </w:p>
        </w:tc>
        <w:tc>
          <w:tcPr>
            <w:tcW w:w="662" w:type="pct"/>
            <w:noWrap w:val="0"/>
            <w:vAlign w:val="center"/>
          </w:tcPr>
          <w:p w14:paraId="2FB5CD4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不构成</w:t>
            </w:r>
          </w:p>
        </w:tc>
      </w:tr>
      <w:tr w14:paraId="6A316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363" w:type="pct"/>
            <w:noWrap w:val="0"/>
            <w:vAlign w:val="center"/>
          </w:tcPr>
          <w:p w14:paraId="6912CAF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9</w:t>
            </w:r>
          </w:p>
        </w:tc>
        <w:tc>
          <w:tcPr>
            <w:tcW w:w="2893" w:type="pct"/>
            <w:noWrap w:val="0"/>
            <w:vAlign w:val="center"/>
          </w:tcPr>
          <w:p w14:paraId="525200F4">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运输道路坡度大于设计坡度10%以上。</w:t>
            </w:r>
          </w:p>
        </w:tc>
        <w:tc>
          <w:tcPr>
            <w:tcW w:w="1081" w:type="pct"/>
            <w:noWrap w:val="0"/>
            <w:vAlign w:val="center"/>
          </w:tcPr>
          <w:p w14:paraId="0E2532F1">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运输道路坡度满足要求</w:t>
            </w:r>
          </w:p>
        </w:tc>
        <w:tc>
          <w:tcPr>
            <w:tcW w:w="662" w:type="pct"/>
            <w:noWrap w:val="0"/>
            <w:vAlign w:val="center"/>
          </w:tcPr>
          <w:p w14:paraId="36038F7B">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不构成</w:t>
            </w:r>
          </w:p>
        </w:tc>
      </w:tr>
      <w:tr w14:paraId="29105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363" w:type="pct"/>
            <w:noWrap w:val="0"/>
            <w:vAlign w:val="center"/>
          </w:tcPr>
          <w:p w14:paraId="078CE8B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10</w:t>
            </w:r>
          </w:p>
        </w:tc>
        <w:tc>
          <w:tcPr>
            <w:tcW w:w="2893" w:type="pct"/>
            <w:noWrap w:val="0"/>
            <w:vAlign w:val="center"/>
          </w:tcPr>
          <w:p w14:paraId="6CB23876">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凹陷露天矿山未按设计建设防洪、排洪设施。</w:t>
            </w:r>
          </w:p>
        </w:tc>
        <w:tc>
          <w:tcPr>
            <w:tcW w:w="1081" w:type="pct"/>
            <w:noWrap w:val="0"/>
            <w:vAlign w:val="center"/>
          </w:tcPr>
          <w:p w14:paraId="3B10B6F7">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不涉及凹陷</w:t>
            </w:r>
            <w:r>
              <w:rPr>
                <w:rFonts w:hint="eastAsia" w:hAnsi="宋体" w:cs="Times New Roman"/>
                <w:color w:val="auto"/>
                <w:kern w:val="0"/>
                <w:sz w:val="21"/>
                <w:szCs w:val="21"/>
                <w:lang w:val="en-US" w:eastAsia="zh-CN" w:bidi="ar-SA"/>
              </w:rPr>
              <w:t>开采</w:t>
            </w:r>
          </w:p>
        </w:tc>
        <w:tc>
          <w:tcPr>
            <w:tcW w:w="662" w:type="pct"/>
            <w:noWrap w:val="0"/>
            <w:vAlign w:val="center"/>
          </w:tcPr>
          <w:p w14:paraId="1EEE797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不构成</w:t>
            </w:r>
          </w:p>
        </w:tc>
      </w:tr>
      <w:tr w14:paraId="7CB5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atLeast"/>
          <w:jc w:val="center"/>
        </w:trPr>
        <w:tc>
          <w:tcPr>
            <w:tcW w:w="363" w:type="pct"/>
            <w:noWrap w:val="0"/>
            <w:vAlign w:val="center"/>
          </w:tcPr>
          <w:p w14:paraId="7CD98221">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11</w:t>
            </w:r>
          </w:p>
        </w:tc>
        <w:tc>
          <w:tcPr>
            <w:tcW w:w="2893" w:type="pct"/>
            <w:noWrap w:val="0"/>
            <w:vAlign w:val="center"/>
          </w:tcPr>
          <w:p w14:paraId="485A8AA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排土场存在下列情形之一的：</w:t>
            </w:r>
          </w:p>
          <w:p w14:paraId="5D1745C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1.在平均坡度大于1</w:t>
            </w:r>
            <w:r>
              <w:rPr>
                <w:rFonts w:hint="eastAsia" w:ascii="Times New Roman" w:hAnsi="宋体" w:eastAsia="宋体" w:cs="Times New Roman"/>
                <w:color w:val="auto"/>
                <w:kern w:val="0"/>
                <w:sz w:val="21"/>
                <w:szCs w:val="21"/>
                <w:lang w:val="en-US" w:eastAsia="zh-CN" w:bidi="ar-SA"/>
              </w:rPr>
              <w:t>∶</w:t>
            </w:r>
            <w:r>
              <w:rPr>
                <w:rFonts w:ascii="Times New Roman" w:hAnsi="宋体" w:eastAsia="宋体" w:cs="Times New Roman"/>
                <w:color w:val="auto"/>
                <w:kern w:val="0"/>
                <w:sz w:val="21"/>
                <w:szCs w:val="21"/>
                <w:lang w:val="en-US" w:eastAsia="zh-CN" w:bidi="ar-SA"/>
              </w:rPr>
              <w:t>5的地基上顺坡排土，未按设计采取安全措施；</w:t>
            </w:r>
          </w:p>
          <w:p w14:paraId="744210B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2.排土场总堆置高度2倍范围以内有人员密集场所，未按设计采取安全措施；</w:t>
            </w:r>
          </w:p>
          <w:p w14:paraId="10E1239F">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3.山坡排土场周围未按设计修筑截、排水设施。</w:t>
            </w:r>
          </w:p>
        </w:tc>
        <w:tc>
          <w:tcPr>
            <w:tcW w:w="1081" w:type="pct"/>
            <w:noWrap w:val="0"/>
            <w:vAlign w:val="center"/>
          </w:tcPr>
          <w:p w14:paraId="3CD55763">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无排土场，不涉及</w:t>
            </w:r>
          </w:p>
        </w:tc>
        <w:tc>
          <w:tcPr>
            <w:tcW w:w="662" w:type="pct"/>
            <w:noWrap w:val="0"/>
            <w:vAlign w:val="center"/>
          </w:tcPr>
          <w:p w14:paraId="1FC3EEE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不构成</w:t>
            </w:r>
          </w:p>
        </w:tc>
      </w:tr>
      <w:tr w14:paraId="3F5C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63" w:type="pct"/>
            <w:noWrap w:val="0"/>
            <w:vAlign w:val="center"/>
          </w:tcPr>
          <w:p w14:paraId="3F3212F0">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12</w:t>
            </w:r>
          </w:p>
        </w:tc>
        <w:tc>
          <w:tcPr>
            <w:tcW w:w="2893" w:type="pct"/>
            <w:noWrap w:val="0"/>
            <w:vAlign w:val="center"/>
          </w:tcPr>
          <w:p w14:paraId="70AC577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露天采场未按设计设置安全平台和清扫平台。</w:t>
            </w:r>
          </w:p>
        </w:tc>
        <w:tc>
          <w:tcPr>
            <w:tcW w:w="1081" w:type="pct"/>
            <w:noWrap w:val="0"/>
            <w:vAlign w:val="center"/>
          </w:tcPr>
          <w:p w14:paraId="2E560136">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已按设计要求进行设置</w:t>
            </w:r>
          </w:p>
        </w:tc>
        <w:tc>
          <w:tcPr>
            <w:tcW w:w="662" w:type="pct"/>
            <w:noWrap w:val="0"/>
            <w:vAlign w:val="center"/>
          </w:tcPr>
          <w:p w14:paraId="4328391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不构成</w:t>
            </w:r>
          </w:p>
        </w:tc>
      </w:tr>
      <w:tr w14:paraId="10733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363" w:type="pct"/>
            <w:noWrap w:val="0"/>
            <w:vAlign w:val="center"/>
          </w:tcPr>
          <w:p w14:paraId="037D5F3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13</w:t>
            </w:r>
          </w:p>
        </w:tc>
        <w:tc>
          <w:tcPr>
            <w:tcW w:w="2893" w:type="pct"/>
            <w:noWrap w:val="0"/>
            <w:vAlign w:val="center"/>
          </w:tcPr>
          <w:p w14:paraId="72EB2707">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擅自对在用排土场进行回采作业。</w:t>
            </w:r>
          </w:p>
        </w:tc>
        <w:tc>
          <w:tcPr>
            <w:tcW w:w="1081" w:type="pct"/>
            <w:noWrap w:val="0"/>
            <w:vAlign w:val="center"/>
          </w:tcPr>
          <w:p w14:paraId="34BAF8D3">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无排土场，不涉及</w:t>
            </w:r>
          </w:p>
        </w:tc>
        <w:tc>
          <w:tcPr>
            <w:tcW w:w="662" w:type="pct"/>
            <w:noWrap w:val="0"/>
            <w:vAlign w:val="center"/>
          </w:tcPr>
          <w:p w14:paraId="67E6059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不构成</w:t>
            </w:r>
          </w:p>
        </w:tc>
      </w:tr>
      <w:tr w14:paraId="49F48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363" w:type="pct"/>
            <w:noWrap w:val="0"/>
            <w:vAlign w:val="center"/>
          </w:tcPr>
          <w:p w14:paraId="7E905F17">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14</w:t>
            </w:r>
          </w:p>
        </w:tc>
        <w:tc>
          <w:tcPr>
            <w:tcW w:w="2893" w:type="pct"/>
            <w:noWrap w:val="0"/>
            <w:vAlign w:val="center"/>
          </w:tcPr>
          <w:p w14:paraId="01F2551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办公区、生活区等人员集聚场所设在危崖、塌陷区、崩落区，或洪水、泥石流、滑坡等灾害威胁范围内。</w:t>
            </w:r>
          </w:p>
        </w:tc>
        <w:tc>
          <w:tcPr>
            <w:tcW w:w="1081" w:type="pct"/>
            <w:noWrap w:val="0"/>
            <w:vAlign w:val="center"/>
          </w:tcPr>
          <w:p w14:paraId="5070FDA7">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无此现象</w:t>
            </w:r>
          </w:p>
        </w:tc>
        <w:tc>
          <w:tcPr>
            <w:tcW w:w="662" w:type="pct"/>
            <w:noWrap w:val="0"/>
            <w:vAlign w:val="center"/>
          </w:tcPr>
          <w:p w14:paraId="16291F24">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不构成</w:t>
            </w:r>
          </w:p>
        </w:tc>
      </w:tr>
      <w:tr w14:paraId="2643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63" w:type="pct"/>
            <w:noWrap w:val="0"/>
            <w:vAlign w:val="center"/>
          </w:tcPr>
          <w:p w14:paraId="1EC8DC60">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15</w:t>
            </w:r>
          </w:p>
        </w:tc>
        <w:tc>
          <w:tcPr>
            <w:tcW w:w="2893" w:type="pct"/>
            <w:noWrap w:val="0"/>
            <w:vAlign w:val="center"/>
          </w:tcPr>
          <w:p w14:paraId="0D45EE4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遇极端天气露天矿山未及时停止作业、撤出现场作业人员。</w:t>
            </w:r>
          </w:p>
        </w:tc>
        <w:tc>
          <w:tcPr>
            <w:tcW w:w="1081" w:type="pct"/>
            <w:noWrap w:val="0"/>
            <w:vAlign w:val="center"/>
          </w:tcPr>
          <w:p w14:paraId="2F57D16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无此现象</w:t>
            </w:r>
          </w:p>
        </w:tc>
        <w:tc>
          <w:tcPr>
            <w:tcW w:w="662" w:type="pct"/>
            <w:noWrap w:val="0"/>
            <w:vAlign w:val="center"/>
          </w:tcPr>
          <w:p w14:paraId="6AB5526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不构成</w:t>
            </w:r>
          </w:p>
        </w:tc>
      </w:tr>
    </w:tbl>
    <w:p w14:paraId="24BE6BAB">
      <w:pPr>
        <w:bidi w:val="0"/>
        <w:rPr>
          <w:rFonts w:hint="default"/>
          <w:color w:val="auto"/>
          <w:lang w:val="en-US" w:eastAsia="zh-CN"/>
        </w:rPr>
      </w:pPr>
      <w:r>
        <w:rPr>
          <w:rFonts w:hint="default"/>
          <w:color w:val="auto"/>
          <w:lang w:val="en-US" w:eastAsia="zh-CN"/>
        </w:rPr>
        <w:t>评价小结</w:t>
      </w:r>
      <w:r>
        <w:rPr>
          <w:rFonts w:hint="eastAsia"/>
          <w:color w:val="auto"/>
          <w:lang w:val="en-US" w:eastAsia="zh-CN"/>
        </w:rPr>
        <w:t>：</w:t>
      </w:r>
      <w:r>
        <w:rPr>
          <w:rFonts w:hint="default"/>
          <w:color w:val="auto"/>
          <w:lang w:val="en-US" w:eastAsia="zh-CN"/>
        </w:rPr>
        <w:t>通过安全检查表分析可知，重大生产安全事故隐患判定单元共检查</w:t>
      </w:r>
      <w:r>
        <w:rPr>
          <w:rFonts w:hint="eastAsia"/>
          <w:color w:val="auto"/>
          <w:lang w:val="en-US" w:eastAsia="zh-CN"/>
        </w:rPr>
        <w:t>15</w:t>
      </w:r>
      <w:r>
        <w:rPr>
          <w:rFonts w:hint="default"/>
          <w:color w:val="auto"/>
          <w:lang w:val="en-US" w:eastAsia="zh-CN"/>
        </w:rPr>
        <w:t>项，均符合要求，不构成重大安全事故隐患。</w:t>
      </w:r>
    </w:p>
    <w:p w14:paraId="394C6107">
      <w:pPr>
        <w:pStyle w:val="3"/>
        <w:bidi w:val="0"/>
        <w:rPr>
          <w:rFonts w:hint="eastAsia"/>
          <w:color w:val="auto"/>
          <w:lang w:val="en-US" w:eastAsia="zh-CN"/>
        </w:rPr>
      </w:pPr>
      <w:bookmarkStart w:id="558" w:name="_Toc5701"/>
      <w:bookmarkStart w:id="559" w:name="_Toc21895"/>
      <w:bookmarkStart w:id="560" w:name="_Toc576"/>
      <w:bookmarkStart w:id="561" w:name="_Toc29880"/>
      <w:bookmarkStart w:id="562" w:name="_Toc6362"/>
      <w:bookmarkStart w:id="563" w:name="_Toc11450"/>
      <w:r>
        <w:rPr>
          <w:rFonts w:hint="eastAsia"/>
          <w:color w:val="auto"/>
          <w:lang w:val="en-US" w:eastAsia="zh-CN"/>
        </w:rPr>
        <w:t>5.8 综合评价单元</w:t>
      </w:r>
      <w:bookmarkEnd w:id="558"/>
      <w:bookmarkEnd w:id="559"/>
      <w:bookmarkEnd w:id="560"/>
      <w:bookmarkEnd w:id="561"/>
      <w:bookmarkEnd w:id="562"/>
      <w:bookmarkEnd w:id="563"/>
    </w:p>
    <w:p w14:paraId="207CB0B8">
      <w:pPr>
        <w:pStyle w:val="4"/>
        <w:bidi w:val="0"/>
        <w:rPr>
          <w:rFonts w:hint="default"/>
          <w:color w:val="auto"/>
          <w:lang w:val="en-US" w:eastAsia="zh-CN"/>
        </w:rPr>
      </w:pPr>
      <w:bookmarkStart w:id="564" w:name="_Toc26654"/>
      <w:bookmarkStart w:id="565" w:name="_Toc3633"/>
      <w:bookmarkStart w:id="566" w:name="_Toc17202"/>
      <w:bookmarkStart w:id="567" w:name="_Toc26280"/>
      <w:bookmarkStart w:id="568" w:name="_Toc571"/>
      <w:bookmarkStart w:id="569" w:name="_Toc16334"/>
      <w:r>
        <w:rPr>
          <w:rFonts w:hint="default"/>
          <w:color w:val="auto"/>
          <w:lang w:val="en-US" w:eastAsia="zh-CN"/>
        </w:rPr>
        <w:t>5.8.1</w:t>
      </w:r>
      <w:r>
        <w:rPr>
          <w:rFonts w:hint="eastAsia"/>
          <w:color w:val="auto"/>
          <w:lang w:val="en-US" w:eastAsia="zh-CN"/>
        </w:rPr>
        <w:t xml:space="preserve"> </w:t>
      </w:r>
      <w:r>
        <w:rPr>
          <w:rFonts w:hint="default"/>
          <w:color w:val="auto"/>
          <w:lang w:val="en-US" w:eastAsia="zh-CN"/>
        </w:rPr>
        <w:t>安全检查表</w:t>
      </w:r>
      <w:bookmarkEnd w:id="564"/>
      <w:bookmarkEnd w:id="565"/>
      <w:bookmarkEnd w:id="566"/>
      <w:bookmarkEnd w:id="567"/>
      <w:bookmarkEnd w:id="568"/>
      <w:bookmarkEnd w:id="569"/>
    </w:p>
    <w:p w14:paraId="00E63F1B">
      <w:pPr>
        <w:rPr>
          <w:rFonts w:hint="default"/>
          <w:color w:val="auto"/>
          <w:lang w:val="en-US" w:eastAsia="zh-CN"/>
        </w:rPr>
      </w:pPr>
      <w:r>
        <w:rPr>
          <w:rFonts w:hint="default"/>
          <w:color w:val="auto"/>
          <w:lang w:val="en-US" w:eastAsia="zh-CN"/>
        </w:rPr>
        <w:t>运用安全检查表对</w:t>
      </w:r>
      <w:r>
        <w:rPr>
          <w:rFonts w:hint="eastAsia"/>
          <w:color w:val="auto"/>
          <w:lang w:val="en-US" w:eastAsia="zh-CN"/>
        </w:rPr>
        <w:t>本</w:t>
      </w:r>
      <w:r>
        <w:rPr>
          <w:rFonts w:hint="default"/>
          <w:color w:val="auto"/>
          <w:lang w:val="en-US" w:eastAsia="zh-CN"/>
        </w:rPr>
        <w:t>矿山综合系统进行评价，对照检查表说明，从而判定矿山的安全等别，具体见表5</w:t>
      </w:r>
      <w:r>
        <w:rPr>
          <w:rFonts w:hint="eastAsia"/>
          <w:color w:val="auto"/>
          <w:lang w:val="en-US" w:eastAsia="zh-CN"/>
        </w:rPr>
        <w:t>.8</w:t>
      </w:r>
      <w:r>
        <w:rPr>
          <w:rFonts w:hint="default"/>
          <w:color w:val="auto"/>
          <w:lang w:val="en-US" w:eastAsia="zh-CN"/>
        </w:rPr>
        <w:t>-1、5</w:t>
      </w:r>
      <w:r>
        <w:rPr>
          <w:rFonts w:hint="eastAsia"/>
          <w:color w:val="auto"/>
          <w:lang w:val="en-US" w:eastAsia="zh-CN"/>
        </w:rPr>
        <w:t>.8-2</w:t>
      </w:r>
      <w:r>
        <w:rPr>
          <w:rFonts w:hint="default"/>
          <w:color w:val="auto"/>
          <w:lang w:val="en-US" w:eastAsia="zh-CN"/>
        </w:rPr>
        <w:t>。</w:t>
      </w:r>
    </w:p>
    <w:p w14:paraId="5BBE9407">
      <w:pPr>
        <w:ind w:left="0" w:leftChars="0" w:firstLine="0" w:firstLineChars="0"/>
        <w:jc w:val="center"/>
        <w:rPr>
          <w:rFonts w:hint="eastAsia"/>
          <w:color w:val="auto"/>
          <w:lang w:val="en-US" w:eastAsia="zh-CN"/>
        </w:rPr>
      </w:pPr>
      <w:r>
        <w:rPr>
          <w:rFonts w:hint="default"/>
          <w:color w:val="auto"/>
          <w:lang w:val="en-US" w:eastAsia="zh-CN"/>
        </w:rPr>
        <w:t>表5</w:t>
      </w:r>
      <w:r>
        <w:rPr>
          <w:rFonts w:hint="eastAsia"/>
          <w:color w:val="auto"/>
          <w:lang w:val="en-US" w:eastAsia="zh-CN"/>
        </w:rPr>
        <w:t>.8</w:t>
      </w:r>
      <w:r>
        <w:rPr>
          <w:rFonts w:hint="default"/>
          <w:color w:val="auto"/>
          <w:lang w:val="en-US" w:eastAsia="zh-CN"/>
        </w:rPr>
        <w:t>-1</w:t>
      </w:r>
      <w:r>
        <w:rPr>
          <w:rFonts w:hint="eastAsia"/>
          <w:color w:val="auto"/>
          <w:lang w:val="en-US" w:eastAsia="zh-CN"/>
        </w:rPr>
        <w:t xml:space="preserve"> 综合安全检查表</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6"/>
        <w:gridCol w:w="2086"/>
        <w:gridCol w:w="1434"/>
        <w:gridCol w:w="1521"/>
        <w:gridCol w:w="1629"/>
        <w:gridCol w:w="1566"/>
      </w:tblGrid>
      <w:tr w14:paraId="7C315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blHeader/>
          <w:jc w:val="center"/>
        </w:trPr>
        <w:tc>
          <w:tcPr>
            <w:tcW w:w="563" w:type="pct"/>
            <w:noWrap w:val="0"/>
            <w:vAlign w:val="center"/>
          </w:tcPr>
          <w:p w14:paraId="06A554D6">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ascii="Times New Roman" w:hAnsi="宋体" w:eastAsia="宋体" w:cs="Times New Roman"/>
                <w:b/>
                <w:bCs/>
                <w:color w:val="auto"/>
                <w:kern w:val="0"/>
                <w:sz w:val="21"/>
                <w:szCs w:val="21"/>
                <w:lang w:val="en-US" w:eastAsia="zh-CN" w:bidi="ar-SA"/>
              </w:rPr>
              <w:t>序号</w:t>
            </w:r>
          </w:p>
        </w:tc>
        <w:tc>
          <w:tcPr>
            <w:tcW w:w="1123" w:type="pct"/>
            <w:noWrap w:val="0"/>
            <w:vAlign w:val="center"/>
          </w:tcPr>
          <w:p w14:paraId="5EFB78B6">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ascii="Times New Roman" w:hAnsi="宋体" w:eastAsia="宋体" w:cs="Times New Roman"/>
                <w:b/>
                <w:bCs/>
                <w:color w:val="auto"/>
                <w:kern w:val="0"/>
                <w:sz w:val="21"/>
                <w:szCs w:val="21"/>
                <w:lang w:val="en-US" w:eastAsia="zh-CN" w:bidi="ar-SA"/>
              </w:rPr>
              <w:t>评价单元</w:t>
            </w:r>
          </w:p>
        </w:tc>
        <w:tc>
          <w:tcPr>
            <w:tcW w:w="772" w:type="pct"/>
            <w:noWrap w:val="0"/>
            <w:vAlign w:val="center"/>
          </w:tcPr>
          <w:p w14:paraId="52FF43A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hint="eastAsia" w:ascii="Times New Roman" w:hAnsi="宋体" w:eastAsia="宋体" w:cs="Times New Roman"/>
                <w:b/>
                <w:bCs/>
                <w:color w:val="auto"/>
                <w:kern w:val="0"/>
                <w:sz w:val="21"/>
                <w:szCs w:val="21"/>
                <w:lang w:val="en-US" w:eastAsia="zh-CN" w:bidi="ar-SA"/>
              </w:rPr>
              <w:t>总分</w:t>
            </w:r>
          </w:p>
        </w:tc>
        <w:tc>
          <w:tcPr>
            <w:tcW w:w="819" w:type="pct"/>
            <w:noWrap w:val="0"/>
            <w:vAlign w:val="center"/>
          </w:tcPr>
          <w:p w14:paraId="47178097">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ascii="Times New Roman" w:hAnsi="宋体" w:eastAsia="宋体" w:cs="Times New Roman"/>
                <w:b/>
                <w:bCs/>
                <w:color w:val="auto"/>
                <w:kern w:val="0"/>
                <w:sz w:val="21"/>
                <w:szCs w:val="21"/>
                <w:lang w:val="en-US" w:eastAsia="zh-CN" w:bidi="ar-SA"/>
              </w:rPr>
              <w:t>得分</w:t>
            </w:r>
          </w:p>
        </w:tc>
        <w:tc>
          <w:tcPr>
            <w:tcW w:w="877" w:type="pct"/>
            <w:noWrap w:val="0"/>
            <w:vAlign w:val="center"/>
          </w:tcPr>
          <w:p w14:paraId="085EBFA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ascii="Times New Roman" w:hAnsi="宋体" w:eastAsia="宋体" w:cs="Times New Roman"/>
                <w:b/>
                <w:bCs/>
                <w:color w:val="auto"/>
                <w:kern w:val="0"/>
                <w:sz w:val="21"/>
                <w:szCs w:val="21"/>
                <w:lang w:val="en-US" w:eastAsia="zh-CN" w:bidi="ar-SA"/>
              </w:rPr>
              <w:t>得分率/%</w:t>
            </w:r>
          </w:p>
        </w:tc>
        <w:tc>
          <w:tcPr>
            <w:tcW w:w="843" w:type="pct"/>
            <w:noWrap w:val="0"/>
            <w:vAlign w:val="center"/>
          </w:tcPr>
          <w:p w14:paraId="73C90DA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ascii="Times New Roman" w:hAnsi="宋体" w:eastAsia="宋体" w:cs="Times New Roman"/>
                <w:b/>
                <w:bCs/>
                <w:color w:val="auto"/>
                <w:kern w:val="0"/>
                <w:sz w:val="21"/>
                <w:szCs w:val="21"/>
                <w:lang w:val="en-US" w:eastAsia="zh-CN" w:bidi="ar-SA"/>
              </w:rPr>
              <w:t>备注</w:t>
            </w:r>
          </w:p>
        </w:tc>
      </w:tr>
      <w:tr w14:paraId="1543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blHeader/>
          <w:jc w:val="center"/>
        </w:trPr>
        <w:tc>
          <w:tcPr>
            <w:tcW w:w="563" w:type="pct"/>
            <w:noWrap w:val="0"/>
            <w:vAlign w:val="center"/>
          </w:tcPr>
          <w:p w14:paraId="54096560">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1</w:t>
            </w:r>
          </w:p>
        </w:tc>
        <w:tc>
          <w:tcPr>
            <w:tcW w:w="1123" w:type="pct"/>
            <w:noWrap w:val="0"/>
            <w:vAlign w:val="center"/>
          </w:tcPr>
          <w:p w14:paraId="7EB25733">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安全管理</w:t>
            </w:r>
          </w:p>
        </w:tc>
        <w:tc>
          <w:tcPr>
            <w:tcW w:w="772" w:type="pct"/>
            <w:noWrap w:val="0"/>
            <w:vAlign w:val="center"/>
          </w:tcPr>
          <w:p w14:paraId="1B6207A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120</w:t>
            </w:r>
          </w:p>
        </w:tc>
        <w:tc>
          <w:tcPr>
            <w:tcW w:w="819" w:type="pct"/>
            <w:noWrap w:val="0"/>
            <w:vAlign w:val="center"/>
          </w:tcPr>
          <w:p w14:paraId="61D7881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96</w:t>
            </w:r>
          </w:p>
        </w:tc>
        <w:tc>
          <w:tcPr>
            <w:tcW w:w="877" w:type="pct"/>
            <w:noWrap w:val="0"/>
            <w:vAlign w:val="center"/>
          </w:tcPr>
          <w:p w14:paraId="7B6CD68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80</w:t>
            </w:r>
          </w:p>
        </w:tc>
        <w:tc>
          <w:tcPr>
            <w:tcW w:w="843" w:type="pct"/>
            <w:noWrap w:val="0"/>
            <w:vAlign w:val="center"/>
          </w:tcPr>
          <w:p w14:paraId="34FD43D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w:t>
            </w:r>
          </w:p>
        </w:tc>
      </w:tr>
      <w:tr w14:paraId="0947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blHeader/>
          <w:jc w:val="center"/>
        </w:trPr>
        <w:tc>
          <w:tcPr>
            <w:tcW w:w="563" w:type="pct"/>
            <w:noWrap w:val="0"/>
            <w:vAlign w:val="center"/>
          </w:tcPr>
          <w:p w14:paraId="0F4D07C2">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2</w:t>
            </w:r>
          </w:p>
        </w:tc>
        <w:tc>
          <w:tcPr>
            <w:tcW w:w="1123" w:type="pct"/>
            <w:noWrap w:val="0"/>
            <w:vAlign w:val="center"/>
          </w:tcPr>
          <w:p w14:paraId="6231DF4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露天采场</w:t>
            </w:r>
          </w:p>
        </w:tc>
        <w:tc>
          <w:tcPr>
            <w:tcW w:w="772" w:type="pct"/>
            <w:noWrap w:val="0"/>
            <w:vAlign w:val="center"/>
          </w:tcPr>
          <w:p w14:paraId="11E3151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192</w:t>
            </w:r>
          </w:p>
        </w:tc>
        <w:tc>
          <w:tcPr>
            <w:tcW w:w="819" w:type="pct"/>
            <w:noWrap w:val="0"/>
            <w:vAlign w:val="center"/>
          </w:tcPr>
          <w:p w14:paraId="0706EFD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179</w:t>
            </w:r>
          </w:p>
        </w:tc>
        <w:tc>
          <w:tcPr>
            <w:tcW w:w="877" w:type="pct"/>
            <w:noWrap w:val="0"/>
            <w:vAlign w:val="center"/>
          </w:tcPr>
          <w:p w14:paraId="2791623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93.23</w:t>
            </w:r>
          </w:p>
        </w:tc>
        <w:tc>
          <w:tcPr>
            <w:tcW w:w="843" w:type="pct"/>
            <w:noWrap w:val="0"/>
            <w:vAlign w:val="center"/>
          </w:tcPr>
          <w:p w14:paraId="1AC57601">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w:t>
            </w:r>
          </w:p>
        </w:tc>
      </w:tr>
      <w:tr w14:paraId="38F5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blHeader/>
          <w:jc w:val="center"/>
        </w:trPr>
        <w:tc>
          <w:tcPr>
            <w:tcW w:w="563" w:type="pct"/>
            <w:noWrap w:val="0"/>
            <w:vAlign w:val="center"/>
          </w:tcPr>
          <w:p w14:paraId="6B67A237">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3</w:t>
            </w:r>
          </w:p>
        </w:tc>
        <w:tc>
          <w:tcPr>
            <w:tcW w:w="1123" w:type="pct"/>
            <w:noWrap w:val="0"/>
            <w:vAlign w:val="center"/>
          </w:tcPr>
          <w:p w14:paraId="2B5ED04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边坡管理</w:t>
            </w:r>
          </w:p>
        </w:tc>
        <w:tc>
          <w:tcPr>
            <w:tcW w:w="772" w:type="pct"/>
            <w:noWrap w:val="0"/>
            <w:vAlign w:val="center"/>
          </w:tcPr>
          <w:p w14:paraId="0FAE5D4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25</w:t>
            </w:r>
          </w:p>
        </w:tc>
        <w:tc>
          <w:tcPr>
            <w:tcW w:w="819" w:type="pct"/>
            <w:noWrap w:val="0"/>
            <w:vAlign w:val="center"/>
          </w:tcPr>
          <w:p w14:paraId="4025686B">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20</w:t>
            </w:r>
          </w:p>
        </w:tc>
        <w:tc>
          <w:tcPr>
            <w:tcW w:w="877" w:type="pct"/>
            <w:noWrap w:val="0"/>
            <w:vAlign w:val="center"/>
          </w:tcPr>
          <w:p w14:paraId="713A2A4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80</w:t>
            </w:r>
          </w:p>
        </w:tc>
        <w:tc>
          <w:tcPr>
            <w:tcW w:w="843" w:type="pct"/>
            <w:noWrap w:val="0"/>
            <w:vAlign w:val="center"/>
          </w:tcPr>
          <w:p w14:paraId="58E33D1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w:t>
            </w:r>
          </w:p>
        </w:tc>
      </w:tr>
      <w:tr w14:paraId="6C2F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blHeader/>
          <w:jc w:val="center"/>
        </w:trPr>
        <w:tc>
          <w:tcPr>
            <w:tcW w:w="563" w:type="pct"/>
            <w:noWrap w:val="0"/>
            <w:vAlign w:val="center"/>
          </w:tcPr>
          <w:p w14:paraId="41E9D5E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4</w:t>
            </w:r>
          </w:p>
        </w:tc>
        <w:tc>
          <w:tcPr>
            <w:tcW w:w="1123" w:type="pct"/>
            <w:noWrap w:val="0"/>
            <w:vAlign w:val="center"/>
          </w:tcPr>
          <w:p w14:paraId="729F983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供配电设施</w:t>
            </w:r>
          </w:p>
        </w:tc>
        <w:tc>
          <w:tcPr>
            <w:tcW w:w="772" w:type="pct"/>
            <w:noWrap w:val="0"/>
            <w:vAlign w:val="center"/>
          </w:tcPr>
          <w:p w14:paraId="439A0BF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53</w:t>
            </w:r>
          </w:p>
        </w:tc>
        <w:tc>
          <w:tcPr>
            <w:tcW w:w="819" w:type="pct"/>
            <w:noWrap w:val="0"/>
            <w:vAlign w:val="center"/>
          </w:tcPr>
          <w:p w14:paraId="1C63D7A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49</w:t>
            </w:r>
          </w:p>
        </w:tc>
        <w:tc>
          <w:tcPr>
            <w:tcW w:w="877" w:type="pct"/>
            <w:noWrap w:val="0"/>
            <w:vAlign w:val="center"/>
          </w:tcPr>
          <w:p w14:paraId="7C36C69F">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92.45</w:t>
            </w:r>
          </w:p>
        </w:tc>
        <w:tc>
          <w:tcPr>
            <w:tcW w:w="843" w:type="pct"/>
            <w:noWrap w:val="0"/>
            <w:vAlign w:val="center"/>
          </w:tcPr>
          <w:p w14:paraId="10C00D3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w:t>
            </w:r>
          </w:p>
        </w:tc>
      </w:tr>
      <w:tr w14:paraId="5EF7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blHeader/>
          <w:jc w:val="center"/>
        </w:trPr>
        <w:tc>
          <w:tcPr>
            <w:tcW w:w="563" w:type="pct"/>
            <w:noWrap w:val="0"/>
            <w:vAlign w:val="center"/>
          </w:tcPr>
          <w:p w14:paraId="20B9A88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5</w:t>
            </w:r>
          </w:p>
        </w:tc>
        <w:tc>
          <w:tcPr>
            <w:tcW w:w="1123" w:type="pct"/>
            <w:noWrap w:val="0"/>
            <w:vAlign w:val="center"/>
          </w:tcPr>
          <w:p w14:paraId="05079E44">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防排水</w:t>
            </w:r>
          </w:p>
        </w:tc>
        <w:tc>
          <w:tcPr>
            <w:tcW w:w="772" w:type="pct"/>
            <w:noWrap w:val="0"/>
            <w:vAlign w:val="center"/>
          </w:tcPr>
          <w:p w14:paraId="5C4D9D71">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2</w:t>
            </w:r>
            <w:r>
              <w:rPr>
                <w:rFonts w:hint="eastAsia" w:hAnsi="宋体" w:cs="Times New Roman"/>
                <w:color w:val="auto"/>
                <w:kern w:val="0"/>
                <w:sz w:val="21"/>
                <w:szCs w:val="21"/>
                <w:lang w:val="en-US" w:eastAsia="zh-CN" w:bidi="ar-SA"/>
              </w:rPr>
              <w:t>0</w:t>
            </w:r>
          </w:p>
        </w:tc>
        <w:tc>
          <w:tcPr>
            <w:tcW w:w="819" w:type="pct"/>
            <w:noWrap w:val="0"/>
            <w:vAlign w:val="center"/>
          </w:tcPr>
          <w:p w14:paraId="08E9906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2</w:t>
            </w:r>
            <w:r>
              <w:rPr>
                <w:rFonts w:hint="eastAsia" w:hAnsi="宋体" w:cs="Times New Roman"/>
                <w:color w:val="auto"/>
                <w:kern w:val="0"/>
                <w:sz w:val="21"/>
                <w:szCs w:val="21"/>
                <w:lang w:val="en-US" w:eastAsia="zh-CN" w:bidi="ar-SA"/>
              </w:rPr>
              <w:t>0</w:t>
            </w:r>
          </w:p>
        </w:tc>
        <w:tc>
          <w:tcPr>
            <w:tcW w:w="877" w:type="pct"/>
            <w:noWrap w:val="0"/>
            <w:vAlign w:val="center"/>
          </w:tcPr>
          <w:p w14:paraId="6AB9053D">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100</w:t>
            </w:r>
          </w:p>
        </w:tc>
        <w:tc>
          <w:tcPr>
            <w:tcW w:w="843" w:type="pct"/>
            <w:noWrap w:val="0"/>
            <w:vAlign w:val="center"/>
          </w:tcPr>
          <w:p w14:paraId="4844586B">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w:t>
            </w:r>
          </w:p>
        </w:tc>
      </w:tr>
      <w:tr w14:paraId="7235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blHeader/>
          <w:jc w:val="center"/>
        </w:trPr>
        <w:tc>
          <w:tcPr>
            <w:tcW w:w="563" w:type="pct"/>
            <w:noWrap w:val="0"/>
            <w:vAlign w:val="center"/>
          </w:tcPr>
          <w:p w14:paraId="34EAFE7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6</w:t>
            </w:r>
          </w:p>
        </w:tc>
        <w:tc>
          <w:tcPr>
            <w:tcW w:w="1123" w:type="pct"/>
            <w:noWrap w:val="0"/>
            <w:vAlign w:val="center"/>
          </w:tcPr>
          <w:p w14:paraId="3CB1C200">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防灭火</w:t>
            </w:r>
          </w:p>
        </w:tc>
        <w:tc>
          <w:tcPr>
            <w:tcW w:w="772" w:type="pct"/>
            <w:noWrap w:val="0"/>
            <w:vAlign w:val="center"/>
          </w:tcPr>
          <w:p w14:paraId="7516E51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w:t>
            </w:r>
            <w:r>
              <w:rPr>
                <w:rFonts w:hint="eastAsia" w:hAnsi="宋体" w:cs="Times New Roman"/>
                <w:color w:val="auto"/>
                <w:kern w:val="0"/>
                <w:sz w:val="21"/>
                <w:szCs w:val="21"/>
                <w:lang w:val="en-US" w:eastAsia="zh-CN" w:bidi="ar-SA"/>
              </w:rPr>
              <w:t>0</w:t>
            </w:r>
          </w:p>
        </w:tc>
        <w:tc>
          <w:tcPr>
            <w:tcW w:w="819" w:type="pct"/>
            <w:noWrap w:val="0"/>
            <w:vAlign w:val="center"/>
          </w:tcPr>
          <w:p w14:paraId="0FA061E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w:t>
            </w:r>
            <w:r>
              <w:rPr>
                <w:rFonts w:hint="eastAsia" w:hAnsi="宋体" w:cs="Times New Roman"/>
                <w:color w:val="auto"/>
                <w:kern w:val="0"/>
                <w:sz w:val="21"/>
                <w:szCs w:val="21"/>
                <w:lang w:val="en-US" w:eastAsia="zh-CN" w:bidi="ar-SA"/>
              </w:rPr>
              <w:t>0</w:t>
            </w:r>
          </w:p>
        </w:tc>
        <w:tc>
          <w:tcPr>
            <w:tcW w:w="877" w:type="pct"/>
            <w:noWrap w:val="0"/>
            <w:vAlign w:val="center"/>
          </w:tcPr>
          <w:p w14:paraId="32B7B98F">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100</w:t>
            </w:r>
          </w:p>
        </w:tc>
        <w:tc>
          <w:tcPr>
            <w:tcW w:w="843" w:type="pct"/>
            <w:noWrap w:val="0"/>
            <w:vAlign w:val="center"/>
          </w:tcPr>
          <w:p w14:paraId="7E896914">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w:t>
            </w:r>
          </w:p>
        </w:tc>
      </w:tr>
      <w:tr w14:paraId="5B5C2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blHeader/>
          <w:jc w:val="center"/>
        </w:trPr>
        <w:tc>
          <w:tcPr>
            <w:tcW w:w="1686" w:type="pct"/>
            <w:gridSpan w:val="2"/>
            <w:noWrap w:val="0"/>
            <w:vAlign w:val="center"/>
          </w:tcPr>
          <w:p w14:paraId="1044629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综合</w:t>
            </w:r>
          </w:p>
        </w:tc>
        <w:tc>
          <w:tcPr>
            <w:tcW w:w="772" w:type="pct"/>
            <w:noWrap w:val="0"/>
            <w:vAlign w:val="center"/>
          </w:tcPr>
          <w:p w14:paraId="43E25E97">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420</w:t>
            </w:r>
          </w:p>
        </w:tc>
        <w:tc>
          <w:tcPr>
            <w:tcW w:w="819" w:type="pct"/>
            <w:noWrap w:val="0"/>
            <w:vAlign w:val="center"/>
          </w:tcPr>
          <w:p w14:paraId="284721C4">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374</w:t>
            </w:r>
          </w:p>
        </w:tc>
        <w:tc>
          <w:tcPr>
            <w:tcW w:w="877" w:type="pct"/>
            <w:noWrap w:val="0"/>
            <w:vAlign w:val="center"/>
          </w:tcPr>
          <w:p w14:paraId="76D04BBB">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89.05</w:t>
            </w:r>
          </w:p>
        </w:tc>
        <w:tc>
          <w:tcPr>
            <w:tcW w:w="843" w:type="pct"/>
            <w:noWrap w:val="0"/>
            <w:vAlign w:val="center"/>
          </w:tcPr>
          <w:p w14:paraId="6FCA1713">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w:t>
            </w:r>
          </w:p>
        </w:tc>
      </w:tr>
    </w:tbl>
    <w:p w14:paraId="1E653282">
      <w:pPr>
        <w:ind w:left="0" w:leftChars="0" w:firstLine="0" w:firstLineChars="0"/>
        <w:jc w:val="center"/>
        <w:rPr>
          <w:rFonts w:hint="eastAsia"/>
          <w:color w:val="auto"/>
          <w:lang w:val="en-US" w:eastAsia="zh-CN"/>
        </w:rPr>
      </w:pPr>
      <w:r>
        <w:rPr>
          <w:rFonts w:hint="default"/>
          <w:color w:val="auto"/>
          <w:lang w:val="en-US" w:eastAsia="zh-CN"/>
        </w:rPr>
        <w:t>表5</w:t>
      </w:r>
      <w:r>
        <w:rPr>
          <w:rFonts w:hint="eastAsia"/>
          <w:color w:val="auto"/>
          <w:lang w:val="en-US" w:eastAsia="zh-CN"/>
        </w:rPr>
        <w:t>.8</w:t>
      </w:r>
      <w:r>
        <w:rPr>
          <w:rFonts w:hint="default"/>
          <w:color w:val="auto"/>
          <w:lang w:val="en-US" w:eastAsia="zh-CN"/>
        </w:rPr>
        <w:t>-</w:t>
      </w:r>
      <w:r>
        <w:rPr>
          <w:rFonts w:hint="eastAsia"/>
          <w:color w:val="auto"/>
          <w:lang w:val="en-US" w:eastAsia="zh-CN"/>
        </w:rPr>
        <w:t>2 检查表说明</w:t>
      </w:r>
    </w:p>
    <w:tbl>
      <w:tblPr>
        <w:tblStyle w:val="20"/>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5448"/>
        <w:gridCol w:w="2573"/>
      </w:tblGrid>
      <w:tr w14:paraId="6495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blHeader/>
          <w:jc w:val="center"/>
        </w:trPr>
        <w:tc>
          <w:tcPr>
            <w:tcW w:w="1057" w:type="dxa"/>
            <w:noWrap w:val="0"/>
            <w:vAlign w:val="center"/>
          </w:tcPr>
          <w:p w14:paraId="5939E553">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ascii="Times New Roman" w:hAnsi="宋体" w:eastAsia="宋体" w:cs="Times New Roman"/>
                <w:b/>
                <w:bCs/>
                <w:color w:val="auto"/>
                <w:kern w:val="0"/>
                <w:sz w:val="21"/>
                <w:szCs w:val="21"/>
                <w:lang w:val="en-US" w:eastAsia="zh-CN" w:bidi="ar-SA"/>
              </w:rPr>
              <w:t>类型</w:t>
            </w:r>
          </w:p>
        </w:tc>
        <w:tc>
          <w:tcPr>
            <w:tcW w:w="5448" w:type="dxa"/>
            <w:noWrap w:val="0"/>
            <w:vAlign w:val="center"/>
          </w:tcPr>
          <w:p w14:paraId="02343E51">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ascii="Times New Roman" w:hAnsi="宋体" w:eastAsia="宋体" w:cs="Times New Roman"/>
                <w:b/>
                <w:bCs/>
                <w:color w:val="auto"/>
                <w:kern w:val="0"/>
                <w:sz w:val="21"/>
                <w:szCs w:val="21"/>
                <w:lang w:val="en-US" w:eastAsia="zh-CN" w:bidi="ar-SA"/>
              </w:rPr>
              <w:t>概念</w:t>
            </w:r>
          </w:p>
        </w:tc>
        <w:tc>
          <w:tcPr>
            <w:tcW w:w="2573" w:type="dxa"/>
            <w:noWrap w:val="0"/>
            <w:vAlign w:val="center"/>
          </w:tcPr>
          <w:p w14:paraId="6FFB23F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ascii="Times New Roman" w:hAnsi="宋体" w:eastAsia="宋体" w:cs="Times New Roman"/>
                <w:b/>
                <w:bCs/>
                <w:color w:val="auto"/>
                <w:kern w:val="0"/>
                <w:sz w:val="21"/>
                <w:szCs w:val="21"/>
                <w:lang w:val="en-US" w:eastAsia="zh-CN" w:bidi="ar-SA"/>
              </w:rPr>
              <w:t>条件</w:t>
            </w:r>
          </w:p>
        </w:tc>
      </w:tr>
      <w:tr w14:paraId="153D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blHeader/>
          <w:jc w:val="center"/>
        </w:trPr>
        <w:tc>
          <w:tcPr>
            <w:tcW w:w="1057" w:type="dxa"/>
            <w:noWrap w:val="0"/>
            <w:vAlign w:val="center"/>
          </w:tcPr>
          <w:p w14:paraId="7667C07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A类矿山</w:t>
            </w:r>
          </w:p>
        </w:tc>
        <w:tc>
          <w:tcPr>
            <w:tcW w:w="5448" w:type="dxa"/>
            <w:noWrap w:val="0"/>
            <w:vAlign w:val="center"/>
          </w:tcPr>
          <w:p w14:paraId="6985B90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安全生产条件好，生产活动有安全保障。</w:t>
            </w:r>
          </w:p>
        </w:tc>
        <w:tc>
          <w:tcPr>
            <w:tcW w:w="2573" w:type="dxa"/>
            <w:noWrap w:val="0"/>
            <w:vAlign w:val="center"/>
          </w:tcPr>
          <w:p w14:paraId="32CA1F7F">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得分率在90%以上</w:t>
            </w:r>
          </w:p>
        </w:tc>
      </w:tr>
      <w:tr w14:paraId="76DD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blHeader/>
          <w:jc w:val="center"/>
        </w:trPr>
        <w:tc>
          <w:tcPr>
            <w:tcW w:w="1057" w:type="dxa"/>
            <w:noWrap w:val="0"/>
            <w:vAlign w:val="center"/>
          </w:tcPr>
          <w:p w14:paraId="598F80C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B类矿山</w:t>
            </w:r>
          </w:p>
        </w:tc>
        <w:tc>
          <w:tcPr>
            <w:tcW w:w="5448" w:type="dxa"/>
            <w:noWrap w:val="0"/>
            <w:vAlign w:val="center"/>
          </w:tcPr>
          <w:p w14:paraId="1F5620B6">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安全生产条件一般，能满足基本的安全生产活动。</w:t>
            </w:r>
          </w:p>
        </w:tc>
        <w:tc>
          <w:tcPr>
            <w:tcW w:w="2573" w:type="dxa"/>
            <w:noWrap w:val="0"/>
            <w:vAlign w:val="center"/>
          </w:tcPr>
          <w:p w14:paraId="67BAA03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得分率在80%</w:t>
            </w:r>
            <w:r>
              <w:rPr>
                <w:rFonts w:hint="eastAsia" w:ascii="Times New Roman" w:hAnsi="宋体" w:eastAsia="宋体" w:cs="Times New Roman"/>
                <w:color w:val="auto"/>
                <w:kern w:val="0"/>
                <w:sz w:val="21"/>
                <w:szCs w:val="21"/>
                <w:lang w:val="en-US" w:eastAsia="zh-CN" w:bidi="ar-SA"/>
              </w:rPr>
              <w:t>～</w:t>
            </w:r>
            <w:r>
              <w:rPr>
                <w:rFonts w:ascii="Times New Roman" w:hAnsi="宋体" w:eastAsia="宋体" w:cs="Times New Roman"/>
                <w:color w:val="auto"/>
                <w:kern w:val="0"/>
                <w:sz w:val="21"/>
                <w:szCs w:val="21"/>
                <w:lang w:val="en-US" w:eastAsia="zh-CN" w:bidi="ar-SA"/>
              </w:rPr>
              <w:t>89%之间</w:t>
            </w:r>
          </w:p>
        </w:tc>
      </w:tr>
      <w:tr w14:paraId="1350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blHeader/>
          <w:jc w:val="center"/>
        </w:trPr>
        <w:tc>
          <w:tcPr>
            <w:tcW w:w="1057" w:type="dxa"/>
            <w:noWrap w:val="0"/>
            <w:vAlign w:val="center"/>
          </w:tcPr>
          <w:p w14:paraId="01C860FD">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C类矿山</w:t>
            </w:r>
          </w:p>
        </w:tc>
        <w:tc>
          <w:tcPr>
            <w:tcW w:w="5448" w:type="dxa"/>
            <w:noWrap w:val="0"/>
            <w:vAlign w:val="center"/>
          </w:tcPr>
          <w:p w14:paraId="50BE5226">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安全生产条件差，不能完全保证安全生产活动，需要限期整改。</w:t>
            </w:r>
          </w:p>
        </w:tc>
        <w:tc>
          <w:tcPr>
            <w:tcW w:w="2573" w:type="dxa"/>
            <w:noWrap w:val="0"/>
            <w:vAlign w:val="center"/>
          </w:tcPr>
          <w:p w14:paraId="0963324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得分率在60%</w:t>
            </w:r>
            <w:r>
              <w:rPr>
                <w:rFonts w:hint="eastAsia" w:ascii="Times New Roman" w:hAnsi="宋体" w:eastAsia="宋体" w:cs="Times New Roman"/>
                <w:color w:val="auto"/>
                <w:kern w:val="0"/>
                <w:sz w:val="21"/>
                <w:szCs w:val="21"/>
                <w:lang w:val="en-US" w:eastAsia="zh-CN" w:bidi="ar-SA"/>
              </w:rPr>
              <w:t>～</w:t>
            </w:r>
            <w:r>
              <w:rPr>
                <w:rFonts w:ascii="Times New Roman" w:hAnsi="宋体" w:eastAsia="宋体" w:cs="Times New Roman"/>
                <w:color w:val="auto"/>
                <w:kern w:val="0"/>
                <w:sz w:val="21"/>
                <w:szCs w:val="21"/>
                <w:lang w:val="en-US" w:eastAsia="zh-CN" w:bidi="ar-SA"/>
              </w:rPr>
              <w:t>79%之间</w:t>
            </w:r>
          </w:p>
        </w:tc>
      </w:tr>
      <w:tr w14:paraId="57A3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blHeader/>
          <w:jc w:val="center"/>
        </w:trPr>
        <w:tc>
          <w:tcPr>
            <w:tcW w:w="1057" w:type="dxa"/>
            <w:noWrap w:val="0"/>
            <w:vAlign w:val="center"/>
          </w:tcPr>
          <w:p w14:paraId="3BC1353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D类矿山</w:t>
            </w:r>
          </w:p>
        </w:tc>
        <w:tc>
          <w:tcPr>
            <w:tcW w:w="5448" w:type="dxa"/>
            <w:noWrap w:val="0"/>
            <w:vAlign w:val="center"/>
          </w:tcPr>
          <w:p w14:paraId="654657AF">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不具备基本的安全生产条件，或未通过验收，需要责令停产整顿的矿山。</w:t>
            </w:r>
          </w:p>
        </w:tc>
        <w:tc>
          <w:tcPr>
            <w:tcW w:w="2573" w:type="dxa"/>
            <w:noWrap w:val="0"/>
            <w:vAlign w:val="center"/>
          </w:tcPr>
          <w:p w14:paraId="4624650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得分率在60%以下</w:t>
            </w:r>
          </w:p>
        </w:tc>
      </w:tr>
      <w:tr w14:paraId="0221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057" w:type="dxa"/>
            <w:noWrap w:val="0"/>
            <w:vAlign w:val="center"/>
          </w:tcPr>
          <w:p w14:paraId="6F3C5EC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备注</w:t>
            </w:r>
          </w:p>
        </w:tc>
        <w:tc>
          <w:tcPr>
            <w:tcW w:w="5448" w:type="dxa"/>
            <w:noWrap w:val="0"/>
            <w:vAlign w:val="center"/>
          </w:tcPr>
          <w:p w14:paraId="633F26C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left"/>
              <w:textAlignment w:val="auto"/>
              <w:rPr>
                <w:rFonts w:hint="eastAsia"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1</w:t>
            </w:r>
            <w:r>
              <w:rPr>
                <w:rFonts w:hint="eastAsia" w:ascii="Times New Roman" w:hAnsi="宋体" w:eastAsia="宋体" w:cs="Times New Roman"/>
                <w:color w:val="auto"/>
                <w:kern w:val="0"/>
                <w:sz w:val="21"/>
                <w:szCs w:val="21"/>
                <w:lang w:val="en-US" w:eastAsia="zh-CN" w:bidi="ar-SA"/>
              </w:rPr>
              <w:t>.</w:t>
            </w:r>
            <w:r>
              <w:rPr>
                <w:rFonts w:ascii="Times New Roman" w:hAnsi="宋体" w:eastAsia="宋体" w:cs="Times New Roman"/>
                <w:color w:val="auto"/>
                <w:kern w:val="0"/>
                <w:sz w:val="21"/>
                <w:szCs w:val="21"/>
                <w:lang w:val="en-US" w:eastAsia="zh-CN" w:bidi="ar-SA"/>
              </w:rPr>
              <w:t>本评价标准中的《规程》是指《金属非金属矿山安全规程》</w:t>
            </w:r>
            <w:r>
              <w:rPr>
                <w:rFonts w:hint="eastAsia" w:hAnsi="宋体" w:cs="Times New Roman"/>
                <w:color w:val="auto"/>
                <w:kern w:val="0"/>
                <w:sz w:val="21"/>
                <w:szCs w:val="21"/>
                <w:lang w:val="en-US" w:eastAsia="zh-CN" w:bidi="ar-SA"/>
              </w:rPr>
              <w:t>（GB16423-2020）</w:t>
            </w:r>
            <w:r>
              <w:rPr>
                <w:rFonts w:ascii="Times New Roman" w:hAnsi="宋体" w:eastAsia="宋体" w:cs="Times New Roman"/>
                <w:color w:val="auto"/>
                <w:kern w:val="0"/>
                <w:sz w:val="21"/>
                <w:szCs w:val="21"/>
                <w:lang w:val="en-US" w:eastAsia="zh-CN" w:bidi="ar-SA"/>
              </w:rPr>
              <w:t>。</w:t>
            </w:r>
          </w:p>
          <w:p w14:paraId="559F45C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left"/>
              <w:textAlignment w:val="auto"/>
              <w:rPr>
                <w:rFonts w:hint="eastAsia"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2</w:t>
            </w:r>
            <w:r>
              <w:rPr>
                <w:rFonts w:hint="eastAsia" w:ascii="Times New Roman" w:hAnsi="宋体" w:eastAsia="宋体" w:cs="Times New Roman"/>
                <w:color w:val="auto"/>
                <w:kern w:val="0"/>
                <w:sz w:val="21"/>
                <w:szCs w:val="21"/>
                <w:lang w:val="en-US" w:eastAsia="zh-CN" w:bidi="ar-SA"/>
              </w:rPr>
              <w:t>.</w:t>
            </w:r>
            <w:r>
              <w:rPr>
                <w:rFonts w:ascii="Times New Roman" w:hAnsi="宋体" w:eastAsia="宋体" w:cs="Times New Roman"/>
                <w:color w:val="auto"/>
                <w:kern w:val="0"/>
                <w:sz w:val="21"/>
                <w:szCs w:val="21"/>
                <w:lang w:val="en-US" w:eastAsia="zh-CN" w:bidi="ar-SA"/>
              </w:rPr>
              <w:t>因矿种不同，生产中没有涉及的项目，可不予评估，总分为实际评价项目的分值总和。最后得分采用得分率，即：实际评价得分÷实际评价项目的分值总和×100%。</w:t>
            </w:r>
          </w:p>
          <w:p w14:paraId="70E64F82">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left"/>
              <w:textAlignment w:val="auto"/>
              <w:rPr>
                <w:rFonts w:hint="eastAsia"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3</w:t>
            </w:r>
            <w:r>
              <w:rPr>
                <w:rFonts w:hint="eastAsia" w:ascii="Times New Roman" w:hAnsi="宋体" w:eastAsia="宋体" w:cs="Times New Roman"/>
                <w:color w:val="auto"/>
                <w:kern w:val="0"/>
                <w:sz w:val="21"/>
                <w:szCs w:val="21"/>
                <w:lang w:val="en-US" w:eastAsia="zh-CN" w:bidi="ar-SA"/>
              </w:rPr>
              <w:t>.</w:t>
            </w:r>
            <w:r>
              <w:rPr>
                <w:rFonts w:ascii="Times New Roman" w:hAnsi="宋体" w:eastAsia="宋体" w:cs="Times New Roman"/>
                <w:color w:val="auto"/>
                <w:kern w:val="0"/>
                <w:sz w:val="21"/>
                <w:szCs w:val="21"/>
                <w:lang w:val="en-US" w:eastAsia="zh-CN" w:bidi="ar-SA"/>
              </w:rPr>
              <w:t>算出总得分率时，必须把各单元的得分率一起考虑。</w:t>
            </w:r>
          </w:p>
          <w:p w14:paraId="16A63CB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left"/>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4</w:t>
            </w:r>
            <w:r>
              <w:rPr>
                <w:rFonts w:hint="eastAsia" w:ascii="Times New Roman" w:hAnsi="宋体" w:eastAsia="宋体" w:cs="Times New Roman"/>
                <w:color w:val="auto"/>
                <w:kern w:val="0"/>
                <w:sz w:val="21"/>
                <w:szCs w:val="21"/>
                <w:lang w:val="en-US" w:eastAsia="zh-CN" w:bidi="ar-SA"/>
              </w:rPr>
              <w:t>.</w:t>
            </w:r>
            <w:r>
              <w:rPr>
                <w:rFonts w:ascii="Times New Roman" w:hAnsi="宋体" w:eastAsia="宋体" w:cs="Times New Roman"/>
                <w:color w:val="auto"/>
                <w:kern w:val="0"/>
                <w:sz w:val="21"/>
                <w:szCs w:val="21"/>
                <w:lang w:val="en-US" w:eastAsia="zh-CN" w:bidi="ar-SA"/>
              </w:rPr>
              <w:t>检查表扣分尺度，由各专家根据实际情况具体掌握。</w:t>
            </w:r>
          </w:p>
        </w:tc>
        <w:tc>
          <w:tcPr>
            <w:tcW w:w="2573" w:type="dxa"/>
            <w:noWrap w:val="0"/>
            <w:vAlign w:val="center"/>
          </w:tcPr>
          <w:p w14:paraId="601CA411">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ascii="Times New Roman" w:hAnsi="宋体" w:eastAsia="宋体" w:cs="Times New Roman"/>
                <w:color w:val="auto"/>
                <w:kern w:val="0"/>
                <w:sz w:val="21"/>
                <w:szCs w:val="21"/>
                <w:lang w:val="en-US" w:eastAsia="zh-CN" w:bidi="ar-SA"/>
              </w:rPr>
              <w:t>该表总分值为：4</w:t>
            </w:r>
            <w:r>
              <w:rPr>
                <w:rFonts w:hint="eastAsia" w:hAnsi="宋体" w:cs="Times New Roman"/>
                <w:color w:val="auto"/>
                <w:kern w:val="0"/>
                <w:sz w:val="21"/>
                <w:szCs w:val="21"/>
                <w:lang w:val="en-US" w:eastAsia="zh-CN" w:bidi="ar-SA"/>
              </w:rPr>
              <w:t>20</w:t>
            </w:r>
            <w:r>
              <w:rPr>
                <w:rFonts w:ascii="Times New Roman" w:hAnsi="宋体" w:eastAsia="宋体" w:cs="Times New Roman"/>
                <w:color w:val="auto"/>
                <w:kern w:val="0"/>
                <w:sz w:val="21"/>
                <w:szCs w:val="21"/>
                <w:lang w:val="en-US" w:eastAsia="zh-CN" w:bidi="ar-SA"/>
              </w:rPr>
              <w:t>分</w:t>
            </w:r>
          </w:p>
        </w:tc>
      </w:tr>
    </w:tbl>
    <w:p w14:paraId="29026574">
      <w:pPr>
        <w:pStyle w:val="4"/>
        <w:bidi w:val="0"/>
        <w:rPr>
          <w:rFonts w:hint="default"/>
          <w:color w:val="auto"/>
          <w:lang w:val="en-US" w:eastAsia="zh-CN"/>
        </w:rPr>
      </w:pPr>
      <w:bookmarkStart w:id="570" w:name="_Toc23813"/>
      <w:bookmarkStart w:id="571" w:name="_Toc14031"/>
      <w:bookmarkStart w:id="572" w:name="_Toc27994"/>
      <w:bookmarkStart w:id="573" w:name="_Toc961"/>
      <w:bookmarkStart w:id="574" w:name="_Toc4839"/>
      <w:bookmarkStart w:id="575" w:name="_Toc8226"/>
      <w:r>
        <w:rPr>
          <w:rFonts w:hint="eastAsia"/>
          <w:color w:val="auto"/>
          <w:lang w:val="en-US" w:eastAsia="zh-CN"/>
        </w:rPr>
        <w:t>5.8.2 评价结论</w:t>
      </w:r>
      <w:bookmarkEnd w:id="570"/>
      <w:bookmarkEnd w:id="571"/>
      <w:bookmarkEnd w:id="572"/>
      <w:bookmarkEnd w:id="573"/>
      <w:bookmarkEnd w:id="574"/>
      <w:bookmarkEnd w:id="575"/>
    </w:p>
    <w:p w14:paraId="11FFDDBE">
      <w:pPr>
        <w:rPr>
          <w:rFonts w:hint="default"/>
          <w:color w:val="auto"/>
          <w:lang w:val="en-US" w:eastAsia="zh-CN"/>
        </w:rPr>
      </w:pPr>
      <w:r>
        <w:rPr>
          <w:rFonts w:hint="default"/>
          <w:color w:val="auto"/>
          <w:lang w:val="en-US" w:eastAsia="zh-CN"/>
        </w:rPr>
        <w:t>通过安全检查表符合性评价可</w:t>
      </w:r>
      <w:r>
        <w:rPr>
          <w:rFonts w:hint="eastAsia"/>
          <w:color w:val="auto"/>
          <w:lang w:val="en-US" w:eastAsia="zh-CN"/>
        </w:rPr>
        <w:t>知：</w:t>
      </w:r>
    </w:p>
    <w:p w14:paraId="30C47F32">
      <w:pPr>
        <w:rPr>
          <w:rFonts w:hint="default"/>
          <w:color w:val="auto"/>
          <w:lang w:val="en-US" w:eastAsia="zh-CN"/>
        </w:rPr>
      </w:pPr>
      <w:r>
        <w:rPr>
          <w:rFonts w:hint="default"/>
          <w:color w:val="auto"/>
          <w:lang w:val="en-US" w:eastAsia="zh-CN"/>
        </w:rPr>
        <w:t>1</w:t>
      </w:r>
      <w:r>
        <w:rPr>
          <w:rFonts w:hint="eastAsia"/>
          <w:color w:val="auto"/>
          <w:lang w:val="en-US" w:eastAsia="zh-CN"/>
        </w:rPr>
        <w:t xml:space="preserve">. </w:t>
      </w:r>
      <w:r>
        <w:rPr>
          <w:rFonts w:hint="default"/>
          <w:color w:val="auto"/>
          <w:lang w:val="en-US" w:eastAsia="zh-CN"/>
        </w:rPr>
        <w:t>本评价项目否决项的检查结论均为合格</w:t>
      </w:r>
      <w:r>
        <w:rPr>
          <w:rFonts w:hint="eastAsia"/>
          <w:color w:val="auto"/>
          <w:lang w:val="en-US" w:eastAsia="zh-CN"/>
        </w:rPr>
        <w:t>；</w:t>
      </w:r>
    </w:p>
    <w:p w14:paraId="72F07CD4">
      <w:pPr>
        <w:rPr>
          <w:rFonts w:hint="default"/>
          <w:color w:val="auto"/>
          <w:lang w:val="en-US" w:eastAsia="zh-CN"/>
        </w:rPr>
      </w:pPr>
      <w:r>
        <w:rPr>
          <w:rFonts w:hint="default"/>
          <w:color w:val="auto"/>
          <w:lang w:val="en-US" w:eastAsia="zh-CN"/>
        </w:rPr>
        <w:t>2</w:t>
      </w:r>
      <w:r>
        <w:rPr>
          <w:rFonts w:hint="eastAsia"/>
          <w:color w:val="auto"/>
          <w:lang w:val="en-US" w:eastAsia="zh-CN"/>
        </w:rPr>
        <w:t xml:space="preserve">. </w:t>
      </w:r>
      <w:r>
        <w:rPr>
          <w:rFonts w:hint="default"/>
          <w:color w:val="auto"/>
          <w:lang w:val="en-US" w:eastAsia="zh-CN"/>
        </w:rPr>
        <w:t>通过安全检查表符合性评价，安全检查表标准总分为4</w:t>
      </w:r>
      <w:r>
        <w:rPr>
          <w:rFonts w:hint="eastAsia"/>
          <w:color w:val="auto"/>
          <w:lang w:val="en-US" w:eastAsia="zh-CN"/>
        </w:rPr>
        <w:t>20</w:t>
      </w:r>
      <w:r>
        <w:rPr>
          <w:rFonts w:hint="default"/>
          <w:color w:val="auto"/>
          <w:lang w:val="en-US" w:eastAsia="zh-CN"/>
        </w:rPr>
        <w:t>分，该露天矿山评价得分为</w:t>
      </w:r>
      <w:r>
        <w:rPr>
          <w:rFonts w:hint="eastAsia"/>
          <w:color w:val="auto"/>
          <w:lang w:val="en-US" w:eastAsia="zh-CN"/>
        </w:rPr>
        <w:t>374</w:t>
      </w:r>
      <w:r>
        <w:rPr>
          <w:rFonts w:hint="default"/>
          <w:color w:val="auto"/>
          <w:lang w:val="en-US" w:eastAsia="zh-CN"/>
        </w:rPr>
        <w:t>分，得分率</w:t>
      </w:r>
      <w:r>
        <w:rPr>
          <w:rFonts w:hint="eastAsia"/>
          <w:color w:val="auto"/>
          <w:lang w:val="en-US" w:eastAsia="zh-CN"/>
        </w:rPr>
        <w:t>89.05</w:t>
      </w:r>
      <w:r>
        <w:rPr>
          <w:rFonts w:hint="default"/>
          <w:color w:val="auto"/>
          <w:lang w:val="en-US" w:eastAsia="zh-CN"/>
        </w:rPr>
        <w:t>%，该矿山属</w:t>
      </w:r>
      <w:r>
        <w:rPr>
          <w:rFonts w:hint="eastAsia"/>
          <w:color w:val="auto"/>
          <w:lang w:val="en-US" w:eastAsia="zh-CN"/>
        </w:rPr>
        <w:t>B</w:t>
      </w:r>
      <w:r>
        <w:rPr>
          <w:rFonts w:hint="default"/>
          <w:color w:val="auto"/>
          <w:lang w:val="en-US" w:eastAsia="zh-CN"/>
        </w:rPr>
        <w:t>类矿山，安全生产条件一般，能满足基本的安全生产活动。</w:t>
      </w:r>
    </w:p>
    <w:p w14:paraId="72371C7E">
      <w:pPr>
        <w:pStyle w:val="3"/>
        <w:bidi w:val="0"/>
        <w:rPr>
          <w:rFonts w:hint="default"/>
          <w:color w:val="auto"/>
          <w:lang w:val="en-US" w:eastAsia="zh-CN"/>
        </w:rPr>
      </w:pPr>
      <w:bookmarkStart w:id="576" w:name="_Toc11271"/>
      <w:bookmarkStart w:id="577" w:name="_Toc8712"/>
      <w:bookmarkStart w:id="578" w:name="_Toc8494"/>
      <w:bookmarkStart w:id="579" w:name="_Toc10520"/>
      <w:bookmarkStart w:id="580" w:name="_Toc173"/>
      <w:bookmarkStart w:id="581" w:name="_Toc7004"/>
      <w:r>
        <w:rPr>
          <w:rFonts w:hint="eastAsia"/>
          <w:color w:val="auto"/>
          <w:lang w:val="en-US" w:eastAsia="zh-CN"/>
        </w:rPr>
        <w:t xml:space="preserve">5.9 </w:t>
      </w:r>
      <w:r>
        <w:rPr>
          <w:rFonts w:hint="default"/>
          <w:color w:val="auto"/>
          <w:lang w:val="en-US" w:eastAsia="zh-CN"/>
        </w:rPr>
        <w:t>作业条件危险性分析</w:t>
      </w:r>
      <w:bookmarkEnd w:id="576"/>
      <w:bookmarkEnd w:id="577"/>
      <w:bookmarkEnd w:id="578"/>
      <w:bookmarkEnd w:id="579"/>
      <w:bookmarkEnd w:id="580"/>
      <w:bookmarkEnd w:id="581"/>
    </w:p>
    <w:p w14:paraId="0566CD01">
      <w:pPr>
        <w:rPr>
          <w:rFonts w:hint="default"/>
          <w:color w:val="auto"/>
          <w:lang w:val="en-US" w:eastAsia="zh-CN"/>
        </w:rPr>
      </w:pPr>
      <w:r>
        <w:rPr>
          <w:rFonts w:hint="default"/>
          <w:color w:val="auto"/>
          <w:lang w:val="en-US" w:eastAsia="zh-CN"/>
        </w:rPr>
        <w:t>采用作业条件危险性分析对露天矿山采场穿孔作业、爆破作业、铲装运输作业、洒水防尘</w:t>
      </w:r>
      <w:r>
        <w:rPr>
          <w:rFonts w:hint="eastAsia"/>
          <w:color w:val="auto"/>
          <w:lang w:val="en-US" w:eastAsia="zh-CN"/>
        </w:rPr>
        <w:t>作业</w:t>
      </w:r>
      <w:r>
        <w:rPr>
          <w:rFonts w:hint="default"/>
          <w:color w:val="auto"/>
          <w:lang w:val="en-US" w:eastAsia="zh-CN"/>
        </w:rPr>
        <w:t>等进行事故发生可能性及其严重程度分析评价。</w:t>
      </w:r>
    </w:p>
    <w:p w14:paraId="2A7C5EE8">
      <w:pPr>
        <w:rPr>
          <w:rFonts w:hint="default"/>
          <w:color w:val="auto"/>
          <w:lang w:val="en-US" w:eastAsia="zh-CN"/>
        </w:rPr>
      </w:pPr>
      <w:r>
        <w:rPr>
          <w:rFonts w:hint="default"/>
          <w:color w:val="auto"/>
          <w:lang w:val="en-US" w:eastAsia="zh-CN"/>
        </w:rPr>
        <w:t>露天矿山采场穿孔作业、爆破作业、铲装运输作业、洒水防尘等</w:t>
      </w:r>
      <w:r>
        <w:rPr>
          <w:rFonts w:hint="eastAsia"/>
          <w:color w:val="auto"/>
          <w:lang w:val="en-US" w:eastAsia="zh-CN"/>
        </w:rPr>
        <w:t>作业</w:t>
      </w:r>
      <w:r>
        <w:rPr>
          <w:rFonts w:hint="default"/>
          <w:color w:val="auto"/>
          <w:lang w:val="en-US" w:eastAsia="zh-CN"/>
        </w:rPr>
        <w:t>是矿山企业的主要生产作业区和重要工序，作业条件不断变化，作业危险性相对大，采用作业条件危险性评价方法，对以上作业工艺存在的危险、有害因素导致事故发生的可能性和严重程度进行评价，并确定各作业工艺安全生产承受水平以及采取措施后，是否能达到安全生产的要求。</w:t>
      </w:r>
    </w:p>
    <w:p w14:paraId="2EE18F3B">
      <w:pPr>
        <w:rPr>
          <w:rFonts w:hint="default"/>
          <w:color w:val="auto"/>
          <w:lang w:val="en-US" w:eastAsia="zh-CN"/>
        </w:rPr>
      </w:pPr>
      <w:r>
        <w:rPr>
          <w:rFonts w:hint="default"/>
          <w:color w:val="auto"/>
          <w:lang w:val="en-US" w:eastAsia="zh-CN"/>
        </w:rPr>
        <w:t>露天开采作业条件危险性评价综合结果如表5</w:t>
      </w:r>
      <w:r>
        <w:rPr>
          <w:rFonts w:hint="eastAsia"/>
          <w:color w:val="auto"/>
          <w:lang w:val="en-US" w:eastAsia="zh-CN"/>
        </w:rPr>
        <w:t>.9</w:t>
      </w:r>
      <w:r>
        <w:rPr>
          <w:rFonts w:hint="default"/>
          <w:color w:val="auto"/>
          <w:lang w:val="en-US" w:eastAsia="zh-CN"/>
        </w:rPr>
        <w:t>-</w:t>
      </w:r>
      <w:r>
        <w:rPr>
          <w:rFonts w:hint="eastAsia"/>
          <w:color w:val="auto"/>
          <w:lang w:val="en-US" w:eastAsia="zh-CN"/>
        </w:rPr>
        <w:t>1</w:t>
      </w:r>
      <w:r>
        <w:rPr>
          <w:rFonts w:hint="default"/>
          <w:color w:val="auto"/>
          <w:lang w:val="en-US" w:eastAsia="zh-CN"/>
        </w:rPr>
        <w:t>所示。</w:t>
      </w:r>
    </w:p>
    <w:p w14:paraId="59A1549C">
      <w:pPr>
        <w:ind w:left="0" w:leftChars="0" w:firstLine="0" w:firstLineChars="0"/>
        <w:jc w:val="center"/>
        <w:rPr>
          <w:rFonts w:hint="eastAsia"/>
          <w:color w:val="auto"/>
          <w:lang w:val="en-US" w:eastAsia="zh-CN"/>
        </w:rPr>
      </w:pPr>
      <w:r>
        <w:rPr>
          <w:rFonts w:hint="default"/>
          <w:color w:val="auto"/>
          <w:lang w:val="en-US" w:eastAsia="zh-CN"/>
        </w:rPr>
        <w:t>表5</w:t>
      </w:r>
      <w:r>
        <w:rPr>
          <w:rFonts w:hint="eastAsia"/>
          <w:color w:val="auto"/>
          <w:lang w:val="en-US" w:eastAsia="zh-CN"/>
        </w:rPr>
        <w:t>.9</w:t>
      </w:r>
      <w:r>
        <w:rPr>
          <w:rFonts w:hint="default"/>
          <w:color w:val="auto"/>
          <w:lang w:val="en-US" w:eastAsia="zh-CN"/>
        </w:rPr>
        <w:t>-</w:t>
      </w:r>
      <w:r>
        <w:rPr>
          <w:rFonts w:hint="eastAsia"/>
          <w:color w:val="auto"/>
          <w:lang w:val="en-US" w:eastAsia="zh-CN"/>
        </w:rPr>
        <w:t>1 露天开采作业条件危险性评价</w:t>
      </w:r>
    </w:p>
    <w:tbl>
      <w:tblPr>
        <w:tblStyle w:val="20"/>
        <w:tblW w:w="0" w:type="auto"/>
        <w:tblInd w:w="240" w:type="dxa"/>
        <w:tblLayout w:type="fixed"/>
        <w:tblCellMar>
          <w:top w:w="0" w:type="dxa"/>
          <w:left w:w="108" w:type="dxa"/>
          <w:bottom w:w="0" w:type="dxa"/>
          <w:right w:w="108" w:type="dxa"/>
        </w:tblCellMar>
      </w:tblPr>
      <w:tblGrid>
        <w:gridCol w:w="1188"/>
        <w:gridCol w:w="2472"/>
        <w:gridCol w:w="861"/>
        <w:gridCol w:w="1039"/>
        <w:gridCol w:w="975"/>
        <w:gridCol w:w="932"/>
        <w:gridCol w:w="1249"/>
      </w:tblGrid>
      <w:tr w14:paraId="6C9B2371">
        <w:tblPrEx>
          <w:tblCellMar>
            <w:top w:w="0" w:type="dxa"/>
            <w:left w:w="108" w:type="dxa"/>
            <w:bottom w:w="0" w:type="dxa"/>
            <w:right w:w="108" w:type="dxa"/>
          </w:tblCellMar>
        </w:tblPrEx>
        <w:trPr>
          <w:trHeight w:val="438" w:hRule="exact"/>
        </w:trPr>
        <w:tc>
          <w:tcPr>
            <w:tcW w:w="1188" w:type="dxa"/>
            <w:tcBorders>
              <w:top w:val="single" w:color="auto" w:sz="4" w:space="0"/>
              <w:left w:val="single" w:color="auto" w:sz="4" w:space="0"/>
              <w:bottom w:val="single" w:color="auto" w:sz="4" w:space="0"/>
              <w:right w:val="single" w:color="auto" w:sz="4" w:space="0"/>
            </w:tcBorders>
            <w:noWrap w:val="0"/>
            <w:vAlign w:val="center"/>
          </w:tcPr>
          <w:p w14:paraId="46CBF9F1">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hint="eastAsia" w:ascii="Times New Roman" w:hAnsi="宋体" w:eastAsia="宋体" w:cs="Times New Roman"/>
                <w:b/>
                <w:bCs/>
                <w:color w:val="auto"/>
                <w:kern w:val="0"/>
                <w:sz w:val="21"/>
                <w:szCs w:val="21"/>
                <w:lang w:val="en-US" w:eastAsia="zh-CN" w:bidi="ar-SA"/>
              </w:rPr>
              <w:t>作业单元</w:t>
            </w:r>
          </w:p>
        </w:tc>
        <w:tc>
          <w:tcPr>
            <w:tcW w:w="2472" w:type="dxa"/>
            <w:tcBorders>
              <w:top w:val="single" w:color="auto" w:sz="4" w:space="0"/>
              <w:left w:val="single" w:color="auto" w:sz="4" w:space="0"/>
              <w:bottom w:val="single" w:color="auto" w:sz="4" w:space="0"/>
              <w:right w:val="single" w:color="auto" w:sz="4" w:space="0"/>
            </w:tcBorders>
            <w:noWrap w:val="0"/>
            <w:vAlign w:val="center"/>
          </w:tcPr>
          <w:p w14:paraId="44ED3AF7">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hint="eastAsia" w:ascii="Times New Roman" w:hAnsi="宋体" w:eastAsia="宋体" w:cs="Times New Roman"/>
                <w:b/>
                <w:bCs/>
                <w:color w:val="auto"/>
                <w:kern w:val="0"/>
                <w:sz w:val="21"/>
                <w:szCs w:val="21"/>
                <w:lang w:val="en-US" w:eastAsia="zh-CN" w:bidi="ar-SA"/>
              </w:rPr>
              <w:t>主要危险有害因素</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6E1A3662">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hint="eastAsia" w:ascii="Times New Roman" w:hAnsi="宋体" w:eastAsia="宋体" w:cs="Times New Roman"/>
                <w:b/>
                <w:bCs/>
                <w:color w:val="auto"/>
                <w:kern w:val="0"/>
                <w:sz w:val="21"/>
                <w:szCs w:val="21"/>
                <w:lang w:val="en-US" w:eastAsia="zh-CN" w:bidi="ar-SA"/>
              </w:rPr>
              <w:t>L</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0F35895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hint="eastAsia" w:ascii="Times New Roman" w:hAnsi="宋体" w:eastAsia="宋体" w:cs="Times New Roman"/>
                <w:b/>
                <w:bCs/>
                <w:color w:val="auto"/>
                <w:kern w:val="0"/>
                <w:sz w:val="21"/>
                <w:szCs w:val="21"/>
                <w:lang w:val="en-US" w:eastAsia="zh-CN" w:bidi="ar-SA"/>
              </w:rPr>
              <w:t>E</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242AFFF1">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hint="eastAsia" w:ascii="Times New Roman" w:hAnsi="宋体" w:eastAsia="宋体" w:cs="Times New Roman"/>
                <w:b/>
                <w:bCs/>
                <w:color w:val="auto"/>
                <w:kern w:val="0"/>
                <w:sz w:val="21"/>
                <w:szCs w:val="21"/>
                <w:lang w:val="en-US" w:eastAsia="zh-CN" w:bidi="ar-SA"/>
              </w:rPr>
              <w:t>C</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557B9C1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hint="eastAsia" w:ascii="Times New Roman" w:hAnsi="宋体" w:eastAsia="宋体" w:cs="Times New Roman"/>
                <w:b/>
                <w:bCs/>
                <w:color w:val="auto"/>
                <w:kern w:val="0"/>
                <w:sz w:val="21"/>
                <w:szCs w:val="21"/>
                <w:lang w:val="en-US" w:eastAsia="zh-CN" w:bidi="ar-SA"/>
              </w:rPr>
              <w:t>D</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0574A86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b/>
                <w:bCs/>
                <w:color w:val="auto"/>
                <w:kern w:val="0"/>
                <w:sz w:val="21"/>
                <w:szCs w:val="21"/>
                <w:lang w:val="en-US" w:eastAsia="zh-CN" w:bidi="ar-SA"/>
              </w:rPr>
            </w:pPr>
            <w:r>
              <w:rPr>
                <w:rFonts w:hint="eastAsia" w:ascii="Times New Roman" w:hAnsi="宋体" w:eastAsia="宋体" w:cs="Times New Roman"/>
                <w:b/>
                <w:bCs/>
                <w:color w:val="auto"/>
                <w:kern w:val="0"/>
                <w:sz w:val="21"/>
                <w:szCs w:val="21"/>
                <w:lang w:val="en-US" w:eastAsia="zh-CN" w:bidi="ar-SA"/>
              </w:rPr>
              <w:t>危险程度</w:t>
            </w:r>
          </w:p>
        </w:tc>
      </w:tr>
      <w:tr w14:paraId="244CD17D">
        <w:tblPrEx>
          <w:tblCellMar>
            <w:top w:w="0" w:type="dxa"/>
            <w:left w:w="108" w:type="dxa"/>
            <w:bottom w:w="0" w:type="dxa"/>
            <w:right w:w="108" w:type="dxa"/>
          </w:tblCellMar>
        </w:tblPrEx>
        <w:trPr>
          <w:trHeight w:val="340" w:hRule="exact"/>
        </w:trPr>
        <w:tc>
          <w:tcPr>
            <w:tcW w:w="1188" w:type="dxa"/>
            <w:vMerge w:val="restart"/>
            <w:tcBorders>
              <w:top w:val="single" w:color="auto" w:sz="4" w:space="0"/>
              <w:left w:val="single" w:color="auto" w:sz="4" w:space="0"/>
              <w:bottom w:val="single" w:color="auto" w:sz="4" w:space="0"/>
              <w:right w:val="single" w:color="auto" w:sz="4" w:space="0"/>
            </w:tcBorders>
            <w:noWrap w:val="0"/>
            <w:vAlign w:val="center"/>
          </w:tcPr>
          <w:p w14:paraId="2911BC4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穿孔作业</w:t>
            </w:r>
          </w:p>
        </w:tc>
        <w:tc>
          <w:tcPr>
            <w:tcW w:w="2472" w:type="dxa"/>
            <w:tcBorders>
              <w:top w:val="single" w:color="auto" w:sz="4" w:space="0"/>
              <w:left w:val="single" w:color="auto" w:sz="4" w:space="0"/>
              <w:bottom w:val="single" w:color="auto" w:sz="4" w:space="0"/>
              <w:right w:val="single" w:color="auto" w:sz="4" w:space="0"/>
            </w:tcBorders>
            <w:noWrap w:val="0"/>
            <w:vAlign w:val="center"/>
          </w:tcPr>
          <w:p w14:paraId="191FA206">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高处坠落</w:t>
            </w:r>
            <w:r>
              <w:rPr>
                <w:rFonts w:hint="eastAsia" w:hAnsi="宋体" w:cs="Times New Roman"/>
                <w:color w:val="auto"/>
                <w:kern w:val="0"/>
                <w:sz w:val="21"/>
                <w:szCs w:val="21"/>
                <w:lang w:val="en-US" w:eastAsia="zh-CN" w:bidi="ar-SA"/>
              </w:rPr>
              <w:t>、跌落</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48C5DC4B">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3</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32D107C3">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2</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5ABF36CF">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15</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1A4EE3D4">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90</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03E7B1F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显著危险</w:t>
            </w:r>
          </w:p>
        </w:tc>
      </w:tr>
      <w:tr w14:paraId="76C09D09">
        <w:tblPrEx>
          <w:tblCellMar>
            <w:top w:w="0" w:type="dxa"/>
            <w:left w:w="108" w:type="dxa"/>
            <w:bottom w:w="0" w:type="dxa"/>
            <w:right w:w="108" w:type="dxa"/>
          </w:tblCellMar>
        </w:tblPrEx>
        <w:trPr>
          <w:trHeight w:val="340" w:hRule="exact"/>
        </w:trPr>
        <w:tc>
          <w:tcPr>
            <w:tcW w:w="1188" w:type="dxa"/>
            <w:vMerge w:val="continue"/>
            <w:tcBorders>
              <w:top w:val="single" w:color="auto" w:sz="4" w:space="0"/>
              <w:left w:val="single" w:color="auto" w:sz="4" w:space="0"/>
              <w:bottom w:val="single" w:color="auto" w:sz="4" w:space="0"/>
              <w:right w:val="single" w:color="auto" w:sz="4" w:space="0"/>
            </w:tcBorders>
            <w:noWrap w:val="0"/>
            <w:vAlign w:val="center"/>
          </w:tcPr>
          <w:p w14:paraId="20B5E09D">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p>
        </w:tc>
        <w:tc>
          <w:tcPr>
            <w:tcW w:w="2472" w:type="dxa"/>
            <w:tcBorders>
              <w:top w:val="single" w:color="auto" w:sz="4" w:space="0"/>
              <w:left w:val="single" w:color="auto" w:sz="4" w:space="0"/>
              <w:bottom w:val="single" w:color="auto" w:sz="4" w:space="0"/>
              <w:right w:val="single" w:color="auto" w:sz="4" w:space="0"/>
            </w:tcBorders>
            <w:noWrap w:val="0"/>
            <w:vAlign w:val="center"/>
          </w:tcPr>
          <w:p w14:paraId="60F382D3">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机械</w:t>
            </w:r>
            <w:r>
              <w:rPr>
                <w:rFonts w:hint="eastAsia" w:hAnsi="宋体" w:cs="Times New Roman"/>
                <w:color w:val="auto"/>
                <w:kern w:val="0"/>
                <w:sz w:val="21"/>
                <w:szCs w:val="21"/>
                <w:lang w:val="en-US" w:eastAsia="zh-CN" w:bidi="ar-SA"/>
              </w:rPr>
              <w:t>致害</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5EEC84E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55636E4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3</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1DE2027F">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15</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18AC374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45</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4D173AE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可能危险</w:t>
            </w:r>
          </w:p>
        </w:tc>
      </w:tr>
      <w:tr w14:paraId="2BDCDA73">
        <w:tblPrEx>
          <w:tblCellMar>
            <w:top w:w="0" w:type="dxa"/>
            <w:left w:w="108" w:type="dxa"/>
            <w:bottom w:w="0" w:type="dxa"/>
            <w:right w:w="108" w:type="dxa"/>
          </w:tblCellMar>
        </w:tblPrEx>
        <w:trPr>
          <w:trHeight w:val="340" w:hRule="exact"/>
        </w:trPr>
        <w:tc>
          <w:tcPr>
            <w:tcW w:w="1188" w:type="dxa"/>
            <w:vMerge w:val="continue"/>
            <w:tcBorders>
              <w:top w:val="single" w:color="auto" w:sz="4" w:space="0"/>
              <w:left w:val="single" w:color="auto" w:sz="4" w:space="0"/>
              <w:bottom w:val="single" w:color="auto" w:sz="4" w:space="0"/>
              <w:right w:val="single" w:color="auto" w:sz="4" w:space="0"/>
            </w:tcBorders>
            <w:noWrap w:val="0"/>
            <w:vAlign w:val="center"/>
          </w:tcPr>
          <w:p w14:paraId="689B0A83">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p>
        </w:tc>
        <w:tc>
          <w:tcPr>
            <w:tcW w:w="2472" w:type="dxa"/>
            <w:tcBorders>
              <w:top w:val="single" w:color="auto" w:sz="4" w:space="0"/>
              <w:left w:val="single" w:color="auto" w:sz="4" w:space="0"/>
              <w:bottom w:val="single" w:color="auto" w:sz="4" w:space="0"/>
              <w:right w:val="single" w:color="auto" w:sz="4" w:space="0"/>
            </w:tcBorders>
            <w:noWrap w:val="0"/>
            <w:vAlign w:val="center"/>
          </w:tcPr>
          <w:p w14:paraId="6A280827">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物体打击</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5B07D2B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538FC971">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3</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7218A8A6">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15</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6EC7AC3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45</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16EF7C46">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可能危险</w:t>
            </w:r>
          </w:p>
        </w:tc>
      </w:tr>
      <w:tr w14:paraId="29ADCF1C">
        <w:tblPrEx>
          <w:tblCellMar>
            <w:top w:w="0" w:type="dxa"/>
            <w:left w:w="108" w:type="dxa"/>
            <w:bottom w:w="0" w:type="dxa"/>
            <w:right w:w="108" w:type="dxa"/>
          </w:tblCellMar>
        </w:tblPrEx>
        <w:trPr>
          <w:trHeight w:val="340" w:hRule="exact"/>
        </w:trPr>
        <w:tc>
          <w:tcPr>
            <w:tcW w:w="1188" w:type="dxa"/>
            <w:vMerge w:val="continue"/>
            <w:tcBorders>
              <w:top w:val="single" w:color="auto" w:sz="4" w:space="0"/>
              <w:left w:val="single" w:color="auto" w:sz="4" w:space="0"/>
              <w:bottom w:val="single" w:color="auto" w:sz="4" w:space="0"/>
              <w:right w:val="single" w:color="auto" w:sz="4" w:space="0"/>
            </w:tcBorders>
            <w:noWrap w:val="0"/>
            <w:vAlign w:val="center"/>
          </w:tcPr>
          <w:p w14:paraId="2B8B264D">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p>
        </w:tc>
        <w:tc>
          <w:tcPr>
            <w:tcW w:w="2472" w:type="dxa"/>
            <w:tcBorders>
              <w:top w:val="single" w:color="auto" w:sz="4" w:space="0"/>
              <w:left w:val="single" w:color="auto" w:sz="4" w:space="0"/>
              <w:bottom w:val="single" w:color="auto" w:sz="4" w:space="0"/>
              <w:right w:val="single" w:color="auto" w:sz="4" w:space="0"/>
            </w:tcBorders>
            <w:noWrap w:val="0"/>
            <w:vAlign w:val="center"/>
          </w:tcPr>
          <w:p w14:paraId="772098E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火灾</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32723A7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3E0A62D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6</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7F81B89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7</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AC94800">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42</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1A90E04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可能危险</w:t>
            </w:r>
          </w:p>
        </w:tc>
      </w:tr>
      <w:tr w14:paraId="3134CBFB">
        <w:tblPrEx>
          <w:tblCellMar>
            <w:top w:w="0" w:type="dxa"/>
            <w:left w:w="108" w:type="dxa"/>
            <w:bottom w:w="0" w:type="dxa"/>
            <w:right w:w="108" w:type="dxa"/>
          </w:tblCellMar>
        </w:tblPrEx>
        <w:trPr>
          <w:trHeight w:val="436" w:hRule="exact"/>
        </w:trPr>
        <w:tc>
          <w:tcPr>
            <w:tcW w:w="1188" w:type="dxa"/>
            <w:tcBorders>
              <w:top w:val="single" w:color="auto" w:sz="4" w:space="0"/>
              <w:left w:val="single" w:color="auto" w:sz="4" w:space="0"/>
              <w:bottom w:val="single" w:color="auto" w:sz="4" w:space="0"/>
              <w:right w:val="single" w:color="auto" w:sz="4" w:space="0"/>
            </w:tcBorders>
            <w:noWrap w:val="0"/>
            <w:vAlign w:val="center"/>
          </w:tcPr>
          <w:p w14:paraId="1EBBF361">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爆破作业</w:t>
            </w:r>
          </w:p>
        </w:tc>
        <w:tc>
          <w:tcPr>
            <w:tcW w:w="2472" w:type="dxa"/>
            <w:tcBorders>
              <w:top w:val="single" w:color="auto" w:sz="4" w:space="0"/>
              <w:left w:val="single" w:color="auto" w:sz="4" w:space="0"/>
              <w:bottom w:val="single" w:color="auto" w:sz="4" w:space="0"/>
              <w:right w:val="single" w:color="auto" w:sz="4" w:space="0"/>
            </w:tcBorders>
            <w:noWrap w:val="0"/>
            <w:vAlign w:val="center"/>
          </w:tcPr>
          <w:p w14:paraId="185D01F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hAnsi="宋体" w:cs="Times New Roman"/>
                <w:color w:val="auto"/>
                <w:kern w:val="0"/>
                <w:sz w:val="21"/>
                <w:szCs w:val="21"/>
                <w:lang w:val="en-US" w:eastAsia="zh-CN" w:bidi="ar-SA"/>
              </w:rPr>
              <w:t>民用爆炸物品爆炸</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3FD5F44B">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099822C0">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3</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6B75D5F3">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40</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0BFD280">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120</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696E8190">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显著危险</w:t>
            </w:r>
          </w:p>
        </w:tc>
      </w:tr>
      <w:tr w14:paraId="1B5A4AF6">
        <w:tblPrEx>
          <w:tblCellMar>
            <w:top w:w="0" w:type="dxa"/>
            <w:left w:w="108" w:type="dxa"/>
            <w:bottom w:w="0" w:type="dxa"/>
            <w:right w:w="108" w:type="dxa"/>
          </w:tblCellMar>
        </w:tblPrEx>
        <w:trPr>
          <w:trHeight w:val="387" w:hRule="exact"/>
        </w:trPr>
        <w:tc>
          <w:tcPr>
            <w:tcW w:w="1188" w:type="dxa"/>
            <w:vMerge w:val="restart"/>
            <w:tcBorders>
              <w:top w:val="single" w:color="auto" w:sz="4" w:space="0"/>
              <w:left w:val="single" w:color="auto" w:sz="4" w:space="0"/>
              <w:right w:val="single" w:color="auto" w:sz="4" w:space="0"/>
            </w:tcBorders>
            <w:noWrap w:val="0"/>
            <w:vAlign w:val="center"/>
          </w:tcPr>
          <w:p w14:paraId="5CC26991">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铲装</w:t>
            </w:r>
          </w:p>
          <w:p w14:paraId="6AF9A55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运输作业</w:t>
            </w:r>
          </w:p>
        </w:tc>
        <w:tc>
          <w:tcPr>
            <w:tcW w:w="2472" w:type="dxa"/>
            <w:tcBorders>
              <w:top w:val="single" w:color="auto" w:sz="4" w:space="0"/>
              <w:left w:val="single" w:color="auto" w:sz="4" w:space="0"/>
              <w:bottom w:val="single" w:color="auto" w:sz="4" w:space="0"/>
              <w:right w:val="single" w:color="auto" w:sz="4" w:space="0"/>
            </w:tcBorders>
            <w:noWrap w:val="0"/>
            <w:vAlign w:val="center"/>
          </w:tcPr>
          <w:p w14:paraId="5032D98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厂（场）内车辆致害</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4268A8E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3</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3A04A8A4">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2</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6244182B">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15</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4FA99D9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90</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132BA84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显著危险</w:t>
            </w:r>
          </w:p>
        </w:tc>
      </w:tr>
      <w:tr w14:paraId="7ED8F802">
        <w:tblPrEx>
          <w:tblCellMar>
            <w:top w:w="0" w:type="dxa"/>
            <w:left w:w="108" w:type="dxa"/>
            <w:bottom w:w="0" w:type="dxa"/>
            <w:right w:w="108" w:type="dxa"/>
          </w:tblCellMar>
        </w:tblPrEx>
        <w:trPr>
          <w:trHeight w:val="421" w:hRule="exact"/>
        </w:trPr>
        <w:tc>
          <w:tcPr>
            <w:tcW w:w="1188" w:type="dxa"/>
            <w:vMerge w:val="continue"/>
            <w:tcBorders>
              <w:left w:val="single" w:color="auto" w:sz="4" w:space="0"/>
              <w:right w:val="single" w:color="auto" w:sz="4" w:space="0"/>
            </w:tcBorders>
            <w:noWrap w:val="0"/>
            <w:vAlign w:val="center"/>
          </w:tcPr>
          <w:p w14:paraId="2F45F90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p>
        </w:tc>
        <w:tc>
          <w:tcPr>
            <w:tcW w:w="2472" w:type="dxa"/>
            <w:tcBorders>
              <w:top w:val="single" w:color="auto" w:sz="4" w:space="0"/>
              <w:left w:val="single" w:color="auto" w:sz="4" w:space="0"/>
              <w:bottom w:val="single" w:color="auto" w:sz="4" w:space="0"/>
              <w:right w:val="single" w:color="auto" w:sz="4" w:space="0"/>
            </w:tcBorders>
            <w:noWrap w:val="0"/>
            <w:vAlign w:val="center"/>
          </w:tcPr>
          <w:p w14:paraId="758AFB1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高处坠落</w:t>
            </w:r>
            <w:r>
              <w:rPr>
                <w:rFonts w:hint="eastAsia" w:hAnsi="宋体" w:cs="Times New Roman"/>
                <w:color w:val="auto"/>
                <w:kern w:val="0"/>
                <w:sz w:val="21"/>
                <w:szCs w:val="21"/>
                <w:lang w:val="en-US" w:eastAsia="zh-CN" w:bidi="ar-SA"/>
              </w:rPr>
              <w:t>、跌落</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37ED3B00">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3</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4BB34F04">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2</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5469FF7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15</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42CE392F">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90</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0797BCA3">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显著危险</w:t>
            </w:r>
          </w:p>
        </w:tc>
      </w:tr>
      <w:tr w14:paraId="331100CD">
        <w:tblPrEx>
          <w:tblCellMar>
            <w:top w:w="0" w:type="dxa"/>
            <w:left w:w="108" w:type="dxa"/>
            <w:bottom w:w="0" w:type="dxa"/>
            <w:right w:w="108" w:type="dxa"/>
          </w:tblCellMar>
        </w:tblPrEx>
        <w:trPr>
          <w:trHeight w:val="340" w:hRule="exact"/>
        </w:trPr>
        <w:tc>
          <w:tcPr>
            <w:tcW w:w="1188" w:type="dxa"/>
            <w:vMerge w:val="continue"/>
            <w:tcBorders>
              <w:left w:val="single" w:color="auto" w:sz="4" w:space="0"/>
              <w:right w:val="single" w:color="auto" w:sz="4" w:space="0"/>
            </w:tcBorders>
            <w:noWrap w:val="0"/>
            <w:vAlign w:val="center"/>
          </w:tcPr>
          <w:p w14:paraId="16D592D2">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p>
        </w:tc>
        <w:tc>
          <w:tcPr>
            <w:tcW w:w="2472" w:type="dxa"/>
            <w:tcBorders>
              <w:top w:val="single" w:color="auto" w:sz="4" w:space="0"/>
              <w:left w:val="single" w:color="auto" w:sz="4" w:space="0"/>
              <w:bottom w:val="single" w:color="auto" w:sz="4" w:space="0"/>
              <w:right w:val="single" w:color="auto" w:sz="4" w:space="0"/>
            </w:tcBorders>
            <w:noWrap w:val="0"/>
            <w:vAlign w:val="center"/>
          </w:tcPr>
          <w:p w14:paraId="7A38CBBD">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机械</w:t>
            </w:r>
            <w:r>
              <w:rPr>
                <w:rFonts w:hint="eastAsia" w:hAnsi="宋体" w:cs="Times New Roman"/>
                <w:color w:val="auto"/>
                <w:kern w:val="0"/>
                <w:sz w:val="21"/>
                <w:szCs w:val="21"/>
                <w:lang w:val="en-US" w:eastAsia="zh-CN" w:bidi="ar-SA"/>
              </w:rPr>
              <w:t>致害</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1C43138D">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32A29B0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3</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043FA6F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15</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612B1CE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45</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385DB780">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可能危险</w:t>
            </w:r>
          </w:p>
        </w:tc>
      </w:tr>
      <w:tr w14:paraId="1F69E8E6">
        <w:tblPrEx>
          <w:tblCellMar>
            <w:top w:w="0" w:type="dxa"/>
            <w:left w:w="108" w:type="dxa"/>
            <w:bottom w:w="0" w:type="dxa"/>
            <w:right w:w="108" w:type="dxa"/>
          </w:tblCellMar>
        </w:tblPrEx>
        <w:trPr>
          <w:trHeight w:val="340" w:hRule="exact"/>
        </w:trPr>
        <w:tc>
          <w:tcPr>
            <w:tcW w:w="1188" w:type="dxa"/>
            <w:vMerge w:val="continue"/>
            <w:tcBorders>
              <w:left w:val="single" w:color="auto" w:sz="4" w:space="0"/>
              <w:right w:val="single" w:color="auto" w:sz="4" w:space="0"/>
            </w:tcBorders>
            <w:noWrap w:val="0"/>
            <w:vAlign w:val="center"/>
          </w:tcPr>
          <w:p w14:paraId="7B2B387F">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p>
        </w:tc>
        <w:tc>
          <w:tcPr>
            <w:tcW w:w="2472" w:type="dxa"/>
            <w:tcBorders>
              <w:top w:val="single" w:color="auto" w:sz="4" w:space="0"/>
              <w:left w:val="single" w:color="auto" w:sz="4" w:space="0"/>
              <w:bottom w:val="single" w:color="auto" w:sz="4" w:space="0"/>
              <w:right w:val="single" w:color="auto" w:sz="4" w:space="0"/>
            </w:tcBorders>
            <w:noWrap w:val="0"/>
            <w:vAlign w:val="center"/>
          </w:tcPr>
          <w:p w14:paraId="6AFD5830">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物体打击</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781AF083">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7AF30ACF">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3</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2EA5736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15</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52BD308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45</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7621D37F">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可能危险</w:t>
            </w:r>
          </w:p>
        </w:tc>
      </w:tr>
      <w:tr w14:paraId="2F41DC9E">
        <w:tblPrEx>
          <w:tblCellMar>
            <w:top w:w="0" w:type="dxa"/>
            <w:left w:w="108" w:type="dxa"/>
            <w:bottom w:w="0" w:type="dxa"/>
            <w:right w:w="108" w:type="dxa"/>
          </w:tblCellMar>
        </w:tblPrEx>
        <w:trPr>
          <w:trHeight w:val="340" w:hRule="exact"/>
        </w:trPr>
        <w:tc>
          <w:tcPr>
            <w:tcW w:w="1188" w:type="dxa"/>
            <w:vMerge w:val="continue"/>
            <w:tcBorders>
              <w:left w:val="single" w:color="auto" w:sz="4" w:space="0"/>
              <w:bottom w:val="single" w:color="auto" w:sz="4" w:space="0"/>
              <w:right w:val="single" w:color="auto" w:sz="4" w:space="0"/>
            </w:tcBorders>
            <w:noWrap w:val="0"/>
            <w:vAlign w:val="center"/>
          </w:tcPr>
          <w:p w14:paraId="36870493">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p>
        </w:tc>
        <w:tc>
          <w:tcPr>
            <w:tcW w:w="2472" w:type="dxa"/>
            <w:tcBorders>
              <w:top w:val="single" w:color="auto" w:sz="4" w:space="0"/>
              <w:left w:val="single" w:color="auto" w:sz="4" w:space="0"/>
              <w:bottom w:val="single" w:color="auto" w:sz="4" w:space="0"/>
              <w:right w:val="single" w:color="auto" w:sz="4" w:space="0"/>
            </w:tcBorders>
            <w:noWrap w:val="0"/>
            <w:vAlign w:val="center"/>
          </w:tcPr>
          <w:p w14:paraId="2FA91DF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火灾</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6B6EAD8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2B095F9B">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6</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0782CF42">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7</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B964B40">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42</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2CF27592">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eastAsia"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可能危险</w:t>
            </w:r>
          </w:p>
        </w:tc>
      </w:tr>
      <w:tr w14:paraId="03295CC7">
        <w:tblPrEx>
          <w:tblCellMar>
            <w:top w:w="0" w:type="dxa"/>
            <w:left w:w="108" w:type="dxa"/>
            <w:bottom w:w="0" w:type="dxa"/>
            <w:right w:w="108" w:type="dxa"/>
          </w:tblCellMar>
        </w:tblPrEx>
        <w:trPr>
          <w:trHeight w:val="340" w:hRule="exact"/>
        </w:trPr>
        <w:tc>
          <w:tcPr>
            <w:tcW w:w="1188" w:type="dxa"/>
            <w:tcBorders>
              <w:top w:val="single" w:color="auto" w:sz="4" w:space="0"/>
              <w:left w:val="single" w:color="auto" w:sz="4" w:space="0"/>
              <w:bottom w:val="single" w:color="auto" w:sz="4" w:space="0"/>
              <w:right w:val="single" w:color="auto" w:sz="4" w:space="0"/>
            </w:tcBorders>
            <w:noWrap w:val="0"/>
            <w:vAlign w:val="center"/>
          </w:tcPr>
          <w:p w14:paraId="6494099D">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hint="default"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洒水防尘作业</w:t>
            </w:r>
          </w:p>
        </w:tc>
        <w:tc>
          <w:tcPr>
            <w:tcW w:w="2472" w:type="dxa"/>
            <w:tcBorders>
              <w:top w:val="single" w:color="auto" w:sz="4" w:space="0"/>
              <w:left w:val="single" w:color="auto" w:sz="4" w:space="0"/>
              <w:bottom w:val="single" w:color="auto" w:sz="4" w:space="0"/>
              <w:right w:val="single" w:color="auto" w:sz="4" w:space="0"/>
            </w:tcBorders>
            <w:noWrap w:val="0"/>
            <w:vAlign w:val="center"/>
          </w:tcPr>
          <w:p w14:paraId="08A02516">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厂（场）内车辆致害</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6C4FC3A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1</w:t>
            </w:r>
          </w:p>
        </w:tc>
        <w:tc>
          <w:tcPr>
            <w:tcW w:w="1039" w:type="dxa"/>
            <w:tcBorders>
              <w:top w:val="single" w:color="auto" w:sz="4" w:space="0"/>
              <w:left w:val="single" w:color="auto" w:sz="4" w:space="0"/>
              <w:bottom w:val="single" w:color="auto" w:sz="4" w:space="0"/>
              <w:right w:val="single" w:color="auto" w:sz="4" w:space="0"/>
            </w:tcBorders>
            <w:noWrap w:val="0"/>
            <w:vAlign w:val="center"/>
          </w:tcPr>
          <w:p w14:paraId="419D5BB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6</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685D4E22">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7</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FBF6FF6">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42</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5B9EA4D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0" w:firstLineChars="0"/>
              <w:jc w:val="center"/>
              <w:textAlignment w:val="auto"/>
              <w:rPr>
                <w:rFonts w:ascii="Times New Roman" w:hAnsi="宋体" w:eastAsia="宋体" w:cs="Times New Roman"/>
                <w:color w:val="auto"/>
                <w:kern w:val="0"/>
                <w:sz w:val="21"/>
                <w:szCs w:val="21"/>
                <w:lang w:val="en-US" w:eastAsia="zh-CN" w:bidi="ar-SA"/>
              </w:rPr>
            </w:pPr>
            <w:r>
              <w:rPr>
                <w:rFonts w:hint="eastAsia" w:ascii="Times New Roman" w:hAnsi="宋体" w:eastAsia="宋体" w:cs="Times New Roman"/>
                <w:color w:val="auto"/>
                <w:kern w:val="0"/>
                <w:sz w:val="21"/>
                <w:szCs w:val="21"/>
                <w:lang w:val="en-US" w:eastAsia="zh-CN" w:bidi="ar-SA"/>
              </w:rPr>
              <w:t>可能危险</w:t>
            </w:r>
          </w:p>
        </w:tc>
      </w:tr>
    </w:tbl>
    <w:p w14:paraId="627978FD">
      <w:pPr>
        <w:rPr>
          <w:rFonts w:hint="default"/>
          <w:color w:val="auto"/>
          <w:lang w:val="en-US" w:eastAsia="zh-CN"/>
        </w:rPr>
      </w:pPr>
      <w:r>
        <w:rPr>
          <w:rFonts w:hint="default"/>
          <w:color w:val="auto"/>
          <w:lang w:val="en-US" w:eastAsia="zh-CN"/>
        </w:rPr>
        <w:t>经作业条件危险性分析对露天矿山采场的穿孔作业、爆破作业、铲装运输作业、洒水防尘作业等进行事故发生可能性及其严重程度分析评价：穿孔作业的高处坠落</w:t>
      </w:r>
      <w:r>
        <w:rPr>
          <w:rFonts w:hint="eastAsia"/>
          <w:color w:val="auto"/>
          <w:lang w:val="en-US" w:eastAsia="zh-CN"/>
        </w:rPr>
        <w:t>、跌落</w:t>
      </w:r>
      <w:r>
        <w:rPr>
          <w:rFonts w:hint="default"/>
          <w:color w:val="auto"/>
          <w:lang w:val="en-US" w:eastAsia="zh-CN"/>
        </w:rPr>
        <w:t>危险程度为显著危险；爆破作业的民用爆炸物品爆炸危险程度为显著危险；铲装运输作业的厂（场）内车辆致害、高处坠落</w:t>
      </w:r>
      <w:r>
        <w:rPr>
          <w:rFonts w:hint="eastAsia"/>
          <w:color w:val="auto"/>
          <w:lang w:val="en-US" w:eastAsia="zh-CN"/>
        </w:rPr>
        <w:t>、跌落</w:t>
      </w:r>
      <w:r>
        <w:rPr>
          <w:rFonts w:hint="default"/>
          <w:color w:val="auto"/>
          <w:lang w:val="en-US" w:eastAsia="zh-CN"/>
        </w:rPr>
        <w:t>危险程度为显著危险。员工作业过程中需要加强防范措施，防止可能导致重大事故发生。其他均为一般危险，需要注意并加以防范。</w:t>
      </w:r>
    </w:p>
    <w:p w14:paraId="6CF5049B">
      <w:pPr>
        <w:rPr>
          <w:rFonts w:hint="default"/>
          <w:color w:val="auto"/>
          <w:lang w:val="en-US" w:eastAsia="zh-CN"/>
        </w:rPr>
      </w:pPr>
    </w:p>
    <w:p w14:paraId="178761AD">
      <w:pPr>
        <w:rPr>
          <w:rFonts w:hint="default"/>
          <w:color w:val="auto"/>
          <w:lang w:val="en-US" w:eastAsia="zh-CN"/>
        </w:rPr>
      </w:pPr>
      <w:r>
        <w:rPr>
          <w:rFonts w:hint="default"/>
          <w:color w:val="auto"/>
          <w:lang w:val="en-US" w:eastAsia="zh-CN"/>
        </w:rPr>
        <w:br w:type="page"/>
      </w:r>
    </w:p>
    <w:p w14:paraId="78630000">
      <w:pPr>
        <w:pStyle w:val="2"/>
        <w:numPr>
          <w:ilvl w:val="0"/>
          <w:numId w:val="1"/>
        </w:numPr>
        <w:bidi w:val="0"/>
        <w:ind w:left="0" w:leftChars="0" w:firstLine="0" w:firstLineChars="0"/>
        <w:rPr>
          <w:rFonts w:hint="default" w:ascii="Times New Roman" w:hAnsi="Times New Roman" w:cs="Times New Roman"/>
          <w:color w:val="auto"/>
          <w:lang w:val="en-US" w:eastAsia="zh-CN"/>
        </w:rPr>
      </w:pPr>
      <w:bookmarkStart w:id="582" w:name="_Toc24515"/>
      <w:bookmarkStart w:id="583" w:name="_Toc12664"/>
      <w:bookmarkStart w:id="584" w:name="_Toc27745"/>
      <w:bookmarkStart w:id="585" w:name="_Toc15561"/>
      <w:bookmarkStart w:id="586" w:name="_Toc30084"/>
      <w:bookmarkStart w:id="587" w:name="_Toc15305"/>
      <w:r>
        <w:rPr>
          <w:rFonts w:hint="default" w:ascii="Times New Roman" w:hAnsi="Times New Roman" w:cs="Times New Roman"/>
          <w:color w:val="auto"/>
          <w:lang w:val="en-US" w:eastAsia="zh-CN"/>
        </w:rPr>
        <w:t>安全对策措施及建议</w:t>
      </w:r>
      <w:bookmarkEnd w:id="582"/>
      <w:bookmarkEnd w:id="583"/>
      <w:bookmarkEnd w:id="584"/>
      <w:bookmarkEnd w:id="585"/>
      <w:bookmarkEnd w:id="586"/>
      <w:bookmarkEnd w:id="587"/>
    </w:p>
    <w:p w14:paraId="3B8DDCA9">
      <w:pPr>
        <w:pStyle w:val="3"/>
        <w:bidi w:val="0"/>
        <w:rPr>
          <w:rFonts w:hint="default"/>
          <w:color w:val="auto"/>
          <w:lang w:val="en-US" w:eastAsia="zh-CN"/>
        </w:rPr>
      </w:pPr>
      <w:bookmarkStart w:id="588" w:name="_Toc29815"/>
      <w:bookmarkStart w:id="589" w:name="_Toc27555"/>
      <w:bookmarkStart w:id="590" w:name="_Toc18652"/>
      <w:bookmarkStart w:id="591" w:name="_Toc6585"/>
      <w:bookmarkStart w:id="592" w:name="_Toc24677"/>
      <w:bookmarkStart w:id="593" w:name="_Toc31376"/>
      <w:r>
        <w:rPr>
          <w:rFonts w:hint="default"/>
          <w:color w:val="auto"/>
          <w:lang w:val="en-US" w:eastAsia="zh-CN"/>
        </w:rPr>
        <w:t>6.1 安全管理对策措施建议</w:t>
      </w:r>
      <w:bookmarkEnd w:id="588"/>
      <w:bookmarkEnd w:id="589"/>
      <w:bookmarkEnd w:id="590"/>
      <w:bookmarkEnd w:id="591"/>
      <w:bookmarkEnd w:id="592"/>
      <w:bookmarkEnd w:id="593"/>
    </w:p>
    <w:p w14:paraId="5B99615A">
      <w:pPr>
        <w:rPr>
          <w:rFonts w:hint="default"/>
          <w:b w:val="0"/>
          <w:bCs w:val="0"/>
          <w:color w:val="auto"/>
          <w:lang w:val="en-US" w:eastAsia="zh-CN"/>
        </w:rPr>
      </w:pPr>
      <w:r>
        <w:rPr>
          <w:rFonts w:hint="default"/>
          <w:color w:val="auto"/>
          <w:lang w:val="en-US" w:eastAsia="zh-CN"/>
        </w:rPr>
        <w:t>1</w:t>
      </w:r>
      <w:r>
        <w:rPr>
          <w:rFonts w:hint="eastAsia"/>
          <w:color w:val="auto"/>
          <w:lang w:val="en-US" w:eastAsia="zh-CN"/>
        </w:rPr>
        <w:t>. 应配备</w:t>
      </w:r>
      <w:r>
        <w:rPr>
          <w:rFonts w:hint="default"/>
          <w:b w:val="0"/>
          <w:bCs w:val="0"/>
          <w:color w:val="auto"/>
          <w:lang w:val="en-US" w:eastAsia="zh-CN"/>
        </w:rPr>
        <w:t>注册安全工程从事安全生产管理工作</w:t>
      </w:r>
      <w:r>
        <w:rPr>
          <w:rFonts w:hint="eastAsia"/>
          <w:b w:val="0"/>
          <w:bCs w:val="0"/>
          <w:color w:val="auto"/>
          <w:lang w:val="en-US" w:eastAsia="zh-CN"/>
        </w:rPr>
        <w:t>。</w:t>
      </w:r>
    </w:p>
    <w:p w14:paraId="0406D66B">
      <w:pPr>
        <w:rPr>
          <w:rFonts w:hint="default"/>
          <w:b w:val="0"/>
          <w:bCs w:val="0"/>
          <w:color w:val="auto"/>
          <w:lang w:val="en-US" w:eastAsia="zh-CN"/>
        </w:rPr>
      </w:pPr>
      <w:r>
        <w:rPr>
          <w:rFonts w:hint="eastAsia"/>
          <w:b w:val="0"/>
          <w:bCs w:val="0"/>
          <w:color w:val="auto"/>
          <w:lang w:val="en-US" w:eastAsia="zh-CN"/>
        </w:rPr>
        <w:t>2. 需</w:t>
      </w:r>
      <w:r>
        <w:rPr>
          <w:rFonts w:hint="default"/>
          <w:b w:val="0"/>
          <w:bCs w:val="0"/>
          <w:color w:val="auto"/>
          <w:lang w:val="en-US" w:eastAsia="zh-CN"/>
        </w:rPr>
        <w:t>完善安全生产规章制度</w:t>
      </w:r>
      <w:r>
        <w:rPr>
          <w:rFonts w:hint="eastAsia"/>
          <w:b w:val="0"/>
          <w:bCs w:val="0"/>
          <w:color w:val="auto"/>
          <w:lang w:val="en-US" w:eastAsia="zh-CN"/>
        </w:rPr>
        <w:t>。</w:t>
      </w:r>
    </w:p>
    <w:p w14:paraId="434F996E">
      <w:pPr>
        <w:rPr>
          <w:rFonts w:hint="eastAsia"/>
          <w:color w:val="auto"/>
          <w:lang w:val="en-US" w:eastAsia="zh-CN"/>
        </w:rPr>
      </w:pPr>
      <w:r>
        <w:rPr>
          <w:rFonts w:hint="eastAsia"/>
          <w:color w:val="auto"/>
          <w:lang w:val="en-US" w:eastAsia="zh-CN"/>
        </w:rPr>
        <w:t>3. 对矿山</w:t>
      </w:r>
      <w:r>
        <w:rPr>
          <w:rFonts w:hint="default"/>
          <w:b w:val="0"/>
          <w:bCs w:val="0"/>
          <w:color w:val="auto"/>
          <w:lang w:val="en-US" w:eastAsia="zh-CN"/>
        </w:rPr>
        <w:t>作业人员的安全教育培训和考核结果记录存档</w:t>
      </w:r>
      <w:r>
        <w:rPr>
          <w:rFonts w:hint="eastAsia"/>
          <w:b w:val="0"/>
          <w:bCs w:val="0"/>
          <w:color w:val="auto"/>
          <w:lang w:val="en-US" w:eastAsia="zh-CN"/>
        </w:rPr>
        <w:t>进行完善</w:t>
      </w:r>
      <w:r>
        <w:rPr>
          <w:rFonts w:hint="eastAsia"/>
          <w:color w:val="auto"/>
          <w:lang w:val="en-US" w:eastAsia="zh-CN"/>
        </w:rPr>
        <w:t>。</w:t>
      </w:r>
    </w:p>
    <w:p w14:paraId="40EB2107">
      <w:pPr>
        <w:rPr>
          <w:rFonts w:hint="eastAsia"/>
          <w:color w:val="auto"/>
          <w:lang w:val="en-US" w:eastAsia="zh-CN"/>
        </w:rPr>
      </w:pPr>
      <w:r>
        <w:rPr>
          <w:rFonts w:hint="eastAsia"/>
          <w:color w:val="auto"/>
          <w:lang w:val="en-US" w:eastAsia="zh-CN"/>
        </w:rPr>
        <w:t>4. 应保留</w:t>
      </w:r>
      <w:r>
        <w:rPr>
          <w:rFonts w:hint="default"/>
          <w:b w:val="0"/>
          <w:bCs w:val="0"/>
          <w:color w:val="auto"/>
          <w:lang w:val="en-US" w:eastAsia="zh-CN"/>
        </w:rPr>
        <w:t>购置安全设施设备等实物发票</w:t>
      </w:r>
      <w:r>
        <w:rPr>
          <w:rFonts w:hint="eastAsia"/>
          <w:b w:val="0"/>
          <w:bCs w:val="0"/>
          <w:color w:val="auto"/>
          <w:lang w:val="en-US" w:eastAsia="zh-CN"/>
        </w:rPr>
        <w:t>（纸质或电子版）</w:t>
      </w:r>
      <w:r>
        <w:rPr>
          <w:rFonts w:hint="eastAsia"/>
          <w:color w:val="auto"/>
          <w:lang w:val="en-US" w:eastAsia="zh-CN"/>
        </w:rPr>
        <w:t>。</w:t>
      </w:r>
    </w:p>
    <w:p w14:paraId="68DE57E4">
      <w:pPr>
        <w:rPr>
          <w:rFonts w:hint="default"/>
          <w:color w:val="auto"/>
          <w:lang w:val="en-US" w:eastAsia="zh-CN"/>
        </w:rPr>
      </w:pPr>
      <w:r>
        <w:rPr>
          <w:rFonts w:hint="eastAsia"/>
          <w:color w:val="auto"/>
          <w:lang w:val="en-US" w:eastAsia="zh-CN"/>
        </w:rPr>
        <w:t>5. 矿山需</w:t>
      </w:r>
      <w:r>
        <w:rPr>
          <w:rFonts w:hint="default"/>
          <w:b w:val="0"/>
          <w:bCs w:val="0"/>
          <w:color w:val="auto"/>
          <w:lang w:val="en-US" w:eastAsia="zh-CN"/>
        </w:rPr>
        <w:t>建立应急救援组织</w:t>
      </w:r>
      <w:r>
        <w:rPr>
          <w:rFonts w:hint="eastAsia"/>
          <w:b w:val="0"/>
          <w:bCs w:val="0"/>
          <w:color w:val="auto"/>
          <w:lang w:val="en-US" w:eastAsia="zh-CN"/>
        </w:rPr>
        <w:t>。</w:t>
      </w:r>
    </w:p>
    <w:p w14:paraId="245ADB8F">
      <w:pPr>
        <w:rPr>
          <w:rFonts w:hint="default"/>
          <w:color w:val="auto"/>
          <w:lang w:val="en-US" w:eastAsia="zh-CN"/>
        </w:rPr>
      </w:pPr>
      <w:r>
        <w:rPr>
          <w:rFonts w:hint="eastAsia"/>
          <w:color w:val="auto"/>
          <w:lang w:val="en-US" w:eastAsia="zh-CN"/>
        </w:rPr>
        <w:t>6. 矿山应继续完善粉尘、噪声等职业危害告知牌，并与从业人员签订职业健康危害告知书或在合同中补充说明。健全职业健康档案，安排职工进行职业健康体检，对粉尘、噪声等采取降尘降噪措施，按规定发放劳动防护用品，并监督使用。</w:t>
      </w:r>
    </w:p>
    <w:p w14:paraId="090F021F">
      <w:pPr>
        <w:rPr>
          <w:rFonts w:hint="default"/>
          <w:color w:val="auto"/>
          <w:lang w:val="en-US" w:eastAsia="zh-CN"/>
        </w:rPr>
      </w:pPr>
      <w:r>
        <w:rPr>
          <w:rFonts w:hint="eastAsia"/>
          <w:color w:val="auto"/>
          <w:lang w:val="en-US" w:eastAsia="zh-CN"/>
        </w:rPr>
        <w:t xml:space="preserve">7. </w:t>
      </w:r>
      <w:r>
        <w:rPr>
          <w:rFonts w:hint="default"/>
          <w:color w:val="auto"/>
          <w:lang w:val="en-US" w:eastAsia="zh-CN"/>
        </w:rPr>
        <w:t>矿山应当进一步落实安全隐患排查与治理制度、安全检查制度的要求，完善各类安全检查台账及隐患整改记录。</w:t>
      </w:r>
    </w:p>
    <w:p w14:paraId="1D2B22F3">
      <w:pPr>
        <w:rPr>
          <w:rFonts w:hint="default"/>
          <w:color w:val="auto"/>
          <w:lang w:val="en-US" w:eastAsia="zh-CN"/>
        </w:rPr>
      </w:pPr>
      <w:r>
        <w:rPr>
          <w:rFonts w:hint="eastAsia"/>
          <w:color w:val="auto"/>
          <w:lang w:val="en-US" w:eastAsia="zh-CN"/>
        </w:rPr>
        <w:t xml:space="preserve">8. </w:t>
      </w:r>
      <w:r>
        <w:rPr>
          <w:rFonts w:hint="default"/>
          <w:color w:val="auto"/>
          <w:lang w:val="en-US" w:eastAsia="zh-CN"/>
        </w:rPr>
        <w:t>矿山主要负责人应当定期召开安全会议，研究解决存在的有关安全问题，并跟踪落实到位，切实消除本单位存在的安全隐患。</w:t>
      </w:r>
    </w:p>
    <w:p w14:paraId="6439415E">
      <w:pPr>
        <w:rPr>
          <w:rFonts w:hint="default"/>
          <w:color w:val="auto"/>
          <w:lang w:val="en-US" w:eastAsia="zh-CN"/>
        </w:rPr>
      </w:pPr>
      <w:r>
        <w:rPr>
          <w:rFonts w:hint="eastAsia"/>
          <w:color w:val="auto"/>
          <w:lang w:val="en-US" w:eastAsia="zh-CN"/>
        </w:rPr>
        <w:t xml:space="preserve">9. </w:t>
      </w:r>
      <w:r>
        <w:rPr>
          <w:rFonts w:hint="default"/>
          <w:color w:val="auto"/>
          <w:lang w:val="en-US" w:eastAsia="zh-CN"/>
        </w:rPr>
        <w:t>矿山应当持续推进安全生产标准化的建设，不断总结及</w:t>
      </w:r>
      <w:r>
        <w:rPr>
          <w:rFonts w:hint="eastAsia"/>
          <w:color w:val="auto"/>
          <w:lang w:val="en-US" w:eastAsia="zh-CN"/>
        </w:rPr>
        <w:t>提升</w:t>
      </w:r>
      <w:r>
        <w:rPr>
          <w:rFonts w:hint="default"/>
          <w:color w:val="auto"/>
          <w:lang w:val="en-US" w:eastAsia="zh-CN"/>
        </w:rPr>
        <w:t>，每年进行安全生产标准化自评，对自评发现的问题及时整改及制定措施方案。</w:t>
      </w:r>
    </w:p>
    <w:p w14:paraId="67776F00">
      <w:pPr>
        <w:rPr>
          <w:rFonts w:hint="default"/>
          <w:color w:val="auto"/>
          <w:lang w:val="en-US" w:eastAsia="zh-CN"/>
        </w:rPr>
      </w:pPr>
      <w:r>
        <w:rPr>
          <w:rFonts w:hint="eastAsia"/>
          <w:color w:val="auto"/>
          <w:lang w:val="en-US" w:eastAsia="zh-CN"/>
        </w:rPr>
        <w:t xml:space="preserve">10. </w:t>
      </w:r>
      <w:r>
        <w:rPr>
          <w:rFonts w:hint="default"/>
          <w:color w:val="auto"/>
          <w:lang w:val="en-US" w:eastAsia="zh-CN"/>
        </w:rPr>
        <w:t>矿山应制定边坡排险、临时用电、高处作业、停送电等相关危险作业的许可票、操作票，并加强危险作业的监督及监护。</w:t>
      </w:r>
    </w:p>
    <w:p w14:paraId="2080C6E2">
      <w:pPr>
        <w:rPr>
          <w:rFonts w:hint="default"/>
          <w:color w:val="auto"/>
          <w:lang w:val="en-US" w:eastAsia="zh-CN"/>
        </w:rPr>
      </w:pPr>
      <w:r>
        <w:rPr>
          <w:rFonts w:hint="eastAsia"/>
          <w:color w:val="auto"/>
          <w:lang w:val="en-US" w:eastAsia="zh-CN"/>
        </w:rPr>
        <w:t>11. 应急预案应按最新的标准规范如《生产安全事故分类与编码》（GB6441-2025）、《生产经营单位生产安全事故应急处置卡编制指南》（YJ/T32-2025）等重新进行评估、修订、审核、批准、发布和备案，并重新进行应急演练。</w:t>
      </w:r>
    </w:p>
    <w:p w14:paraId="3ECD36ED">
      <w:pPr>
        <w:pStyle w:val="3"/>
        <w:bidi w:val="0"/>
        <w:rPr>
          <w:rFonts w:hint="default"/>
          <w:color w:val="auto"/>
          <w:lang w:val="en-US" w:eastAsia="zh-CN"/>
        </w:rPr>
      </w:pPr>
      <w:bookmarkStart w:id="594" w:name="_Toc5780"/>
      <w:bookmarkStart w:id="595" w:name="_Toc24300"/>
      <w:bookmarkStart w:id="596" w:name="_Toc18245"/>
      <w:bookmarkStart w:id="597" w:name="_Toc19608"/>
      <w:bookmarkStart w:id="598" w:name="_Toc3479"/>
      <w:bookmarkStart w:id="599" w:name="_Toc6906"/>
      <w:r>
        <w:rPr>
          <w:rFonts w:hint="default"/>
          <w:color w:val="auto"/>
          <w:lang w:val="en-US" w:eastAsia="zh-CN"/>
        </w:rPr>
        <w:t>6.2 露天开采安全对策措施建议</w:t>
      </w:r>
      <w:bookmarkEnd w:id="594"/>
      <w:bookmarkEnd w:id="595"/>
      <w:bookmarkEnd w:id="596"/>
      <w:bookmarkEnd w:id="597"/>
      <w:bookmarkEnd w:id="598"/>
      <w:bookmarkEnd w:id="599"/>
    </w:p>
    <w:p w14:paraId="4D9A3000">
      <w:pPr>
        <w:rPr>
          <w:rFonts w:hint="default"/>
          <w:color w:val="auto"/>
          <w:lang w:val="en-US" w:eastAsia="zh-CN"/>
        </w:rPr>
      </w:pPr>
      <w:r>
        <w:rPr>
          <w:rFonts w:hint="default"/>
          <w:color w:val="auto"/>
          <w:lang w:val="en-US" w:eastAsia="zh-CN"/>
        </w:rPr>
        <w:t>1</w:t>
      </w:r>
      <w:r>
        <w:rPr>
          <w:rFonts w:hint="eastAsia"/>
          <w:color w:val="auto"/>
          <w:lang w:val="en-US" w:eastAsia="zh-CN"/>
        </w:rPr>
        <w:t>. 矿山应完善采剥工程年末图。</w:t>
      </w:r>
    </w:p>
    <w:p w14:paraId="0E7F77C7">
      <w:pPr>
        <w:rPr>
          <w:rFonts w:hint="eastAsia"/>
          <w:color w:val="auto"/>
          <w:lang w:val="en-US" w:eastAsia="zh-CN"/>
        </w:rPr>
      </w:pPr>
      <w:r>
        <w:rPr>
          <w:rFonts w:hint="eastAsia"/>
          <w:color w:val="auto"/>
          <w:lang w:val="en-US" w:eastAsia="zh-CN"/>
        </w:rPr>
        <w:t>2. 应增</w:t>
      </w:r>
      <w:r>
        <w:rPr>
          <w:rFonts w:hint="default"/>
          <w:color w:val="auto"/>
          <w:lang w:val="en-US" w:eastAsia="zh-CN"/>
        </w:rPr>
        <w:t>设相邻采场边界围栏</w:t>
      </w:r>
      <w:r>
        <w:rPr>
          <w:rFonts w:hint="eastAsia"/>
          <w:color w:val="auto"/>
          <w:lang w:val="en-US" w:eastAsia="zh-CN"/>
        </w:rPr>
        <w:t>。</w:t>
      </w:r>
    </w:p>
    <w:p w14:paraId="0B04489C">
      <w:pPr>
        <w:rPr>
          <w:rFonts w:hint="default"/>
          <w:color w:val="auto"/>
          <w:lang w:val="en-US" w:eastAsia="zh-CN"/>
        </w:rPr>
      </w:pPr>
      <w:r>
        <w:rPr>
          <w:rFonts w:hint="eastAsia"/>
          <w:color w:val="auto"/>
          <w:lang w:val="en-US" w:eastAsia="zh-CN"/>
        </w:rPr>
        <w:t xml:space="preserve">3. </w:t>
      </w:r>
      <w:r>
        <w:rPr>
          <w:rFonts w:hint="default"/>
          <w:color w:val="auto"/>
          <w:lang w:val="en-US" w:eastAsia="zh-CN"/>
        </w:rPr>
        <w:t>矿山在作业前和作业中以及每次爆破后，应当对坡面进行安全检查，</w:t>
      </w:r>
      <w:r>
        <w:rPr>
          <w:rFonts w:hint="eastAsia"/>
          <w:color w:val="auto"/>
          <w:lang w:val="en-US" w:eastAsia="zh-CN"/>
        </w:rPr>
        <w:t>保留安全检查记录，</w:t>
      </w:r>
      <w:r>
        <w:rPr>
          <w:rFonts w:hint="default"/>
          <w:color w:val="auto"/>
          <w:lang w:val="en-US" w:eastAsia="zh-CN"/>
        </w:rPr>
        <w:t>发现工作面有裂痕，或者在坡面上有浮石、危石和伞檐体可能塌落时，应当立即停止作业并撤离人员至安全地点，采取安全措施和消除隐患。</w:t>
      </w:r>
    </w:p>
    <w:p w14:paraId="2E46722B">
      <w:pPr>
        <w:rPr>
          <w:rFonts w:hint="default"/>
          <w:color w:val="auto"/>
          <w:lang w:val="en-US" w:eastAsia="zh-CN"/>
        </w:rPr>
      </w:pPr>
      <w:r>
        <w:rPr>
          <w:rFonts w:hint="eastAsia"/>
          <w:color w:val="auto"/>
          <w:lang w:val="en-US" w:eastAsia="zh-CN"/>
        </w:rPr>
        <w:t>4. 矿山应完善运输道路警示标识。</w:t>
      </w:r>
    </w:p>
    <w:p w14:paraId="09C99FB5">
      <w:pPr>
        <w:rPr>
          <w:rFonts w:hint="default"/>
          <w:color w:val="auto"/>
          <w:lang w:val="en-US" w:eastAsia="zh-CN"/>
        </w:rPr>
      </w:pPr>
      <w:r>
        <w:rPr>
          <w:rFonts w:hint="eastAsia"/>
          <w:color w:val="auto"/>
          <w:lang w:val="en-US" w:eastAsia="zh-CN"/>
        </w:rPr>
        <w:t xml:space="preserve">5. </w:t>
      </w:r>
      <w:r>
        <w:rPr>
          <w:rFonts w:hint="default"/>
          <w:color w:val="auto"/>
          <w:lang w:val="en-US" w:eastAsia="zh-CN"/>
        </w:rPr>
        <w:t>矿山不应在雷雨、大雾、大风等恶劣天气条件下进行爆破作业。矿山应定出警戒范围，在该区域边界设置警戒。</w:t>
      </w:r>
    </w:p>
    <w:p w14:paraId="04BED42A">
      <w:pPr>
        <w:rPr>
          <w:rFonts w:hint="default"/>
          <w:color w:val="auto"/>
          <w:lang w:val="en-US" w:eastAsia="zh-CN"/>
        </w:rPr>
      </w:pPr>
      <w:r>
        <w:rPr>
          <w:rFonts w:hint="eastAsia"/>
          <w:color w:val="auto"/>
          <w:lang w:val="en-US" w:eastAsia="zh-CN"/>
        </w:rPr>
        <w:t xml:space="preserve">6. </w:t>
      </w:r>
      <w:r>
        <w:rPr>
          <w:rFonts w:hint="default"/>
          <w:color w:val="auto"/>
          <w:lang w:val="en-US" w:eastAsia="zh-CN"/>
        </w:rPr>
        <w:t>挖机禁止在错开距离不符合要求的情况下，在同一平台或上下台阶同时开采。</w:t>
      </w:r>
    </w:p>
    <w:p w14:paraId="3BEE77DB">
      <w:pPr>
        <w:rPr>
          <w:rFonts w:hint="default"/>
          <w:color w:val="auto"/>
          <w:lang w:val="en-US" w:eastAsia="zh-CN"/>
        </w:rPr>
      </w:pPr>
      <w:r>
        <w:rPr>
          <w:rFonts w:hint="eastAsia"/>
          <w:color w:val="auto"/>
          <w:lang w:val="en-US" w:eastAsia="zh-CN"/>
        </w:rPr>
        <w:t xml:space="preserve">7. </w:t>
      </w:r>
      <w:r>
        <w:rPr>
          <w:rFonts w:hint="default"/>
          <w:color w:val="auto"/>
          <w:lang w:val="en-US" w:eastAsia="zh-CN"/>
        </w:rPr>
        <w:t>任何进入作业现场的人员，都必须佩戴安全帽。</w:t>
      </w:r>
    </w:p>
    <w:p w14:paraId="6C2FAAF9">
      <w:pPr>
        <w:rPr>
          <w:rFonts w:hint="default"/>
          <w:color w:val="auto"/>
          <w:lang w:val="en-US" w:eastAsia="zh-CN"/>
        </w:rPr>
      </w:pPr>
      <w:r>
        <w:rPr>
          <w:rFonts w:hint="eastAsia"/>
          <w:color w:val="auto"/>
          <w:lang w:val="en-US" w:eastAsia="zh-CN"/>
        </w:rPr>
        <w:t>8. 矿山应及时进行隐蔽治灾因素普查与治理</w:t>
      </w:r>
      <w:r>
        <w:rPr>
          <w:rFonts w:hint="default"/>
          <w:color w:val="auto"/>
          <w:lang w:val="en-US" w:eastAsia="zh-CN"/>
        </w:rPr>
        <w:t>。</w:t>
      </w:r>
    </w:p>
    <w:p w14:paraId="046A84A4">
      <w:pPr>
        <w:pStyle w:val="3"/>
        <w:bidi w:val="0"/>
        <w:rPr>
          <w:rFonts w:hint="default"/>
          <w:color w:val="auto"/>
          <w:lang w:val="en-US" w:eastAsia="zh-CN"/>
        </w:rPr>
      </w:pPr>
      <w:bookmarkStart w:id="600" w:name="_Toc16282"/>
      <w:bookmarkStart w:id="601" w:name="_Toc23026"/>
      <w:bookmarkStart w:id="602" w:name="_Toc11385"/>
      <w:bookmarkStart w:id="603" w:name="_Toc31403"/>
      <w:bookmarkStart w:id="604" w:name="_Toc28106"/>
      <w:bookmarkStart w:id="605" w:name="_Toc711"/>
      <w:r>
        <w:rPr>
          <w:rFonts w:hint="eastAsia"/>
          <w:color w:val="auto"/>
          <w:lang w:val="en-US" w:eastAsia="zh-CN"/>
        </w:rPr>
        <w:t>6.3 开拓运输单元对策措施</w:t>
      </w:r>
      <w:bookmarkEnd w:id="600"/>
      <w:bookmarkEnd w:id="601"/>
      <w:bookmarkEnd w:id="602"/>
      <w:bookmarkEnd w:id="603"/>
      <w:bookmarkEnd w:id="604"/>
      <w:bookmarkEnd w:id="605"/>
    </w:p>
    <w:p w14:paraId="1960B219">
      <w:pPr>
        <w:rPr>
          <w:rFonts w:hint="default"/>
          <w:color w:val="auto"/>
          <w:lang w:val="en-US" w:eastAsia="zh-CN"/>
        </w:rPr>
      </w:pPr>
      <w:r>
        <w:rPr>
          <w:rFonts w:hint="eastAsia"/>
          <w:color w:val="auto"/>
          <w:lang w:val="en-US" w:eastAsia="zh-CN"/>
        </w:rPr>
        <w:t xml:space="preserve">1. </w:t>
      </w:r>
      <w:r>
        <w:rPr>
          <w:rFonts w:hint="default"/>
          <w:color w:val="auto"/>
          <w:lang w:val="en-US" w:eastAsia="zh-CN"/>
        </w:rPr>
        <w:t>露天采场工作</w:t>
      </w:r>
      <w:r>
        <w:rPr>
          <w:rFonts w:hint="eastAsia"/>
          <w:color w:val="auto"/>
          <w:lang w:val="en-US" w:eastAsia="zh-CN"/>
        </w:rPr>
        <w:t>边</w:t>
      </w:r>
      <w:r>
        <w:rPr>
          <w:rFonts w:hint="default"/>
          <w:color w:val="auto"/>
          <w:lang w:val="en-US" w:eastAsia="zh-CN"/>
        </w:rPr>
        <w:t>坡应每季度检查1次，运输或行人的非工作边坡每半年检查1次。</w:t>
      </w:r>
    </w:p>
    <w:p w14:paraId="0513BC54">
      <w:pPr>
        <w:rPr>
          <w:rFonts w:hint="default"/>
          <w:color w:val="auto"/>
          <w:lang w:val="en-US" w:eastAsia="zh-CN"/>
        </w:rPr>
      </w:pPr>
      <w:r>
        <w:rPr>
          <w:rFonts w:hint="eastAsia"/>
          <w:color w:val="auto"/>
          <w:lang w:val="en-US" w:eastAsia="zh-CN"/>
        </w:rPr>
        <w:t xml:space="preserve">2. </w:t>
      </w:r>
      <w:r>
        <w:rPr>
          <w:rFonts w:hint="default"/>
          <w:color w:val="auto"/>
          <w:lang w:val="en-US" w:eastAsia="zh-CN"/>
        </w:rPr>
        <w:t>雨雪、大雾、冰冻等恶劣天气应禁止车辆上山运输。</w:t>
      </w:r>
    </w:p>
    <w:p w14:paraId="2EF09F68">
      <w:pPr>
        <w:rPr>
          <w:rFonts w:hint="default"/>
          <w:color w:val="auto"/>
          <w:lang w:val="en-US" w:eastAsia="zh-CN"/>
        </w:rPr>
      </w:pPr>
      <w:r>
        <w:rPr>
          <w:rFonts w:hint="eastAsia"/>
          <w:color w:val="auto"/>
          <w:lang w:val="en-US" w:eastAsia="zh-CN"/>
        </w:rPr>
        <w:t xml:space="preserve">3. </w:t>
      </w:r>
      <w:r>
        <w:rPr>
          <w:rFonts w:hint="default"/>
          <w:color w:val="auto"/>
          <w:lang w:val="en-US" w:eastAsia="zh-CN"/>
        </w:rPr>
        <w:t>加强对运输道路的检查维护，确保上山公路排水沟、安全警示标志、</w:t>
      </w:r>
      <w:r>
        <w:rPr>
          <w:rFonts w:hint="eastAsia"/>
          <w:color w:val="auto"/>
          <w:lang w:val="en-US" w:eastAsia="zh-CN"/>
        </w:rPr>
        <w:t>反光镜</w:t>
      </w:r>
      <w:r>
        <w:rPr>
          <w:rFonts w:hint="default"/>
          <w:color w:val="auto"/>
          <w:lang w:val="en-US" w:eastAsia="zh-CN"/>
        </w:rPr>
        <w:t>等设施的完好。</w:t>
      </w:r>
    </w:p>
    <w:p w14:paraId="02A7944D">
      <w:pPr>
        <w:rPr>
          <w:rFonts w:hint="default"/>
          <w:color w:val="auto"/>
          <w:lang w:val="en-US" w:eastAsia="zh-CN"/>
        </w:rPr>
      </w:pPr>
      <w:r>
        <w:rPr>
          <w:rFonts w:hint="eastAsia"/>
          <w:color w:val="auto"/>
          <w:lang w:val="en-US" w:eastAsia="zh-CN"/>
        </w:rPr>
        <w:t xml:space="preserve">4. </w:t>
      </w:r>
      <w:r>
        <w:rPr>
          <w:rFonts w:hint="default"/>
          <w:color w:val="auto"/>
          <w:lang w:val="en-US" w:eastAsia="zh-CN"/>
        </w:rPr>
        <w:t>加强对运输设备、设施的检查、维护，确保设备、设施完好、性能可靠、使用安全。</w:t>
      </w:r>
    </w:p>
    <w:p w14:paraId="798AE045">
      <w:pPr>
        <w:rPr>
          <w:rFonts w:hint="default"/>
          <w:color w:val="auto"/>
          <w:lang w:val="en-US" w:eastAsia="zh-CN"/>
        </w:rPr>
      </w:pPr>
      <w:r>
        <w:rPr>
          <w:rFonts w:hint="eastAsia"/>
          <w:color w:val="auto"/>
          <w:lang w:val="en-US" w:eastAsia="zh-CN"/>
        </w:rPr>
        <w:t xml:space="preserve">5. </w:t>
      </w:r>
      <w:r>
        <w:rPr>
          <w:rFonts w:hint="default"/>
          <w:color w:val="auto"/>
          <w:lang w:val="en-US" w:eastAsia="zh-CN"/>
        </w:rPr>
        <w:t>加强对运输车辆驾驶人员的安全教育、培训，驾驶人员均须取得相应的驾驶资格证，并持证上岗，严禁酒后、疲劳驾驶。</w:t>
      </w:r>
    </w:p>
    <w:p w14:paraId="67BDB244">
      <w:pPr>
        <w:rPr>
          <w:rFonts w:hint="default"/>
          <w:color w:val="auto"/>
          <w:lang w:val="en-US" w:eastAsia="zh-CN"/>
        </w:rPr>
      </w:pPr>
      <w:r>
        <w:rPr>
          <w:rFonts w:hint="eastAsia"/>
          <w:color w:val="auto"/>
          <w:lang w:val="en-US" w:eastAsia="zh-CN"/>
        </w:rPr>
        <w:t xml:space="preserve">6. </w:t>
      </w:r>
      <w:r>
        <w:rPr>
          <w:rFonts w:hint="default"/>
          <w:color w:val="auto"/>
          <w:lang w:val="en-US" w:eastAsia="zh-CN"/>
        </w:rPr>
        <w:t>加强运输安全管理，规范运输安全操作、运行。</w:t>
      </w:r>
    </w:p>
    <w:p w14:paraId="4D933C4C">
      <w:pPr>
        <w:rPr>
          <w:rFonts w:hint="default"/>
          <w:color w:val="auto"/>
          <w:lang w:val="en-US" w:eastAsia="zh-CN"/>
        </w:rPr>
      </w:pPr>
      <w:r>
        <w:rPr>
          <w:rFonts w:hint="eastAsia"/>
          <w:color w:val="auto"/>
          <w:lang w:val="en-US" w:eastAsia="zh-CN"/>
        </w:rPr>
        <w:t>（1）</w:t>
      </w:r>
      <w:r>
        <w:rPr>
          <w:rFonts w:hint="default"/>
          <w:color w:val="auto"/>
          <w:lang w:val="en-US" w:eastAsia="zh-CN"/>
        </w:rPr>
        <w:t>雾天或烟尘弥漫影响能见度时，应开亮车前黄灯与标志灯，并靠右侧减速行驶，前后车间距应不小于30m。</w:t>
      </w:r>
    </w:p>
    <w:p w14:paraId="6ED63935">
      <w:pPr>
        <w:rPr>
          <w:rFonts w:hint="default"/>
          <w:color w:val="auto"/>
          <w:lang w:val="en-US" w:eastAsia="zh-CN"/>
        </w:rPr>
      </w:pPr>
      <w:r>
        <w:rPr>
          <w:rFonts w:hint="eastAsia"/>
          <w:color w:val="auto"/>
          <w:lang w:val="en-US" w:eastAsia="zh-CN"/>
        </w:rPr>
        <w:t>（2）</w:t>
      </w:r>
      <w:r>
        <w:rPr>
          <w:rFonts w:hint="default"/>
          <w:color w:val="auto"/>
          <w:lang w:val="en-US" w:eastAsia="zh-CN"/>
        </w:rPr>
        <w:t>冰雪或多雨季节道路较滑时，应有防滑措施并减速行驶；前后车距应不小于40m；拖挂其他车辆时，应采取有效的安全措施，并有专人指挥。</w:t>
      </w:r>
    </w:p>
    <w:p w14:paraId="1EF600B6">
      <w:pPr>
        <w:rPr>
          <w:rFonts w:hint="default"/>
          <w:color w:val="auto"/>
          <w:lang w:val="en-US" w:eastAsia="zh-CN"/>
        </w:rPr>
      </w:pPr>
      <w:r>
        <w:rPr>
          <w:rFonts w:hint="eastAsia"/>
          <w:color w:val="auto"/>
          <w:lang w:val="en-US" w:eastAsia="zh-CN"/>
        </w:rPr>
        <w:t>（3）</w:t>
      </w:r>
      <w:r>
        <w:rPr>
          <w:rFonts w:hint="default"/>
          <w:color w:val="auto"/>
          <w:lang w:val="en-US" w:eastAsia="zh-CN"/>
        </w:rPr>
        <w:t>正常作业条件下，同类车不应超车，前后车距离应保持适当。生产干线、坡道上不应无故停车。</w:t>
      </w:r>
    </w:p>
    <w:p w14:paraId="0A4A5229">
      <w:pPr>
        <w:rPr>
          <w:rFonts w:hint="default"/>
          <w:color w:val="auto"/>
          <w:lang w:val="en-US" w:eastAsia="zh-CN"/>
        </w:rPr>
      </w:pPr>
      <w:r>
        <w:rPr>
          <w:rFonts w:hint="eastAsia"/>
          <w:color w:val="auto"/>
          <w:lang w:val="en-US" w:eastAsia="zh-CN"/>
        </w:rPr>
        <w:t>（4）</w:t>
      </w:r>
      <w:r>
        <w:rPr>
          <w:rFonts w:hint="default"/>
          <w:color w:val="auto"/>
          <w:lang w:val="en-US" w:eastAsia="zh-CN"/>
        </w:rPr>
        <w:t>自卸汽车进入工作面装车，应停在挖掘机尾部回转范围0.5m以外，防止挖掘机回转撞坏车辆。汽车在靠近边坡或危险路面行驶时，应谨慎通过，防止崩塌事故发生。</w:t>
      </w:r>
    </w:p>
    <w:p w14:paraId="6110F1FD">
      <w:pPr>
        <w:pStyle w:val="3"/>
        <w:bidi w:val="0"/>
        <w:rPr>
          <w:rFonts w:hint="default"/>
          <w:color w:val="auto"/>
          <w:lang w:val="en-US" w:eastAsia="zh-CN"/>
        </w:rPr>
      </w:pPr>
      <w:bookmarkStart w:id="606" w:name="_Toc24764"/>
      <w:bookmarkStart w:id="607" w:name="_Toc26569"/>
      <w:bookmarkStart w:id="608" w:name="_Toc21303"/>
      <w:bookmarkStart w:id="609" w:name="_Toc8668"/>
      <w:bookmarkStart w:id="610" w:name="_Toc16044"/>
      <w:bookmarkStart w:id="611" w:name="_Toc31879"/>
      <w:r>
        <w:rPr>
          <w:rFonts w:hint="eastAsia"/>
          <w:color w:val="auto"/>
          <w:lang w:val="en-US" w:eastAsia="zh-CN"/>
        </w:rPr>
        <w:t>6.4 爆破作业安全对策措施建议</w:t>
      </w:r>
      <w:bookmarkEnd w:id="606"/>
      <w:bookmarkEnd w:id="607"/>
      <w:bookmarkEnd w:id="608"/>
      <w:bookmarkEnd w:id="609"/>
      <w:bookmarkEnd w:id="610"/>
      <w:bookmarkEnd w:id="611"/>
    </w:p>
    <w:p w14:paraId="690D0059">
      <w:pPr>
        <w:rPr>
          <w:rFonts w:hint="default"/>
          <w:color w:val="auto"/>
          <w:lang w:val="en-US" w:eastAsia="zh-CN"/>
        </w:rPr>
      </w:pPr>
      <w:r>
        <w:rPr>
          <w:rFonts w:hint="eastAsia"/>
          <w:color w:val="auto"/>
          <w:lang w:val="en-US" w:eastAsia="zh-CN"/>
        </w:rPr>
        <w:t xml:space="preserve">1. </w:t>
      </w:r>
      <w:r>
        <w:rPr>
          <w:rFonts w:hint="default"/>
          <w:color w:val="auto"/>
          <w:lang w:val="en-US" w:eastAsia="zh-CN"/>
        </w:rPr>
        <w:t>矿山开采要根据爆破区台阶高度、钻孔直径和岩石性质等，严格按设计的爆破参数进行爆破作业。</w:t>
      </w:r>
    </w:p>
    <w:p w14:paraId="3BF83AA3">
      <w:pPr>
        <w:rPr>
          <w:rFonts w:hint="default"/>
          <w:color w:val="auto"/>
          <w:lang w:val="en-US" w:eastAsia="zh-CN"/>
        </w:rPr>
      </w:pPr>
      <w:r>
        <w:rPr>
          <w:rFonts w:hint="eastAsia"/>
          <w:color w:val="auto"/>
          <w:lang w:val="en-US" w:eastAsia="zh-CN"/>
        </w:rPr>
        <w:t xml:space="preserve">2. </w:t>
      </w:r>
      <w:r>
        <w:rPr>
          <w:rFonts w:hint="default"/>
          <w:color w:val="auto"/>
          <w:lang w:val="en-US" w:eastAsia="zh-CN"/>
        </w:rPr>
        <w:t>必须制订严密的爆破安全措施，并向当地村民告示爆破时间、地点、警戒范围、爆破信号等。</w:t>
      </w:r>
    </w:p>
    <w:p w14:paraId="7196838D">
      <w:pPr>
        <w:rPr>
          <w:rFonts w:hint="default"/>
          <w:color w:val="auto"/>
          <w:lang w:val="en-US" w:eastAsia="zh-CN"/>
        </w:rPr>
      </w:pPr>
      <w:r>
        <w:rPr>
          <w:rFonts w:hint="eastAsia"/>
          <w:color w:val="auto"/>
          <w:lang w:val="en-US" w:eastAsia="zh-CN"/>
        </w:rPr>
        <w:t xml:space="preserve">3. </w:t>
      </w:r>
      <w:r>
        <w:rPr>
          <w:rFonts w:hint="default"/>
          <w:color w:val="auto"/>
          <w:lang w:val="en-US" w:eastAsia="zh-CN"/>
        </w:rPr>
        <w:t>大雾天、黄昏、雷雨天、夜晚禁止进行露天爆破。</w:t>
      </w:r>
    </w:p>
    <w:p w14:paraId="7E431665">
      <w:pPr>
        <w:rPr>
          <w:rFonts w:hint="default"/>
          <w:color w:val="auto"/>
          <w:lang w:val="en-US" w:eastAsia="zh-CN"/>
        </w:rPr>
      </w:pPr>
      <w:r>
        <w:rPr>
          <w:rFonts w:hint="eastAsia"/>
          <w:color w:val="auto"/>
          <w:lang w:val="en-US" w:eastAsia="zh-CN"/>
        </w:rPr>
        <w:t xml:space="preserve">4. </w:t>
      </w:r>
      <w:r>
        <w:rPr>
          <w:rFonts w:hint="default"/>
          <w:color w:val="auto"/>
          <w:lang w:val="en-US" w:eastAsia="zh-CN"/>
        </w:rPr>
        <w:t>加强爆破安全管理。</w:t>
      </w:r>
    </w:p>
    <w:p w14:paraId="3F3C6CBD">
      <w:pPr>
        <w:rPr>
          <w:rFonts w:hint="default"/>
          <w:color w:val="auto"/>
          <w:lang w:val="en-US" w:eastAsia="zh-CN"/>
        </w:rPr>
      </w:pPr>
      <w:r>
        <w:rPr>
          <w:rFonts w:hint="eastAsia"/>
          <w:color w:val="auto"/>
          <w:lang w:val="en-US" w:eastAsia="zh-CN"/>
        </w:rPr>
        <w:t>（1）</w:t>
      </w:r>
      <w:r>
        <w:rPr>
          <w:rFonts w:hint="default"/>
          <w:color w:val="auto"/>
          <w:lang w:val="en-US" w:eastAsia="zh-CN"/>
        </w:rPr>
        <w:t>爆破前，必须将采场的设备、人员撤至安全地点。</w:t>
      </w:r>
    </w:p>
    <w:p w14:paraId="075F6106">
      <w:pPr>
        <w:rPr>
          <w:rFonts w:hint="default"/>
          <w:color w:val="auto"/>
          <w:lang w:val="en-US" w:eastAsia="zh-CN"/>
        </w:rPr>
      </w:pPr>
      <w:r>
        <w:rPr>
          <w:rFonts w:hint="eastAsia"/>
          <w:color w:val="auto"/>
          <w:lang w:val="en-US" w:eastAsia="zh-CN"/>
        </w:rPr>
        <w:t>（2）</w:t>
      </w:r>
      <w:r>
        <w:rPr>
          <w:rFonts w:hint="default"/>
          <w:color w:val="auto"/>
          <w:lang w:val="en-US" w:eastAsia="zh-CN"/>
        </w:rPr>
        <w:t>爆破前，必须按爆破说明书的要求设置爆破警戒，将爆破警戒内人员撤到安全地点，各通道、路口必须有人警戒并设置警戒标识。</w:t>
      </w:r>
    </w:p>
    <w:p w14:paraId="0A490CDC">
      <w:pPr>
        <w:rPr>
          <w:rFonts w:hint="default"/>
          <w:color w:val="auto"/>
          <w:lang w:val="en-US" w:eastAsia="zh-CN"/>
        </w:rPr>
      </w:pPr>
      <w:r>
        <w:rPr>
          <w:rFonts w:hint="eastAsia"/>
          <w:color w:val="auto"/>
          <w:lang w:val="en-US" w:eastAsia="zh-CN"/>
        </w:rPr>
        <w:t>（3）</w:t>
      </w:r>
      <w:r>
        <w:rPr>
          <w:rFonts w:hint="default"/>
          <w:color w:val="auto"/>
          <w:lang w:val="en-US" w:eastAsia="zh-CN"/>
        </w:rPr>
        <w:t>爆后应超过5min，方准许检查人员进入爆破作业地点；如不能确认有无盲炮，应经15min后才能进入爆区检查。</w:t>
      </w:r>
    </w:p>
    <w:p w14:paraId="2DA61487">
      <w:pPr>
        <w:rPr>
          <w:rFonts w:hint="default"/>
          <w:color w:val="auto"/>
          <w:lang w:val="en-US" w:eastAsia="zh-CN"/>
        </w:rPr>
      </w:pPr>
      <w:r>
        <w:rPr>
          <w:rFonts w:hint="eastAsia"/>
          <w:color w:val="auto"/>
          <w:lang w:val="en-US" w:eastAsia="zh-CN"/>
        </w:rPr>
        <w:t>（4）</w:t>
      </w:r>
      <w:r>
        <w:rPr>
          <w:rFonts w:hint="default"/>
          <w:color w:val="auto"/>
          <w:lang w:val="en-US" w:eastAsia="zh-CN"/>
        </w:rPr>
        <w:t>爆破经检查确认爆破点安全后，经当班爆破班长同意，方准许作业人员进入爆区并解除警戒。</w:t>
      </w:r>
    </w:p>
    <w:p w14:paraId="7FF8D168">
      <w:pPr>
        <w:rPr>
          <w:rFonts w:hint="default"/>
          <w:color w:val="auto"/>
          <w:lang w:val="en-US" w:eastAsia="zh-CN"/>
        </w:rPr>
      </w:pPr>
      <w:r>
        <w:rPr>
          <w:rFonts w:hint="eastAsia"/>
          <w:color w:val="auto"/>
          <w:lang w:val="en-US" w:eastAsia="zh-CN"/>
        </w:rPr>
        <w:t>5. 矿山应协调好两个矿区之间爆破作业的时间、空间关系，避免爆破产生相互影响。</w:t>
      </w:r>
    </w:p>
    <w:p w14:paraId="1A7FF90D">
      <w:pPr>
        <w:pStyle w:val="3"/>
        <w:bidi w:val="0"/>
        <w:rPr>
          <w:rFonts w:hint="default"/>
          <w:color w:val="auto"/>
          <w:lang w:val="en-US" w:eastAsia="zh-CN"/>
        </w:rPr>
      </w:pPr>
      <w:bookmarkStart w:id="612" w:name="_Toc21564"/>
      <w:bookmarkStart w:id="613" w:name="_Toc15492"/>
      <w:bookmarkStart w:id="614" w:name="_Toc15217"/>
      <w:bookmarkStart w:id="615" w:name="_Toc12523"/>
      <w:bookmarkStart w:id="616" w:name="_Toc23300"/>
      <w:bookmarkStart w:id="617" w:name="_Toc22762"/>
      <w:r>
        <w:rPr>
          <w:rFonts w:hint="eastAsia"/>
          <w:color w:val="auto"/>
          <w:lang w:val="en-US" w:eastAsia="zh-CN"/>
        </w:rPr>
        <w:t>6.5 供配电设施安全对策措施建议</w:t>
      </w:r>
      <w:bookmarkEnd w:id="612"/>
      <w:bookmarkEnd w:id="613"/>
      <w:bookmarkEnd w:id="614"/>
      <w:bookmarkEnd w:id="615"/>
      <w:bookmarkEnd w:id="616"/>
      <w:bookmarkEnd w:id="617"/>
    </w:p>
    <w:p w14:paraId="5CAB4AA6">
      <w:pPr>
        <w:bidi w:val="0"/>
        <w:rPr>
          <w:rFonts w:hint="eastAsia"/>
          <w:color w:val="auto"/>
          <w:lang w:val="en-US" w:eastAsia="zh-CN"/>
        </w:rPr>
      </w:pPr>
      <w:r>
        <w:rPr>
          <w:rFonts w:hint="eastAsia"/>
          <w:color w:val="auto"/>
          <w:lang w:val="en-US" w:eastAsia="zh-CN"/>
        </w:rPr>
        <w:t>1. 矿山应建立电气作业安全制度，严格执行工作票、工作许可、监护、间断、转移和终结等工作程序。</w:t>
      </w:r>
    </w:p>
    <w:p w14:paraId="5AC21C93">
      <w:pPr>
        <w:bidi w:val="0"/>
        <w:rPr>
          <w:rFonts w:hint="eastAsia"/>
          <w:color w:val="auto"/>
          <w:lang w:val="en-US" w:eastAsia="zh-CN"/>
        </w:rPr>
      </w:pPr>
      <w:r>
        <w:rPr>
          <w:rFonts w:hint="eastAsia"/>
          <w:color w:val="auto"/>
          <w:lang w:val="en-US" w:eastAsia="zh-CN"/>
        </w:rPr>
        <w:t>2. 购置电器设备，尤其是购置专用的安全性要求高的电气设备时，应该到经质量认证的、专门生产该设备的厂家或商店购置，从开始就要保证质量和安全性。</w:t>
      </w:r>
    </w:p>
    <w:p w14:paraId="21766A6F">
      <w:pPr>
        <w:bidi w:val="0"/>
        <w:rPr>
          <w:rFonts w:hint="eastAsia"/>
          <w:color w:val="auto"/>
          <w:lang w:val="en-US" w:eastAsia="zh-CN"/>
        </w:rPr>
      </w:pPr>
      <w:r>
        <w:rPr>
          <w:rFonts w:hint="eastAsia"/>
          <w:color w:val="auto"/>
          <w:lang w:val="en-US" w:eastAsia="zh-CN"/>
        </w:rPr>
        <w:t>3. 应装置避雷针的电器设备，或建筑物都应装避雷针。避雷针的装设应请有资质部门施工，并定期检测，避雷针的电阻要达到规定要求，保证避雷效果，做到安全。</w:t>
      </w:r>
    </w:p>
    <w:p w14:paraId="0CA9C37A">
      <w:pPr>
        <w:bidi w:val="0"/>
        <w:rPr>
          <w:rFonts w:hint="eastAsia"/>
          <w:color w:val="auto"/>
          <w:lang w:val="en-US" w:eastAsia="zh-CN"/>
        </w:rPr>
      </w:pPr>
      <w:r>
        <w:rPr>
          <w:rFonts w:hint="eastAsia"/>
          <w:color w:val="auto"/>
          <w:lang w:val="en-US" w:eastAsia="zh-CN"/>
        </w:rPr>
        <w:t>4. 所有机电设备都应接地，接地方式要符合要求，以防漏电，对人造成伤害。用电线路和装置要经常检查防止“裸露”，及时更换失灵电器保护装置。</w:t>
      </w:r>
    </w:p>
    <w:p w14:paraId="3614AF68">
      <w:pPr>
        <w:bidi w:val="0"/>
        <w:rPr>
          <w:rFonts w:hint="eastAsia"/>
          <w:color w:val="auto"/>
          <w:lang w:val="en-US" w:eastAsia="zh-CN"/>
        </w:rPr>
      </w:pPr>
      <w:r>
        <w:rPr>
          <w:rFonts w:hint="eastAsia"/>
          <w:color w:val="auto"/>
          <w:lang w:val="en-US" w:eastAsia="zh-CN"/>
        </w:rPr>
        <w:t>5. 加强电器设备管理，严格操作规程，禁止违章操作，每班都应有使用运行记录。</w:t>
      </w:r>
    </w:p>
    <w:p w14:paraId="07C6EBA7">
      <w:pPr>
        <w:bidi w:val="0"/>
        <w:rPr>
          <w:rFonts w:hint="eastAsia"/>
          <w:color w:val="auto"/>
          <w:lang w:val="en-US" w:eastAsia="zh-CN"/>
        </w:rPr>
      </w:pPr>
      <w:r>
        <w:rPr>
          <w:rFonts w:hint="eastAsia"/>
          <w:color w:val="auto"/>
          <w:spacing w:val="-6"/>
          <w:sz w:val="28"/>
          <w:lang w:val="en-US" w:eastAsia="zh-CN"/>
        </w:rPr>
        <w:t>6. 重视电器设备的检查、保养、维修工作，要建立制度，检查维修要有准确记录。机电设备检修停、送电时，要执行工作票制度，并派专人看</w:t>
      </w:r>
      <w:r>
        <w:rPr>
          <w:rFonts w:hint="eastAsia"/>
          <w:color w:val="auto"/>
          <w:lang w:val="en-US" w:eastAsia="zh-CN"/>
        </w:rPr>
        <w:t>管。</w:t>
      </w:r>
    </w:p>
    <w:p w14:paraId="245FB69D">
      <w:pPr>
        <w:bidi w:val="0"/>
        <w:rPr>
          <w:rFonts w:hint="eastAsia"/>
          <w:color w:val="auto"/>
          <w:lang w:val="en-US" w:eastAsia="zh-CN"/>
        </w:rPr>
      </w:pPr>
      <w:r>
        <w:rPr>
          <w:rFonts w:hint="eastAsia"/>
          <w:color w:val="auto"/>
          <w:lang w:val="en-US" w:eastAsia="zh-CN"/>
        </w:rPr>
        <w:t>7. 要全面建立警示牌，如变电压要警示高压危险，空压机要挂注意高压，有些地点要挂出“注意烟火，禁止吸烟”、“小心路滑，注意危险”等，提醒人们时刻警惕。</w:t>
      </w:r>
    </w:p>
    <w:p w14:paraId="0AAE32EF">
      <w:pPr>
        <w:pStyle w:val="3"/>
        <w:bidi w:val="0"/>
        <w:rPr>
          <w:rFonts w:hint="default"/>
          <w:color w:val="auto"/>
          <w:lang w:val="en-US" w:eastAsia="zh-CN"/>
        </w:rPr>
      </w:pPr>
      <w:bookmarkStart w:id="618" w:name="_Toc14137"/>
      <w:bookmarkStart w:id="619" w:name="_Toc690"/>
      <w:bookmarkStart w:id="620" w:name="_Toc6342"/>
      <w:bookmarkStart w:id="621" w:name="_Toc15926"/>
      <w:bookmarkStart w:id="622" w:name="_Toc11362"/>
      <w:bookmarkStart w:id="623" w:name="_Toc16343"/>
      <w:r>
        <w:rPr>
          <w:rFonts w:hint="eastAsia"/>
          <w:color w:val="auto"/>
          <w:lang w:val="en-US" w:eastAsia="zh-CN"/>
        </w:rPr>
        <w:t>6.6 防排水与防灭火安全对策措施建议</w:t>
      </w:r>
      <w:bookmarkEnd w:id="618"/>
      <w:bookmarkEnd w:id="619"/>
      <w:bookmarkEnd w:id="620"/>
      <w:bookmarkEnd w:id="621"/>
      <w:bookmarkEnd w:id="622"/>
      <w:bookmarkEnd w:id="623"/>
    </w:p>
    <w:p w14:paraId="1D85C1E8">
      <w:pPr>
        <w:rPr>
          <w:rFonts w:hint="default"/>
          <w:color w:val="auto"/>
          <w:lang w:val="en-US" w:eastAsia="zh-CN"/>
        </w:rPr>
      </w:pPr>
      <w:r>
        <w:rPr>
          <w:rFonts w:hint="default"/>
          <w:color w:val="auto"/>
          <w:lang w:val="en-US" w:eastAsia="zh-CN"/>
        </w:rPr>
        <w:t>1</w:t>
      </w:r>
      <w:r>
        <w:rPr>
          <w:rFonts w:hint="eastAsia"/>
          <w:color w:val="auto"/>
          <w:lang w:val="en-US" w:eastAsia="zh-CN"/>
        </w:rPr>
        <w:t xml:space="preserve">. </w:t>
      </w:r>
      <w:r>
        <w:rPr>
          <w:rFonts w:hint="default"/>
          <w:color w:val="auto"/>
          <w:lang w:val="en-US" w:eastAsia="zh-CN"/>
        </w:rPr>
        <w:t>采场周围截水沟应定期疏通、清理。</w:t>
      </w:r>
    </w:p>
    <w:p w14:paraId="3B78FA5F">
      <w:pPr>
        <w:rPr>
          <w:rFonts w:hint="default"/>
          <w:color w:val="auto"/>
          <w:lang w:val="en-US" w:eastAsia="zh-CN"/>
        </w:rPr>
      </w:pPr>
      <w:r>
        <w:rPr>
          <w:rFonts w:hint="default"/>
          <w:color w:val="auto"/>
          <w:lang w:val="en-US" w:eastAsia="zh-CN"/>
        </w:rPr>
        <w:t>2</w:t>
      </w:r>
      <w:r>
        <w:rPr>
          <w:rFonts w:hint="eastAsia"/>
          <w:color w:val="auto"/>
          <w:lang w:val="en-US" w:eastAsia="zh-CN"/>
        </w:rPr>
        <w:t xml:space="preserve">. </w:t>
      </w:r>
      <w:r>
        <w:rPr>
          <w:rFonts w:hint="default"/>
          <w:color w:val="auto"/>
          <w:lang w:val="en-US" w:eastAsia="zh-CN"/>
        </w:rPr>
        <w:t>排水沟要经常清淤，防止堵塞，保持畅通，防止洪水漫过渠道直接流入采场。</w:t>
      </w:r>
    </w:p>
    <w:p w14:paraId="39ECDFC6">
      <w:pPr>
        <w:rPr>
          <w:rFonts w:hint="default"/>
          <w:color w:val="auto"/>
          <w:lang w:val="en-US" w:eastAsia="zh-CN"/>
        </w:rPr>
      </w:pPr>
      <w:r>
        <w:rPr>
          <w:rFonts w:hint="default"/>
          <w:color w:val="auto"/>
          <w:lang w:val="en-US" w:eastAsia="zh-CN"/>
        </w:rPr>
        <w:t>5</w:t>
      </w:r>
      <w:r>
        <w:rPr>
          <w:rFonts w:hint="eastAsia"/>
          <w:color w:val="auto"/>
          <w:lang w:val="en-US" w:eastAsia="zh-CN"/>
        </w:rPr>
        <w:t xml:space="preserve">. </w:t>
      </w:r>
      <w:r>
        <w:rPr>
          <w:rFonts w:hint="default"/>
          <w:color w:val="auto"/>
          <w:lang w:val="en-US" w:eastAsia="zh-CN"/>
        </w:rPr>
        <w:t>应对容易发生火灾的场所和设备如配电房、生活区、重要采掘设备等处配备足够的消防灭火器材。</w:t>
      </w:r>
    </w:p>
    <w:p w14:paraId="53DC8114">
      <w:pPr>
        <w:rPr>
          <w:rFonts w:hint="default"/>
          <w:color w:val="auto"/>
          <w:lang w:val="en-US" w:eastAsia="zh-CN"/>
        </w:rPr>
      </w:pPr>
      <w:r>
        <w:rPr>
          <w:rFonts w:hint="default"/>
          <w:color w:val="auto"/>
          <w:lang w:val="en-US" w:eastAsia="zh-CN"/>
        </w:rPr>
        <w:t>6</w:t>
      </w:r>
      <w:r>
        <w:rPr>
          <w:rFonts w:hint="eastAsia"/>
          <w:color w:val="auto"/>
          <w:lang w:val="en-US" w:eastAsia="zh-CN"/>
        </w:rPr>
        <w:t xml:space="preserve">. </w:t>
      </w:r>
      <w:r>
        <w:rPr>
          <w:rFonts w:hint="default"/>
          <w:color w:val="auto"/>
          <w:lang w:val="en-US" w:eastAsia="zh-CN"/>
        </w:rPr>
        <w:t>本矿山矿岩本身无可燃性，采场发生火灾的可能性较低，但由于矿山地处林区植被发育，发生森林火灾可能性大，要加强防火意识的宣传、教育，并采取以下预防措施：</w:t>
      </w:r>
    </w:p>
    <w:p w14:paraId="2AFDC0D3">
      <w:pPr>
        <w:rPr>
          <w:rFonts w:hint="default"/>
          <w:color w:val="auto"/>
          <w:lang w:val="en-US" w:eastAsia="zh-CN"/>
        </w:rPr>
      </w:pPr>
      <w:r>
        <w:rPr>
          <w:rFonts w:hint="eastAsia"/>
          <w:color w:val="auto"/>
          <w:lang w:val="en-US" w:eastAsia="zh-CN"/>
        </w:rPr>
        <w:t>（</w:t>
      </w:r>
      <w:r>
        <w:rPr>
          <w:rFonts w:hint="default"/>
          <w:color w:val="auto"/>
          <w:lang w:val="en-US" w:eastAsia="zh-CN"/>
        </w:rPr>
        <w:t>1）尽量减少可燃物的存在，各建构筑物尽量采用阻燃材料。</w:t>
      </w:r>
    </w:p>
    <w:p w14:paraId="0C7E7314">
      <w:pPr>
        <w:rPr>
          <w:rFonts w:hint="default"/>
          <w:color w:val="auto"/>
          <w:lang w:val="en-US" w:eastAsia="zh-CN"/>
        </w:rPr>
      </w:pPr>
      <w:r>
        <w:rPr>
          <w:rFonts w:hint="eastAsia"/>
          <w:color w:val="auto"/>
          <w:lang w:val="en-US" w:eastAsia="zh-CN"/>
        </w:rPr>
        <w:t>（</w:t>
      </w:r>
      <w:r>
        <w:rPr>
          <w:rFonts w:hint="default"/>
          <w:color w:val="auto"/>
          <w:lang w:val="en-US" w:eastAsia="zh-CN"/>
        </w:rPr>
        <w:t>2）杜绝违章作业。对易燃易爆物品采取了专门的运送、保管、分发和使用的措施，配备消防设施。</w:t>
      </w:r>
    </w:p>
    <w:p w14:paraId="0578427F">
      <w:pPr>
        <w:rPr>
          <w:rFonts w:hint="default"/>
          <w:color w:val="auto"/>
          <w:lang w:val="en-US" w:eastAsia="zh-CN"/>
        </w:rPr>
      </w:pPr>
    </w:p>
    <w:p w14:paraId="2B8DB2A7">
      <w:pPr>
        <w:rPr>
          <w:rFonts w:hint="default"/>
          <w:color w:val="auto"/>
          <w:lang w:val="en-US" w:eastAsia="zh-CN"/>
        </w:rPr>
      </w:pPr>
      <w:r>
        <w:rPr>
          <w:rFonts w:hint="default"/>
          <w:color w:val="auto"/>
          <w:lang w:val="en-US" w:eastAsia="zh-CN"/>
        </w:rPr>
        <w:br w:type="page"/>
      </w:r>
    </w:p>
    <w:p w14:paraId="78384D9D">
      <w:pPr>
        <w:pStyle w:val="2"/>
        <w:numPr>
          <w:ilvl w:val="0"/>
          <w:numId w:val="1"/>
        </w:numPr>
        <w:bidi w:val="0"/>
        <w:ind w:left="0" w:leftChars="0" w:firstLine="0" w:firstLineChars="0"/>
        <w:rPr>
          <w:rFonts w:hint="default" w:ascii="Times New Roman" w:hAnsi="Times New Roman" w:cs="Times New Roman"/>
          <w:color w:val="auto"/>
          <w:lang w:val="en-US" w:eastAsia="zh-CN"/>
        </w:rPr>
      </w:pPr>
      <w:bookmarkStart w:id="624" w:name="_Toc24513"/>
      <w:bookmarkStart w:id="625" w:name="_Toc20894"/>
      <w:bookmarkStart w:id="626" w:name="_Toc16978"/>
      <w:bookmarkStart w:id="627" w:name="_Toc1108"/>
      <w:bookmarkStart w:id="628" w:name="_Toc1467"/>
      <w:bookmarkStart w:id="629" w:name="_Toc22651"/>
      <w:r>
        <w:rPr>
          <w:rFonts w:hint="default" w:ascii="Times New Roman" w:hAnsi="Times New Roman" w:cs="Times New Roman"/>
          <w:color w:val="auto"/>
          <w:lang w:val="en-US" w:eastAsia="zh-CN"/>
        </w:rPr>
        <w:t>评价结论</w:t>
      </w:r>
      <w:bookmarkEnd w:id="624"/>
      <w:bookmarkEnd w:id="625"/>
      <w:bookmarkEnd w:id="626"/>
      <w:bookmarkEnd w:id="627"/>
      <w:bookmarkEnd w:id="628"/>
      <w:bookmarkEnd w:id="629"/>
    </w:p>
    <w:p w14:paraId="61AC982A">
      <w:pPr>
        <w:pageBreakBefore w:val="0"/>
        <w:widowControl w:val="0"/>
        <w:kinsoku/>
        <w:wordWrap/>
        <w:overflowPunct/>
        <w:topLinePunct w:val="0"/>
        <w:autoSpaceDE/>
        <w:autoSpaceDN/>
        <w:bidi w:val="0"/>
        <w:adjustRightInd/>
        <w:snapToGrid/>
        <w:spacing w:line="353" w:lineRule="auto"/>
        <w:textAlignment w:val="auto"/>
        <w:rPr>
          <w:rFonts w:hint="default"/>
          <w:color w:val="auto"/>
          <w:lang w:val="en-US" w:eastAsia="zh-CN"/>
        </w:rPr>
      </w:pPr>
      <w:r>
        <w:rPr>
          <w:rFonts w:hint="eastAsia"/>
          <w:color w:val="auto"/>
          <w:lang w:val="en-US" w:eastAsia="zh-CN"/>
        </w:rPr>
        <w:t>本次</w:t>
      </w:r>
      <w:r>
        <w:rPr>
          <w:rFonts w:hint="default"/>
          <w:color w:val="auto"/>
          <w:lang w:val="en-US" w:eastAsia="zh-CN"/>
        </w:rPr>
        <w:t>安全现状评价是根据国家颁布的有关安全生产法律、法规及相关文件规定，本着科学、公正、合法、自主的原则，对</w:t>
      </w:r>
      <w:r>
        <w:rPr>
          <w:rFonts w:hint="eastAsia"/>
          <w:color w:val="auto"/>
          <w:lang w:val="en-US" w:eastAsia="zh-CN"/>
        </w:rPr>
        <w:t>鄱阳县响水滩乡禾互山建筑用石料矿</w:t>
      </w:r>
      <w:r>
        <w:rPr>
          <w:rFonts w:hint="default"/>
          <w:color w:val="auto"/>
          <w:lang w:val="en-US" w:eastAsia="zh-CN"/>
        </w:rPr>
        <w:t>评价开采工程安全管理的适宜性及生产场所安全设施等是否符合国家相关法律法规与标准的要求，运用安全检查表和作业条件危险性分析评价法等对该项目进行安全现状评价，评价结论如下</w:t>
      </w:r>
      <w:r>
        <w:rPr>
          <w:rFonts w:hint="eastAsia"/>
          <w:color w:val="auto"/>
          <w:lang w:val="en-US" w:eastAsia="zh-CN"/>
        </w:rPr>
        <w:t>：</w:t>
      </w:r>
    </w:p>
    <w:p w14:paraId="4193C03C">
      <w:pPr>
        <w:pStyle w:val="3"/>
        <w:pageBreakBefore w:val="0"/>
        <w:widowControl w:val="0"/>
        <w:kinsoku/>
        <w:wordWrap/>
        <w:overflowPunct/>
        <w:topLinePunct w:val="0"/>
        <w:autoSpaceDE/>
        <w:autoSpaceDN/>
        <w:bidi w:val="0"/>
        <w:adjustRightInd/>
        <w:snapToGrid/>
        <w:spacing w:line="353" w:lineRule="auto"/>
        <w:textAlignment w:val="auto"/>
        <w:rPr>
          <w:rFonts w:hint="default"/>
          <w:color w:val="auto"/>
          <w:lang w:val="en-US" w:eastAsia="zh-CN"/>
        </w:rPr>
      </w:pPr>
      <w:bookmarkStart w:id="630" w:name="_Toc24533"/>
      <w:bookmarkStart w:id="631" w:name="_Toc30436"/>
      <w:bookmarkStart w:id="632" w:name="_Toc437"/>
      <w:bookmarkStart w:id="633" w:name="_Toc26579"/>
      <w:bookmarkStart w:id="634" w:name="_Toc27054"/>
      <w:bookmarkStart w:id="635" w:name="_Toc5437"/>
      <w:r>
        <w:rPr>
          <w:rFonts w:hint="default"/>
          <w:color w:val="auto"/>
          <w:lang w:val="en-US" w:eastAsia="zh-CN"/>
        </w:rPr>
        <w:t>7.1</w:t>
      </w:r>
      <w:r>
        <w:rPr>
          <w:rFonts w:hint="eastAsia"/>
          <w:color w:val="auto"/>
          <w:lang w:val="en-US" w:eastAsia="zh-CN"/>
        </w:rPr>
        <w:t xml:space="preserve"> </w:t>
      </w:r>
      <w:r>
        <w:rPr>
          <w:rFonts w:hint="default"/>
          <w:color w:val="auto"/>
          <w:lang w:val="en-US" w:eastAsia="zh-CN"/>
        </w:rPr>
        <w:t>矿山存在的主要危险、有害因素</w:t>
      </w:r>
      <w:bookmarkEnd w:id="630"/>
      <w:bookmarkEnd w:id="631"/>
      <w:bookmarkEnd w:id="632"/>
      <w:bookmarkEnd w:id="633"/>
      <w:bookmarkEnd w:id="634"/>
      <w:bookmarkEnd w:id="635"/>
    </w:p>
    <w:p w14:paraId="5DFB54C8">
      <w:pPr>
        <w:pageBreakBefore w:val="0"/>
        <w:widowControl w:val="0"/>
        <w:kinsoku/>
        <w:wordWrap/>
        <w:overflowPunct/>
        <w:topLinePunct w:val="0"/>
        <w:autoSpaceDE/>
        <w:autoSpaceDN/>
        <w:bidi w:val="0"/>
        <w:adjustRightInd/>
        <w:snapToGrid/>
        <w:spacing w:line="353" w:lineRule="auto"/>
        <w:textAlignment w:val="auto"/>
        <w:rPr>
          <w:rFonts w:hint="default"/>
          <w:color w:val="auto"/>
          <w:lang w:val="en-US" w:eastAsia="zh-CN"/>
        </w:rPr>
      </w:pPr>
      <w:r>
        <w:rPr>
          <w:rFonts w:hint="default"/>
          <w:color w:val="auto"/>
          <w:lang w:val="en-US" w:eastAsia="zh-CN"/>
        </w:rPr>
        <w:t>1</w:t>
      </w:r>
      <w:r>
        <w:rPr>
          <w:rFonts w:hint="eastAsia"/>
          <w:color w:val="auto"/>
          <w:lang w:val="en-US" w:eastAsia="zh-CN"/>
        </w:rPr>
        <w:t>. 鄱阳县响水滩乡禾互山建筑用石料矿</w:t>
      </w:r>
      <w:r>
        <w:rPr>
          <w:rFonts w:hint="default"/>
          <w:color w:val="auto"/>
          <w:lang w:val="en-US" w:eastAsia="zh-CN"/>
        </w:rPr>
        <w:t>潜在的主要危险、有害因素有</w:t>
      </w:r>
      <w:r>
        <w:rPr>
          <w:rFonts w:hint="eastAsia"/>
          <w:color w:val="auto"/>
          <w:lang w:val="en-US" w:eastAsia="zh-CN"/>
        </w:rPr>
        <w:t>：民用爆炸物品</w:t>
      </w:r>
      <w:r>
        <w:rPr>
          <w:rFonts w:hint="default"/>
          <w:color w:val="auto"/>
          <w:lang w:val="en-US" w:eastAsia="zh-CN"/>
        </w:rPr>
        <w:t>爆炸</w:t>
      </w:r>
      <w:r>
        <w:rPr>
          <w:rFonts w:hint="eastAsia"/>
          <w:color w:val="auto"/>
          <w:lang w:val="en-US" w:eastAsia="zh-CN"/>
        </w:rPr>
        <w:t>；坍塌；厂（场）内车辆致害；机械致害；</w:t>
      </w:r>
      <w:r>
        <w:rPr>
          <w:rFonts w:hint="default"/>
          <w:color w:val="auto"/>
          <w:lang w:val="en-US" w:eastAsia="zh-CN"/>
        </w:rPr>
        <w:t>火灾</w:t>
      </w:r>
      <w:r>
        <w:rPr>
          <w:rFonts w:hint="eastAsia"/>
          <w:color w:val="auto"/>
          <w:lang w:val="en-US" w:eastAsia="zh-CN"/>
        </w:rPr>
        <w:t>；物体打击；高处坠落、跌落；淹溺；其他；</w:t>
      </w:r>
      <w:r>
        <w:rPr>
          <w:rFonts w:hint="default"/>
          <w:color w:val="auto"/>
          <w:lang w:val="en-US" w:eastAsia="zh-CN"/>
        </w:rPr>
        <w:t>粉尘</w:t>
      </w:r>
      <w:r>
        <w:rPr>
          <w:rFonts w:hint="eastAsia"/>
          <w:color w:val="auto"/>
          <w:lang w:val="en-US" w:eastAsia="zh-CN"/>
        </w:rPr>
        <w:t>；</w:t>
      </w:r>
      <w:r>
        <w:rPr>
          <w:rFonts w:hint="default"/>
          <w:color w:val="auto"/>
          <w:lang w:val="en-US" w:eastAsia="zh-CN"/>
        </w:rPr>
        <w:t>噪声与振动</w:t>
      </w:r>
      <w:r>
        <w:rPr>
          <w:rFonts w:hint="eastAsia"/>
          <w:color w:val="auto"/>
          <w:lang w:val="en-US" w:eastAsia="zh-CN"/>
        </w:rPr>
        <w:t>；高低温</w:t>
      </w:r>
      <w:r>
        <w:rPr>
          <w:rFonts w:hint="default"/>
          <w:color w:val="auto"/>
          <w:lang w:val="en-US" w:eastAsia="zh-CN"/>
        </w:rPr>
        <w:t>等。</w:t>
      </w:r>
    </w:p>
    <w:p w14:paraId="56D28571">
      <w:pPr>
        <w:pageBreakBefore w:val="0"/>
        <w:widowControl w:val="0"/>
        <w:kinsoku/>
        <w:wordWrap/>
        <w:overflowPunct/>
        <w:topLinePunct w:val="0"/>
        <w:autoSpaceDE/>
        <w:autoSpaceDN/>
        <w:bidi w:val="0"/>
        <w:adjustRightInd/>
        <w:snapToGrid/>
        <w:spacing w:line="353" w:lineRule="auto"/>
        <w:textAlignment w:val="auto"/>
        <w:rPr>
          <w:rFonts w:hint="default"/>
          <w:color w:val="auto"/>
          <w:lang w:val="en-US" w:eastAsia="zh-CN"/>
        </w:rPr>
      </w:pPr>
      <w:r>
        <w:rPr>
          <w:rFonts w:hint="default"/>
          <w:color w:val="auto"/>
          <w:lang w:val="en-US" w:eastAsia="zh-CN"/>
        </w:rPr>
        <w:t>2</w:t>
      </w:r>
      <w:r>
        <w:rPr>
          <w:rFonts w:hint="eastAsia"/>
          <w:color w:val="auto"/>
          <w:lang w:val="en-US" w:eastAsia="zh-CN"/>
        </w:rPr>
        <w:t>. 本</w:t>
      </w:r>
      <w:r>
        <w:rPr>
          <w:rFonts w:hint="default"/>
          <w:color w:val="auto"/>
          <w:lang w:val="en-US" w:eastAsia="zh-CN"/>
        </w:rPr>
        <w:t>矿山</w:t>
      </w:r>
      <w:r>
        <w:rPr>
          <w:rFonts w:hint="eastAsia"/>
          <w:color w:val="auto"/>
          <w:lang w:val="en-US" w:eastAsia="zh-CN"/>
        </w:rPr>
        <w:t>应重点防范的重大危险、有害因素：</w:t>
      </w:r>
      <w:r>
        <w:rPr>
          <w:rFonts w:hint="default"/>
          <w:color w:val="auto"/>
          <w:lang w:val="en-US" w:eastAsia="zh-CN"/>
        </w:rPr>
        <w:t>高处坠落、跌落</w:t>
      </w:r>
      <w:r>
        <w:rPr>
          <w:rFonts w:hint="eastAsia"/>
          <w:color w:val="auto"/>
          <w:lang w:val="en-US" w:eastAsia="zh-CN"/>
        </w:rPr>
        <w:t>；</w:t>
      </w:r>
      <w:r>
        <w:rPr>
          <w:rFonts w:hint="default"/>
          <w:color w:val="auto"/>
          <w:lang w:val="en-US" w:eastAsia="zh-CN"/>
        </w:rPr>
        <w:t>民用爆炸物品爆炸</w:t>
      </w:r>
      <w:r>
        <w:rPr>
          <w:rFonts w:hint="eastAsia"/>
          <w:color w:val="auto"/>
          <w:lang w:val="en-US" w:eastAsia="zh-CN"/>
        </w:rPr>
        <w:t>；</w:t>
      </w:r>
      <w:r>
        <w:rPr>
          <w:rFonts w:hint="default"/>
          <w:color w:val="auto"/>
          <w:lang w:val="en-US" w:eastAsia="zh-CN"/>
        </w:rPr>
        <w:t>厂（场）内车辆致害。</w:t>
      </w:r>
    </w:p>
    <w:p w14:paraId="0A8CFB46">
      <w:pPr>
        <w:pageBreakBefore w:val="0"/>
        <w:widowControl w:val="0"/>
        <w:kinsoku/>
        <w:wordWrap/>
        <w:overflowPunct/>
        <w:topLinePunct w:val="0"/>
        <w:autoSpaceDE/>
        <w:autoSpaceDN/>
        <w:bidi w:val="0"/>
        <w:adjustRightInd/>
        <w:snapToGrid/>
        <w:spacing w:line="353" w:lineRule="auto"/>
        <w:textAlignment w:val="auto"/>
        <w:rPr>
          <w:rFonts w:hint="default"/>
          <w:color w:val="auto"/>
          <w:lang w:val="en-US" w:eastAsia="zh-CN"/>
        </w:rPr>
      </w:pPr>
      <w:r>
        <w:rPr>
          <w:rFonts w:hint="eastAsia"/>
          <w:color w:val="auto"/>
          <w:lang w:val="en-US" w:eastAsia="zh-CN"/>
        </w:rPr>
        <w:t>3. 本</w:t>
      </w:r>
      <w:r>
        <w:rPr>
          <w:rFonts w:hint="default"/>
          <w:color w:val="auto"/>
          <w:lang w:val="en-US" w:eastAsia="zh-CN"/>
        </w:rPr>
        <w:t>矿山不涉及危险化学品重大危险源。</w:t>
      </w:r>
    </w:p>
    <w:p w14:paraId="03E28889">
      <w:pPr>
        <w:pStyle w:val="3"/>
        <w:pageBreakBefore w:val="0"/>
        <w:widowControl w:val="0"/>
        <w:kinsoku/>
        <w:wordWrap/>
        <w:overflowPunct/>
        <w:topLinePunct w:val="0"/>
        <w:autoSpaceDE/>
        <w:autoSpaceDN/>
        <w:bidi w:val="0"/>
        <w:adjustRightInd/>
        <w:snapToGrid/>
        <w:spacing w:line="353" w:lineRule="auto"/>
        <w:textAlignment w:val="auto"/>
        <w:rPr>
          <w:rFonts w:hint="default"/>
          <w:color w:val="auto"/>
          <w:lang w:val="en-US" w:eastAsia="zh-CN"/>
        </w:rPr>
      </w:pPr>
      <w:bookmarkStart w:id="636" w:name="_Toc28708"/>
      <w:bookmarkStart w:id="637" w:name="_Toc17699"/>
      <w:bookmarkStart w:id="638" w:name="_Toc25121"/>
      <w:bookmarkStart w:id="639" w:name="_Toc6080"/>
      <w:bookmarkStart w:id="640" w:name="_Toc8049"/>
      <w:bookmarkStart w:id="641" w:name="_Toc31092"/>
      <w:r>
        <w:rPr>
          <w:rFonts w:hint="eastAsia"/>
          <w:color w:val="auto"/>
          <w:lang w:val="en-US" w:eastAsia="zh-CN"/>
        </w:rPr>
        <w:t>7.2 各单元评价结果</w:t>
      </w:r>
      <w:bookmarkEnd w:id="636"/>
      <w:bookmarkEnd w:id="637"/>
      <w:bookmarkEnd w:id="638"/>
      <w:bookmarkEnd w:id="639"/>
      <w:bookmarkEnd w:id="640"/>
      <w:bookmarkEnd w:id="641"/>
    </w:p>
    <w:p w14:paraId="290AA6B3">
      <w:pPr>
        <w:pageBreakBefore w:val="0"/>
        <w:widowControl w:val="0"/>
        <w:kinsoku/>
        <w:wordWrap/>
        <w:overflowPunct/>
        <w:topLinePunct w:val="0"/>
        <w:autoSpaceDE/>
        <w:autoSpaceDN/>
        <w:bidi w:val="0"/>
        <w:adjustRightInd/>
        <w:snapToGrid/>
        <w:spacing w:line="353" w:lineRule="auto"/>
        <w:textAlignment w:val="auto"/>
        <w:rPr>
          <w:rFonts w:hint="default"/>
          <w:color w:val="auto"/>
          <w:lang w:val="en-US" w:eastAsia="zh-CN"/>
        </w:rPr>
      </w:pPr>
      <w:r>
        <w:rPr>
          <w:rFonts w:hint="default"/>
          <w:color w:val="auto"/>
          <w:lang w:val="en-US" w:eastAsia="zh-CN"/>
        </w:rPr>
        <w:t>通过符合性评价可得</w:t>
      </w:r>
      <w:r>
        <w:rPr>
          <w:rFonts w:hint="eastAsia"/>
          <w:color w:val="auto"/>
          <w:lang w:val="en-US" w:eastAsia="zh-CN"/>
        </w:rPr>
        <w:t>：</w:t>
      </w:r>
    </w:p>
    <w:p w14:paraId="45916708">
      <w:pPr>
        <w:pageBreakBefore w:val="0"/>
        <w:widowControl w:val="0"/>
        <w:kinsoku/>
        <w:wordWrap/>
        <w:overflowPunct/>
        <w:topLinePunct w:val="0"/>
        <w:autoSpaceDE/>
        <w:autoSpaceDN/>
        <w:bidi w:val="0"/>
        <w:adjustRightInd/>
        <w:snapToGrid/>
        <w:spacing w:line="353" w:lineRule="auto"/>
        <w:textAlignment w:val="auto"/>
        <w:rPr>
          <w:rFonts w:hint="default"/>
          <w:color w:val="auto"/>
          <w:lang w:val="en-US" w:eastAsia="zh-CN"/>
        </w:rPr>
      </w:pPr>
      <w:r>
        <w:rPr>
          <w:rFonts w:hint="default"/>
          <w:color w:val="auto"/>
          <w:lang w:val="en-US" w:eastAsia="zh-CN"/>
        </w:rPr>
        <w:t>1</w:t>
      </w:r>
      <w:r>
        <w:rPr>
          <w:rFonts w:hint="eastAsia"/>
          <w:color w:val="auto"/>
          <w:lang w:val="en-US" w:eastAsia="zh-CN"/>
        </w:rPr>
        <w:t xml:space="preserve">. </w:t>
      </w:r>
      <w:r>
        <w:rPr>
          <w:rFonts w:hint="default"/>
          <w:color w:val="auto"/>
          <w:lang w:val="en-US" w:eastAsia="zh-CN"/>
        </w:rPr>
        <w:t>本评价项目</w:t>
      </w:r>
      <w:r>
        <w:rPr>
          <w:rFonts w:hint="eastAsia"/>
          <w:color w:val="auto"/>
          <w:lang w:val="en-US" w:eastAsia="zh-CN"/>
        </w:rPr>
        <w:t>所有</w:t>
      </w:r>
      <w:r>
        <w:rPr>
          <w:rFonts w:hint="default"/>
          <w:color w:val="auto"/>
          <w:lang w:val="en-US" w:eastAsia="zh-CN"/>
        </w:rPr>
        <w:t>否决项的检查结论均为合格</w:t>
      </w:r>
      <w:r>
        <w:rPr>
          <w:rFonts w:hint="eastAsia"/>
          <w:color w:val="auto"/>
          <w:lang w:val="en-US" w:eastAsia="zh-CN"/>
        </w:rPr>
        <w:t>，</w:t>
      </w:r>
      <w:r>
        <w:rPr>
          <w:rFonts w:hint="default"/>
          <w:color w:val="auto"/>
          <w:lang w:val="en-US" w:eastAsia="zh-CN"/>
        </w:rPr>
        <w:t>表明</w:t>
      </w:r>
      <w:r>
        <w:rPr>
          <w:rFonts w:hint="eastAsia"/>
          <w:color w:val="auto"/>
          <w:lang w:val="en-US" w:eastAsia="zh-CN"/>
        </w:rPr>
        <w:t>该</w:t>
      </w:r>
      <w:r>
        <w:rPr>
          <w:rFonts w:hint="default"/>
          <w:color w:val="auto"/>
          <w:lang w:val="en-US" w:eastAsia="zh-CN"/>
        </w:rPr>
        <w:t>企业符合安全生产的前置条件。</w:t>
      </w:r>
    </w:p>
    <w:p w14:paraId="041C2D8F">
      <w:pPr>
        <w:pageBreakBefore w:val="0"/>
        <w:widowControl w:val="0"/>
        <w:kinsoku/>
        <w:wordWrap/>
        <w:overflowPunct/>
        <w:topLinePunct w:val="0"/>
        <w:autoSpaceDE/>
        <w:autoSpaceDN/>
        <w:bidi w:val="0"/>
        <w:adjustRightInd/>
        <w:snapToGrid/>
        <w:spacing w:line="353" w:lineRule="auto"/>
        <w:textAlignment w:val="auto"/>
        <w:rPr>
          <w:rFonts w:hint="default"/>
          <w:b w:val="0"/>
          <w:bCs w:val="0"/>
          <w:color w:val="auto"/>
          <w:lang w:val="en-US" w:eastAsia="zh-CN"/>
        </w:rPr>
      </w:pPr>
      <w:r>
        <w:rPr>
          <w:rFonts w:hint="default"/>
          <w:color w:val="auto"/>
          <w:lang w:val="en-US" w:eastAsia="zh-CN"/>
        </w:rPr>
        <w:t>2</w:t>
      </w:r>
      <w:r>
        <w:rPr>
          <w:rFonts w:hint="eastAsia"/>
          <w:color w:val="auto"/>
          <w:lang w:val="en-US" w:eastAsia="zh-CN"/>
        </w:rPr>
        <w:t xml:space="preserve">. </w:t>
      </w:r>
      <w:r>
        <w:rPr>
          <w:rFonts w:hint="default"/>
          <w:color w:val="auto"/>
          <w:lang w:val="en-US" w:eastAsia="zh-CN"/>
        </w:rPr>
        <w:t>安全管理单元</w:t>
      </w:r>
      <w:r>
        <w:rPr>
          <w:rFonts w:hint="eastAsia"/>
          <w:color w:val="auto"/>
          <w:lang w:val="en-US" w:eastAsia="zh-CN"/>
        </w:rPr>
        <w:t>：</w:t>
      </w:r>
      <w:r>
        <w:rPr>
          <w:rFonts w:hint="default"/>
          <w:color w:val="auto"/>
          <w:lang w:val="en-US" w:eastAsia="zh-CN"/>
        </w:rPr>
        <w:t>得分率为</w:t>
      </w:r>
      <w:r>
        <w:rPr>
          <w:rFonts w:hint="eastAsia"/>
          <w:b w:val="0"/>
          <w:bCs w:val="0"/>
          <w:color w:val="auto"/>
          <w:lang w:val="en-US" w:eastAsia="zh-CN"/>
        </w:rPr>
        <w:t>80</w:t>
      </w:r>
      <w:r>
        <w:rPr>
          <w:rFonts w:hint="default"/>
          <w:b w:val="0"/>
          <w:bCs w:val="0"/>
          <w:color w:val="auto"/>
          <w:lang w:val="en-US" w:eastAsia="zh-CN"/>
        </w:rPr>
        <w:t>%</w:t>
      </w:r>
      <w:r>
        <w:rPr>
          <w:rFonts w:hint="default"/>
          <w:color w:val="auto"/>
          <w:lang w:val="en-US" w:eastAsia="zh-CN"/>
        </w:rPr>
        <w:t>。</w:t>
      </w:r>
      <w:r>
        <w:rPr>
          <w:rFonts w:hint="default"/>
          <w:b w:val="0"/>
          <w:bCs w:val="0"/>
          <w:color w:val="auto"/>
          <w:lang w:val="en-US" w:eastAsia="zh-CN"/>
        </w:rPr>
        <w:t>存在的主要问题</w:t>
      </w:r>
      <w:r>
        <w:rPr>
          <w:rFonts w:hint="eastAsia"/>
          <w:b w:val="0"/>
          <w:bCs w:val="0"/>
          <w:color w:val="auto"/>
          <w:lang w:val="en-US" w:eastAsia="zh-CN"/>
        </w:rPr>
        <w:t>：</w:t>
      </w:r>
      <w:r>
        <w:rPr>
          <w:rFonts w:hint="default"/>
          <w:b w:val="0"/>
          <w:bCs w:val="0"/>
          <w:color w:val="auto"/>
          <w:lang w:val="en-US" w:eastAsia="zh-CN"/>
        </w:rPr>
        <w:t>1）未配备注册安全工程从事安全生产管理工作；2）安全生产规章制度不完善；3）作业人员的安全教育培训和考核结果记录存档不完善；4）未见购置安全设施设备等实物发票。5）没有为员工缴纳工伤保险；5）未建立应急救援组织。</w:t>
      </w:r>
    </w:p>
    <w:p w14:paraId="648EE1CF">
      <w:pPr>
        <w:pageBreakBefore w:val="0"/>
        <w:widowControl w:val="0"/>
        <w:kinsoku/>
        <w:wordWrap/>
        <w:overflowPunct/>
        <w:topLinePunct w:val="0"/>
        <w:autoSpaceDE/>
        <w:autoSpaceDN/>
        <w:bidi w:val="0"/>
        <w:adjustRightInd/>
        <w:snapToGrid/>
        <w:spacing w:line="353" w:lineRule="auto"/>
        <w:textAlignment w:val="auto"/>
        <w:rPr>
          <w:rFonts w:hint="default"/>
          <w:color w:val="auto"/>
          <w:lang w:val="en-US" w:eastAsia="zh-CN"/>
        </w:rPr>
      </w:pPr>
      <w:r>
        <w:rPr>
          <w:rFonts w:hint="default"/>
          <w:color w:val="auto"/>
          <w:lang w:val="en-US" w:eastAsia="zh-CN"/>
        </w:rPr>
        <w:t>3</w:t>
      </w:r>
      <w:r>
        <w:rPr>
          <w:rFonts w:hint="eastAsia"/>
          <w:color w:val="auto"/>
          <w:lang w:val="en-US" w:eastAsia="zh-CN"/>
        </w:rPr>
        <w:t xml:space="preserve">. </w:t>
      </w:r>
      <w:r>
        <w:rPr>
          <w:rFonts w:hint="default"/>
          <w:color w:val="auto"/>
          <w:lang w:val="en-US" w:eastAsia="zh-CN"/>
        </w:rPr>
        <w:t>露天采场单元</w:t>
      </w:r>
      <w:r>
        <w:rPr>
          <w:rFonts w:hint="eastAsia"/>
          <w:color w:val="auto"/>
          <w:lang w:val="en-US" w:eastAsia="zh-CN"/>
        </w:rPr>
        <w:t>：</w:t>
      </w:r>
      <w:r>
        <w:rPr>
          <w:rFonts w:hint="default"/>
          <w:color w:val="auto"/>
          <w:lang w:val="en-US" w:eastAsia="zh-CN"/>
        </w:rPr>
        <w:t>得分率为</w:t>
      </w:r>
      <w:r>
        <w:rPr>
          <w:rFonts w:hint="eastAsia"/>
          <w:color w:val="auto"/>
          <w:lang w:val="en-US" w:eastAsia="zh-CN"/>
        </w:rPr>
        <w:t>93.23</w:t>
      </w:r>
      <w:r>
        <w:rPr>
          <w:rFonts w:hint="default"/>
          <w:color w:val="auto"/>
          <w:lang w:val="en-US" w:eastAsia="zh-CN"/>
        </w:rPr>
        <w:t>%。存在的主要问题</w:t>
      </w:r>
      <w:r>
        <w:rPr>
          <w:rFonts w:hint="eastAsia"/>
          <w:color w:val="auto"/>
          <w:lang w:val="en-US" w:eastAsia="zh-CN"/>
        </w:rPr>
        <w:t>：1）未提供采剥工程年末图；2）未设相邻采场边界围栏；3）未见爆破后安全检查记录；4）运输道路警示不足。</w:t>
      </w:r>
    </w:p>
    <w:p w14:paraId="6BC3AD49">
      <w:pPr>
        <w:pageBreakBefore w:val="0"/>
        <w:widowControl w:val="0"/>
        <w:kinsoku/>
        <w:wordWrap/>
        <w:overflowPunct/>
        <w:topLinePunct w:val="0"/>
        <w:autoSpaceDE/>
        <w:autoSpaceDN/>
        <w:bidi w:val="0"/>
        <w:adjustRightInd/>
        <w:snapToGrid/>
        <w:spacing w:line="353" w:lineRule="auto"/>
        <w:textAlignment w:val="auto"/>
        <w:rPr>
          <w:rFonts w:hint="default"/>
          <w:color w:val="auto"/>
          <w:lang w:val="en-US" w:eastAsia="zh-CN"/>
        </w:rPr>
      </w:pPr>
      <w:r>
        <w:rPr>
          <w:rFonts w:hint="default"/>
          <w:color w:val="auto"/>
          <w:lang w:val="en-US" w:eastAsia="zh-CN"/>
        </w:rPr>
        <w:t>4</w:t>
      </w:r>
      <w:r>
        <w:rPr>
          <w:rFonts w:hint="eastAsia"/>
          <w:color w:val="auto"/>
          <w:lang w:val="en-US" w:eastAsia="zh-CN"/>
        </w:rPr>
        <w:t xml:space="preserve">. </w:t>
      </w:r>
      <w:r>
        <w:rPr>
          <w:rFonts w:hint="default"/>
          <w:color w:val="auto"/>
          <w:lang w:val="en-US" w:eastAsia="zh-CN"/>
        </w:rPr>
        <w:t>边坡管理单元</w:t>
      </w:r>
      <w:r>
        <w:rPr>
          <w:rFonts w:hint="eastAsia"/>
          <w:color w:val="auto"/>
          <w:lang w:val="en-US" w:eastAsia="zh-CN"/>
        </w:rPr>
        <w:t>：</w:t>
      </w:r>
      <w:r>
        <w:rPr>
          <w:rFonts w:hint="default"/>
          <w:color w:val="auto"/>
          <w:lang w:val="en-US" w:eastAsia="zh-CN"/>
        </w:rPr>
        <w:t>得分率为</w:t>
      </w:r>
      <w:r>
        <w:rPr>
          <w:rFonts w:hint="eastAsia"/>
          <w:color w:val="auto"/>
          <w:lang w:val="en-US" w:eastAsia="zh-CN"/>
        </w:rPr>
        <w:t>80</w:t>
      </w:r>
      <w:r>
        <w:rPr>
          <w:rFonts w:hint="default"/>
          <w:color w:val="auto"/>
          <w:lang w:val="en-US" w:eastAsia="zh-CN"/>
        </w:rPr>
        <w:t>%。</w:t>
      </w:r>
      <w:r>
        <w:rPr>
          <w:rFonts w:hint="eastAsia"/>
          <w:color w:val="auto"/>
          <w:lang w:val="en-US" w:eastAsia="zh-CN"/>
        </w:rPr>
        <w:t>存在的主要问题：1）未见边坡检查记录。</w:t>
      </w:r>
    </w:p>
    <w:p w14:paraId="46D88A7E">
      <w:pPr>
        <w:pageBreakBefore w:val="0"/>
        <w:widowControl w:val="0"/>
        <w:kinsoku/>
        <w:wordWrap/>
        <w:overflowPunct/>
        <w:topLinePunct w:val="0"/>
        <w:autoSpaceDE/>
        <w:autoSpaceDN/>
        <w:bidi w:val="0"/>
        <w:adjustRightInd/>
        <w:snapToGrid/>
        <w:spacing w:line="353" w:lineRule="auto"/>
        <w:textAlignment w:val="auto"/>
        <w:rPr>
          <w:rFonts w:hint="default"/>
          <w:color w:val="auto"/>
          <w:lang w:val="en-US" w:eastAsia="zh-CN"/>
        </w:rPr>
      </w:pPr>
      <w:r>
        <w:rPr>
          <w:rFonts w:hint="default"/>
          <w:color w:val="auto"/>
          <w:lang w:val="en-US" w:eastAsia="zh-CN"/>
        </w:rPr>
        <w:t>5</w:t>
      </w:r>
      <w:r>
        <w:rPr>
          <w:rFonts w:hint="eastAsia"/>
          <w:color w:val="auto"/>
          <w:lang w:val="en-US" w:eastAsia="zh-CN"/>
        </w:rPr>
        <w:t xml:space="preserve">. </w:t>
      </w:r>
      <w:r>
        <w:rPr>
          <w:rFonts w:hint="default"/>
          <w:color w:val="auto"/>
          <w:lang w:val="en-US" w:eastAsia="zh-CN"/>
        </w:rPr>
        <w:t>供配电设施单元</w:t>
      </w:r>
      <w:r>
        <w:rPr>
          <w:rFonts w:hint="eastAsia"/>
          <w:color w:val="auto"/>
          <w:lang w:val="en-US" w:eastAsia="zh-CN"/>
        </w:rPr>
        <w:t>：</w:t>
      </w:r>
      <w:r>
        <w:rPr>
          <w:rFonts w:hint="default"/>
          <w:color w:val="auto"/>
          <w:lang w:val="en-US" w:eastAsia="zh-CN"/>
        </w:rPr>
        <w:t>得分率为</w:t>
      </w:r>
      <w:r>
        <w:rPr>
          <w:rFonts w:hint="eastAsia"/>
          <w:color w:val="auto"/>
          <w:lang w:val="en-US" w:eastAsia="zh-CN"/>
        </w:rPr>
        <w:t>92.45</w:t>
      </w:r>
      <w:r>
        <w:rPr>
          <w:rFonts w:hint="default"/>
          <w:color w:val="auto"/>
          <w:lang w:val="en-US" w:eastAsia="zh-CN"/>
        </w:rPr>
        <w:t>%。存在的主要问题</w:t>
      </w:r>
      <w:r>
        <w:rPr>
          <w:rFonts w:hint="eastAsia"/>
          <w:color w:val="auto"/>
          <w:lang w:val="en-US" w:eastAsia="zh-CN"/>
        </w:rPr>
        <w:t>：1</w:t>
      </w:r>
      <w:r>
        <w:rPr>
          <w:rFonts w:hint="eastAsia" w:ascii="宋体" w:hAnsi="宋体" w:eastAsia="宋体" w:cs="宋体"/>
          <w:color w:val="auto"/>
          <w:lang w:val="en-US" w:eastAsia="zh-CN"/>
        </w:rPr>
        <w:t>）</w:t>
      </w:r>
      <w:r>
        <w:rPr>
          <w:rFonts w:hint="default"/>
          <w:color w:val="auto"/>
          <w:lang w:val="en-US" w:eastAsia="zh-CN"/>
        </w:rPr>
        <w:t>未建立电气作业安全制度。</w:t>
      </w:r>
    </w:p>
    <w:p w14:paraId="2F83DC1D">
      <w:pPr>
        <w:pageBreakBefore w:val="0"/>
        <w:widowControl w:val="0"/>
        <w:kinsoku/>
        <w:wordWrap/>
        <w:overflowPunct/>
        <w:topLinePunct w:val="0"/>
        <w:autoSpaceDE/>
        <w:autoSpaceDN/>
        <w:bidi w:val="0"/>
        <w:adjustRightInd/>
        <w:snapToGrid/>
        <w:spacing w:line="353" w:lineRule="auto"/>
        <w:textAlignment w:val="auto"/>
        <w:rPr>
          <w:rFonts w:hint="default"/>
          <w:color w:val="auto"/>
          <w:lang w:val="en-US" w:eastAsia="zh-CN"/>
        </w:rPr>
      </w:pPr>
      <w:r>
        <w:rPr>
          <w:rFonts w:hint="default"/>
          <w:color w:val="auto"/>
          <w:lang w:val="en-US" w:eastAsia="zh-CN"/>
        </w:rPr>
        <w:t>6</w:t>
      </w:r>
      <w:r>
        <w:rPr>
          <w:rFonts w:hint="eastAsia"/>
          <w:color w:val="auto"/>
          <w:lang w:val="en-US" w:eastAsia="zh-CN"/>
        </w:rPr>
        <w:t xml:space="preserve">. </w:t>
      </w:r>
      <w:r>
        <w:rPr>
          <w:rFonts w:hint="default"/>
          <w:color w:val="auto"/>
          <w:lang w:val="en-US" w:eastAsia="zh-CN"/>
        </w:rPr>
        <w:t>防排水单元</w:t>
      </w:r>
      <w:r>
        <w:rPr>
          <w:rFonts w:hint="eastAsia"/>
          <w:color w:val="auto"/>
          <w:lang w:val="en-US" w:eastAsia="zh-CN"/>
        </w:rPr>
        <w:t>：</w:t>
      </w:r>
      <w:r>
        <w:rPr>
          <w:rFonts w:hint="default"/>
          <w:color w:val="auto"/>
          <w:lang w:val="en-US" w:eastAsia="zh-CN"/>
        </w:rPr>
        <w:t>得分率为</w:t>
      </w:r>
      <w:r>
        <w:rPr>
          <w:rFonts w:hint="eastAsia"/>
          <w:color w:val="auto"/>
          <w:lang w:val="en-US" w:eastAsia="zh-CN"/>
        </w:rPr>
        <w:t>100</w:t>
      </w:r>
      <w:r>
        <w:rPr>
          <w:rFonts w:hint="default"/>
          <w:color w:val="auto"/>
          <w:lang w:val="en-US" w:eastAsia="zh-CN"/>
        </w:rPr>
        <w:t>%。</w:t>
      </w:r>
    </w:p>
    <w:p w14:paraId="59F0F212">
      <w:pPr>
        <w:pageBreakBefore w:val="0"/>
        <w:widowControl w:val="0"/>
        <w:kinsoku/>
        <w:wordWrap/>
        <w:overflowPunct/>
        <w:topLinePunct w:val="0"/>
        <w:autoSpaceDE/>
        <w:autoSpaceDN/>
        <w:bidi w:val="0"/>
        <w:adjustRightInd/>
        <w:snapToGrid/>
        <w:spacing w:line="353" w:lineRule="auto"/>
        <w:textAlignment w:val="auto"/>
        <w:rPr>
          <w:rFonts w:hint="default"/>
          <w:color w:val="auto"/>
          <w:lang w:val="en-US" w:eastAsia="zh-CN"/>
        </w:rPr>
      </w:pPr>
      <w:r>
        <w:rPr>
          <w:rFonts w:hint="default"/>
          <w:color w:val="auto"/>
          <w:lang w:val="en-US" w:eastAsia="zh-CN"/>
        </w:rPr>
        <w:t>7</w:t>
      </w:r>
      <w:r>
        <w:rPr>
          <w:rFonts w:hint="eastAsia"/>
          <w:color w:val="auto"/>
          <w:lang w:val="en-US" w:eastAsia="zh-CN"/>
        </w:rPr>
        <w:t xml:space="preserve">. </w:t>
      </w:r>
      <w:r>
        <w:rPr>
          <w:rFonts w:hint="default"/>
          <w:color w:val="auto"/>
          <w:lang w:val="en-US" w:eastAsia="zh-CN"/>
        </w:rPr>
        <w:t>防</w:t>
      </w:r>
      <w:r>
        <w:rPr>
          <w:rFonts w:hint="eastAsia"/>
          <w:color w:val="auto"/>
          <w:lang w:val="en-US" w:eastAsia="zh-CN"/>
        </w:rPr>
        <w:t>灭火</w:t>
      </w:r>
      <w:r>
        <w:rPr>
          <w:rFonts w:hint="default"/>
          <w:color w:val="auto"/>
          <w:lang w:val="en-US" w:eastAsia="zh-CN"/>
        </w:rPr>
        <w:t>单元</w:t>
      </w:r>
      <w:r>
        <w:rPr>
          <w:rFonts w:hint="eastAsia"/>
          <w:color w:val="auto"/>
          <w:lang w:val="en-US" w:eastAsia="zh-CN"/>
        </w:rPr>
        <w:t>：</w:t>
      </w:r>
      <w:r>
        <w:rPr>
          <w:rFonts w:hint="default"/>
          <w:color w:val="auto"/>
          <w:lang w:val="en-US" w:eastAsia="zh-CN"/>
        </w:rPr>
        <w:t>得分率为</w:t>
      </w:r>
      <w:r>
        <w:rPr>
          <w:rFonts w:hint="eastAsia"/>
          <w:color w:val="auto"/>
          <w:lang w:val="en-US" w:eastAsia="zh-CN"/>
        </w:rPr>
        <w:t>100</w:t>
      </w:r>
      <w:r>
        <w:rPr>
          <w:rFonts w:hint="default"/>
          <w:color w:val="auto"/>
          <w:lang w:val="en-US" w:eastAsia="zh-CN"/>
        </w:rPr>
        <w:t>%。</w:t>
      </w:r>
    </w:p>
    <w:p w14:paraId="2DE7C09E">
      <w:pPr>
        <w:pageBreakBefore w:val="0"/>
        <w:widowControl w:val="0"/>
        <w:kinsoku/>
        <w:wordWrap/>
        <w:overflowPunct/>
        <w:topLinePunct w:val="0"/>
        <w:autoSpaceDE/>
        <w:autoSpaceDN/>
        <w:bidi w:val="0"/>
        <w:adjustRightInd/>
        <w:snapToGrid/>
        <w:spacing w:line="353" w:lineRule="auto"/>
        <w:textAlignment w:val="auto"/>
        <w:rPr>
          <w:rFonts w:hint="default"/>
          <w:color w:val="auto"/>
          <w:lang w:val="en-US" w:eastAsia="zh-CN"/>
        </w:rPr>
      </w:pPr>
      <w:r>
        <w:rPr>
          <w:rFonts w:hint="eastAsia"/>
          <w:color w:val="auto"/>
          <w:lang w:val="en-US" w:eastAsia="zh-CN"/>
        </w:rPr>
        <w:t xml:space="preserve">8. </w:t>
      </w:r>
      <w:r>
        <w:rPr>
          <w:rFonts w:hint="default"/>
          <w:color w:val="auto"/>
          <w:lang w:val="en-US" w:eastAsia="zh-CN"/>
        </w:rPr>
        <w:t>通过重大生产安全事故隐患判定单元共检查1</w:t>
      </w:r>
      <w:r>
        <w:rPr>
          <w:rFonts w:hint="eastAsia"/>
          <w:color w:val="auto"/>
          <w:lang w:val="en-US" w:eastAsia="zh-CN"/>
        </w:rPr>
        <w:t>5</w:t>
      </w:r>
      <w:r>
        <w:rPr>
          <w:rFonts w:hint="default"/>
          <w:color w:val="auto"/>
          <w:lang w:val="en-US" w:eastAsia="zh-CN"/>
        </w:rPr>
        <w:t>项，均符合要求，本</w:t>
      </w:r>
      <w:r>
        <w:rPr>
          <w:rFonts w:hint="eastAsia"/>
          <w:color w:val="auto"/>
          <w:lang w:val="en-US" w:eastAsia="zh-CN"/>
        </w:rPr>
        <w:t>矿山</w:t>
      </w:r>
      <w:r>
        <w:rPr>
          <w:rFonts w:hint="default"/>
          <w:color w:val="auto"/>
          <w:lang w:val="en-US" w:eastAsia="zh-CN"/>
        </w:rPr>
        <w:t>不构成重大安全事故隐患。</w:t>
      </w:r>
    </w:p>
    <w:p w14:paraId="528F3378">
      <w:pPr>
        <w:pageBreakBefore w:val="0"/>
        <w:widowControl w:val="0"/>
        <w:kinsoku/>
        <w:wordWrap/>
        <w:overflowPunct/>
        <w:topLinePunct w:val="0"/>
        <w:autoSpaceDE/>
        <w:autoSpaceDN/>
        <w:bidi w:val="0"/>
        <w:adjustRightInd/>
        <w:snapToGrid/>
        <w:spacing w:line="353" w:lineRule="auto"/>
        <w:textAlignment w:val="auto"/>
        <w:rPr>
          <w:rFonts w:hint="default"/>
          <w:color w:val="auto"/>
          <w:lang w:val="en-US" w:eastAsia="zh-CN"/>
        </w:rPr>
      </w:pPr>
      <w:r>
        <w:rPr>
          <w:rFonts w:hint="eastAsia"/>
          <w:color w:val="auto"/>
          <w:lang w:val="en-US" w:eastAsia="zh-CN"/>
        </w:rPr>
        <w:t>9. 综合评价单元：运用《非煤矿山（露天矿）安全现状评价评分标准》对鄱阳县响水滩乡禾互山建筑用石料矿进行评价打分，其得分率为89.05</w:t>
      </w:r>
      <w:r>
        <w:rPr>
          <w:rFonts w:hint="default"/>
          <w:color w:val="auto"/>
          <w:lang w:val="en-US" w:eastAsia="zh-CN"/>
        </w:rPr>
        <w:t>%</w:t>
      </w:r>
      <w:r>
        <w:rPr>
          <w:rFonts w:hint="eastAsia"/>
          <w:color w:val="auto"/>
          <w:lang w:val="en-US" w:eastAsia="zh-CN"/>
        </w:rPr>
        <w:t>，为B类矿山，安全生产条件一般，能满足基本的安全生产活动。</w:t>
      </w:r>
    </w:p>
    <w:p w14:paraId="24C32A61">
      <w:pPr>
        <w:pageBreakBefore w:val="0"/>
        <w:widowControl w:val="0"/>
        <w:kinsoku/>
        <w:wordWrap/>
        <w:overflowPunct/>
        <w:topLinePunct w:val="0"/>
        <w:autoSpaceDE/>
        <w:autoSpaceDN/>
        <w:bidi w:val="0"/>
        <w:adjustRightInd/>
        <w:snapToGrid/>
        <w:spacing w:line="353" w:lineRule="auto"/>
        <w:textAlignment w:val="auto"/>
        <w:rPr>
          <w:rFonts w:hint="default"/>
          <w:color w:val="auto"/>
          <w:lang w:val="en-US" w:eastAsia="zh-CN"/>
        </w:rPr>
      </w:pPr>
      <w:r>
        <w:rPr>
          <w:rFonts w:hint="eastAsia"/>
          <w:color w:val="auto"/>
          <w:lang w:val="en-US" w:eastAsia="zh-CN"/>
        </w:rPr>
        <w:t>10. 鄱阳县金义矿产有限公司</w:t>
      </w:r>
      <w:r>
        <w:rPr>
          <w:rFonts w:hint="default"/>
          <w:color w:val="auto"/>
          <w:lang w:val="en-US" w:eastAsia="zh-CN"/>
        </w:rPr>
        <w:t>应认真考虑本报告中分析的危险、有害因素，积极落实所提出的各项安全对策措施和建议，按照国家安全生产法律、法规、行业规程要求进行完善，全面推行并巩固安全生产标准化工作，提高露天矿山的本质安全程度，实现安全生产。</w:t>
      </w:r>
    </w:p>
    <w:p w14:paraId="1A3C91C0">
      <w:pPr>
        <w:pStyle w:val="3"/>
        <w:pageBreakBefore w:val="0"/>
        <w:widowControl w:val="0"/>
        <w:kinsoku/>
        <w:wordWrap/>
        <w:overflowPunct/>
        <w:topLinePunct w:val="0"/>
        <w:autoSpaceDE/>
        <w:autoSpaceDN/>
        <w:bidi w:val="0"/>
        <w:adjustRightInd/>
        <w:snapToGrid/>
        <w:spacing w:line="353" w:lineRule="auto"/>
        <w:textAlignment w:val="auto"/>
        <w:rPr>
          <w:rFonts w:hint="default"/>
          <w:color w:val="auto"/>
          <w:lang w:val="en-US" w:eastAsia="zh-CN"/>
        </w:rPr>
      </w:pPr>
      <w:bookmarkStart w:id="642" w:name="_Toc18194"/>
      <w:bookmarkStart w:id="643" w:name="_Toc29834"/>
      <w:bookmarkStart w:id="644" w:name="_Toc5406"/>
      <w:bookmarkStart w:id="645" w:name="_Toc10984"/>
      <w:bookmarkStart w:id="646" w:name="_Toc20343"/>
      <w:bookmarkStart w:id="647" w:name="_Toc4989"/>
      <w:r>
        <w:rPr>
          <w:rFonts w:hint="default"/>
          <w:color w:val="auto"/>
          <w:lang w:val="en-US" w:eastAsia="zh-CN"/>
        </w:rPr>
        <w:t>7.</w:t>
      </w:r>
      <w:r>
        <w:rPr>
          <w:rFonts w:hint="eastAsia"/>
          <w:color w:val="auto"/>
          <w:lang w:val="en-US" w:eastAsia="zh-CN"/>
        </w:rPr>
        <w:t>3</w:t>
      </w:r>
      <w:r>
        <w:rPr>
          <w:rFonts w:hint="default"/>
          <w:color w:val="auto"/>
          <w:lang w:val="en-US" w:eastAsia="zh-CN"/>
        </w:rPr>
        <w:t xml:space="preserve"> 评价结论</w:t>
      </w:r>
      <w:bookmarkEnd w:id="642"/>
      <w:bookmarkEnd w:id="643"/>
      <w:bookmarkEnd w:id="644"/>
      <w:bookmarkEnd w:id="645"/>
      <w:bookmarkEnd w:id="646"/>
      <w:bookmarkEnd w:id="647"/>
    </w:p>
    <w:p w14:paraId="549A9FBE">
      <w:pPr>
        <w:rPr>
          <w:rFonts w:hint="default"/>
          <w:color w:val="auto"/>
          <w:lang w:val="en-US" w:eastAsia="zh-CN"/>
        </w:rPr>
      </w:pPr>
      <w:r>
        <w:rPr>
          <w:rFonts w:hint="eastAsia"/>
          <w:color w:val="auto"/>
          <w:lang w:val="en-US" w:eastAsia="zh-CN"/>
        </w:rPr>
        <w:t>鄱阳县金义矿产有限公司鄱阳县响水滩乡禾互山建筑用石料矿</w:t>
      </w:r>
      <w:r>
        <w:rPr>
          <w:rFonts w:hint="default"/>
          <w:color w:val="auto"/>
          <w:lang w:val="en-US" w:eastAsia="zh-CN"/>
        </w:rPr>
        <w:t>证照齐全有效，设置了安全管理机构，并配备了安全管理人员，安全生产规章制度齐全，安全管理基本符合安全生产法律法规的要求，通过安全检查表符合性评价，该矿山否决项的检查结果均合格，安全检查表标准应得总分为4</w:t>
      </w:r>
      <w:r>
        <w:rPr>
          <w:rFonts w:hint="eastAsia"/>
          <w:color w:val="auto"/>
          <w:lang w:val="en-US" w:eastAsia="zh-CN"/>
        </w:rPr>
        <w:t>20</w:t>
      </w:r>
      <w:r>
        <w:rPr>
          <w:rFonts w:hint="default"/>
          <w:color w:val="auto"/>
          <w:lang w:val="en-US" w:eastAsia="zh-CN"/>
        </w:rPr>
        <w:t>分，该露天矿山评价实得分为</w:t>
      </w:r>
      <w:r>
        <w:rPr>
          <w:rFonts w:hint="eastAsia"/>
          <w:color w:val="auto"/>
          <w:lang w:val="en-US" w:eastAsia="zh-CN"/>
        </w:rPr>
        <w:t>374</w:t>
      </w:r>
      <w:r>
        <w:rPr>
          <w:rFonts w:hint="default"/>
          <w:color w:val="auto"/>
          <w:lang w:val="en-US" w:eastAsia="zh-CN"/>
        </w:rPr>
        <w:t>分，得分率</w:t>
      </w:r>
      <w:r>
        <w:rPr>
          <w:rFonts w:hint="eastAsia"/>
          <w:color w:val="auto"/>
          <w:lang w:val="en-US" w:eastAsia="zh-CN"/>
        </w:rPr>
        <w:t>89.05</w:t>
      </w:r>
      <w:r>
        <w:rPr>
          <w:rFonts w:hint="default"/>
          <w:color w:val="auto"/>
          <w:lang w:val="en-US" w:eastAsia="zh-CN"/>
        </w:rPr>
        <w:t>%</w:t>
      </w:r>
      <w:r>
        <w:rPr>
          <w:rFonts w:hint="eastAsia"/>
          <w:color w:val="auto"/>
          <w:lang w:val="en-US" w:eastAsia="zh-CN"/>
        </w:rPr>
        <w:t>，B</w:t>
      </w:r>
      <w:r>
        <w:rPr>
          <w:rFonts w:hint="default"/>
          <w:color w:val="auto"/>
          <w:lang w:val="en-US" w:eastAsia="zh-CN"/>
        </w:rPr>
        <w:t>类矿山，安全生产条件一般，能满足基本的安全生产活动，符合国家有关法律、法规、标准、规章、规范的要求。</w:t>
      </w:r>
    </w:p>
    <w:p w14:paraId="2564C37C">
      <w:pPr>
        <w:pageBreakBefore w:val="0"/>
        <w:widowControl w:val="0"/>
        <w:kinsoku/>
        <w:wordWrap/>
        <w:overflowPunct/>
        <w:topLinePunct w:val="0"/>
        <w:autoSpaceDE/>
        <w:autoSpaceDN/>
        <w:bidi w:val="0"/>
        <w:adjustRightInd/>
        <w:snapToGrid/>
        <w:spacing w:line="353" w:lineRule="auto"/>
        <w:textAlignment w:val="auto"/>
        <w:rPr>
          <w:rFonts w:hint="eastAsia"/>
          <w:b/>
          <w:bCs/>
          <w:color w:val="auto"/>
          <w:lang w:val="en-US" w:eastAsia="zh-CN"/>
        </w:rPr>
      </w:pPr>
      <w:r>
        <w:rPr>
          <w:rFonts w:hint="eastAsia"/>
          <w:b/>
          <w:bCs/>
          <w:color w:val="auto"/>
          <w:lang w:val="en-US" w:eastAsia="zh-CN"/>
        </w:rPr>
        <w:t>综上所述，鄱阳县金义矿产有限公司鄱阳县响水滩乡禾互山建筑用石料矿按照安全设施设计组织生产，具备安全生产条件。</w:t>
      </w:r>
    </w:p>
    <w:p w14:paraId="4BEE405D">
      <w:pPr>
        <w:bidi w:val="0"/>
        <w:rPr>
          <w:rFonts w:hint="default"/>
          <w:lang w:val="en-US" w:eastAsia="zh-CN"/>
        </w:rPr>
      </w:pPr>
    </w:p>
    <w:p w14:paraId="4181072C">
      <w:pPr>
        <w:rPr>
          <w:rFonts w:hint="default"/>
          <w:color w:val="auto"/>
          <w:lang w:val="en-US" w:eastAsia="zh-CN"/>
        </w:rPr>
      </w:pPr>
      <w:r>
        <w:rPr>
          <w:rFonts w:hint="default"/>
          <w:color w:val="auto"/>
          <w:lang w:val="en-US" w:eastAsia="zh-CN"/>
        </w:rPr>
        <w:br w:type="page"/>
      </w:r>
    </w:p>
    <w:p w14:paraId="15260488">
      <w:pPr>
        <w:pStyle w:val="2"/>
        <w:numPr>
          <w:ilvl w:val="0"/>
          <w:numId w:val="1"/>
        </w:numPr>
        <w:bidi w:val="0"/>
        <w:ind w:left="0" w:leftChars="0" w:firstLine="0" w:firstLineChars="0"/>
        <w:rPr>
          <w:rFonts w:hint="default" w:ascii="Times New Roman" w:hAnsi="Times New Roman" w:cs="Times New Roman"/>
          <w:color w:val="auto"/>
          <w:lang w:val="en-US" w:eastAsia="zh-CN"/>
        </w:rPr>
      </w:pPr>
      <w:bookmarkStart w:id="648" w:name="_Toc1927"/>
      <w:bookmarkStart w:id="649" w:name="_Toc22378"/>
      <w:bookmarkStart w:id="650" w:name="_Toc13439"/>
      <w:bookmarkStart w:id="651" w:name="_Toc31738"/>
      <w:bookmarkStart w:id="652" w:name="_Toc32531"/>
      <w:bookmarkStart w:id="653" w:name="_Toc12175"/>
      <w:r>
        <w:rPr>
          <w:rFonts w:hint="eastAsia" w:ascii="Times New Roman" w:hAnsi="Times New Roman" w:cs="Times New Roman"/>
          <w:color w:val="auto"/>
          <w:lang w:val="en-US" w:eastAsia="zh-CN"/>
        </w:rPr>
        <w:t>附图附件</w:t>
      </w:r>
      <w:bookmarkEnd w:id="648"/>
      <w:bookmarkEnd w:id="649"/>
      <w:bookmarkEnd w:id="650"/>
      <w:bookmarkEnd w:id="651"/>
      <w:bookmarkEnd w:id="652"/>
      <w:bookmarkEnd w:id="653"/>
    </w:p>
    <w:p w14:paraId="4E1CB817">
      <w:pPr>
        <w:pStyle w:val="3"/>
        <w:bidi w:val="0"/>
        <w:rPr>
          <w:rFonts w:hint="default"/>
          <w:color w:val="auto"/>
          <w:lang w:val="en-US" w:eastAsia="zh-CN"/>
        </w:rPr>
      </w:pPr>
      <w:bookmarkStart w:id="654" w:name="_Toc29582"/>
      <w:bookmarkStart w:id="655" w:name="_Toc30085"/>
      <w:bookmarkStart w:id="656" w:name="_Toc11023"/>
      <w:bookmarkStart w:id="657" w:name="_Toc21295"/>
      <w:bookmarkStart w:id="658" w:name="_Toc31848"/>
      <w:bookmarkStart w:id="659" w:name="_Toc153"/>
      <w:r>
        <w:rPr>
          <w:rFonts w:hint="eastAsia"/>
          <w:color w:val="auto"/>
          <w:lang w:val="en-US" w:eastAsia="zh-CN"/>
        </w:rPr>
        <w:t>8.1 附图</w:t>
      </w:r>
      <w:bookmarkEnd w:id="654"/>
      <w:bookmarkEnd w:id="655"/>
      <w:bookmarkEnd w:id="656"/>
      <w:bookmarkEnd w:id="657"/>
      <w:bookmarkEnd w:id="658"/>
      <w:bookmarkEnd w:id="659"/>
    </w:p>
    <w:p w14:paraId="44A888EF">
      <w:pPr>
        <w:rPr>
          <w:rFonts w:hint="default"/>
          <w:color w:val="auto"/>
          <w:lang w:val="en-US" w:eastAsia="zh-CN"/>
        </w:rPr>
      </w:pPr>
      <w:r>
        <w:rPr>
          <w:rFonts w:hint="eastAsia"/>
          <w:color w:val="auto"/>
          <w:lang w:val="en-US" w:eastAsia="zh-CN"/>
        </w:rPr>
        <w:t xml:space="preserve">1. </w:t>
      </w:r>
      <w:r>
        <w:rPr>
          <w:rFonts w:hint="default"/>
          <w:color w:val="auto"/>
          <w:lang w:val="en-US" w:eastAsia="zh-CN"/>
        </w:rPr>
        <w:t>地质地形图</w:t>
      </w:r>
    </w:p>
    <w:p w14:paraId="5EC0F620">
      <w:pPr>
        <w:rPr>
          <w:rFonts w:hint="eastAsia"/>
          <w:color w:val="auto"/>
          <w:lang w:val="en-US" w:eastAsia="zh-CN"/>
        </w:rPr>
      </w:pPr>
      <w:r>
        <w:rPr>
          <w:rFonts w:hint="eastAsia"/>
          <w:color w:val="auto"/>
          <w:lang w:val="en-US" w:eastAsia="zh-CN"/>
        </w:rPr>
        <w:t>2. 现状平面图</w:t>
      </w:r>
    </w:p>
    <w:p w14:paraId="31B9A6F8">
      <w:pPr>
        <w:rPr>
          <w:rFonts w:hint="default"/>
          <w:color w:val="auto"/>
          <w:lang w:val="en-US" w:eastAsia="zh-CN"/>
        </w:rPr>
      </w:pPr>
      <w:r>
        <w:rPr>
          <w:rFonts w:hint="eastAsia"/>
          <w:color w:val="auto"/>
          <w:lang w:val="en-US" w:eastAsia="zh-CN"/>
        </w:rPr>
        <w:t>3. 边坡工程剖面图</w:t>
      </w:r>
    </w:p>
    <w:p w14:paraId="0DEBC608">
      <w:pPr>
        <w:rPr>
          <w:rFonts w:hint="default"/>
          <w:color w:val="auto"/>
          <w:lang w:val="en-US" w:eastAsia="zh-CN"/>
        </w:rPr>
      </w:pPr>
      <w:r>
        <w:rPr>
          <w:rFonts w:hint="eastAsia"/>
          <w:color w:val="auto"/>
          <w:lang w:val="en-US" w:eastAsia="zh-CN"/>
        </w:rPr>
        <w:t>4. 终了境界平面图</w:t>
      </w:r>
    </w:p>
    <w:p w14:paraId="0D6EC0B7">
      <w:pPr>
        <w:rPr>
          <w:rFonts w:hint="eastAsia"/>
          <w:color w:val="auto"/>
          <w:lang w:val="en-US" w:eastAsia="zh-CN"/>
        </w:rPr>
      </w:pPr>
      <w:r>
        <w:rPr>
          <w:rFonts w:hint="eastAsia"/>
          <w:color w:val="auto"/>
          <w:lang w:val="en-US" w:eastAsia="zh-CN"/>
        </w:rPr>
        <w:t>5. 供配电系统图</w:t>
      </w:r>
    </w:p>
    <w:p w14:paraId="4F19B54C">
      <w:pPr>
        <w:rPr>
          <w:rFonts w:hint="default"/>
          <w:color w:val="auto"/>
          <w:lang w:val="en-US" w:eastAsia="zh-CN"/>
        </w:rPr>
      </w:pPr>
      <w:r>
        <w:rPr>
          <w:rFonts w:hint="eastAsia"/>
          <w:color w:val="auto"/>
          <w:lang w:val="en-US" w:eastAsia="zh-CN"/>
        </w:rPr>
        <w:t>6. 排水系统图</w:t>
      </w:r>
    </w:p>
    <w:p w14:paraId="02B7CA38">
      <w:pPr>
        <w:pStyle w:val="3"/>
        <w:bidi w:val="0"/>
        <w:rPr>
          <w:rFonts w:hint="eastAsia"/>
          <w:color w:val="auto"/>
          <w:lang w:val="en-US" w:eastAsia="zh-CN"/>
        </w:rPr>
      </w:pPr>
      <w:bookmarkStart w:id="660" w:name="_Toc1656"/>
      <w:bookmarkStart w:id="661" w:name="_Toc29787"/>
      <w:bookmarkStart w:id="662" w:name="_Toc14292"/>
      <w:bookmarkStart w:id="663" w:name="_Toc22426"/>
      <w:bookmarkStart w:id="664" w:name="_Toc2082"/>
      <w:bookmarkStart w:id="665" w:name="_Toc1922"/>
      <w:r>
        <w:rPr>
          <w:rFonts w:hint="eastAsia"/>
          <w:color w:val="auto"/>
          <w:lang w:val="en-US" w:eastAsia="zh-CN"/>
        </w:rPr>
        <w:t>8.2 附件</w:t>
      </w:r>
      <w:bookmarkEnd w:id="660"/>
      <w:bookmarkEnd w:id="661"/>
      <w:bookmarkEnd w:id="662"/>
      <w:bookmarkEnd w:id="663"/>
      <w:bookmarkEnd w:id="664"/>
      <w:bookmarkEnd w:id="665"/>
    </w:p>
    <w:p w14:paraId="7E2B870D">
      <w:pPr>
        <w:rPr>
          <w:rFonts w:hint="default"/>
          <w:color w:val="auto"/>
          <w:lang w:val="en-US" w:eastAsia="zh-CN"/>
        </w:rPr>
      </w:pPr>
      <w:r>
        <w:rPr>
          <w:rFonts w:hint="eastAsia"/>
          <w:color w:val="auto"/>
          <w:lang w:val="en-US" w:eastAsia="zh-CN"/>
        </w:rPr>
        <w:t>1. 整改建议</w:t>
      </w:r>
    </w:p>
    <w:p w14:paraId="705B9F48">
      <w:pPr>
        <w:rPr>
          <w:rFonts w:hint="eastAsia"/>
          <w:color w:val="auto"/>
          <w:lang w:val="en-US" w:eastAsia="zh-CN"/>
        </w:rPr>
      </w:pPr>
      <w:r>
        <w:rPr>
          <w:rFonts w:hint="eastAsia"/>
          <w:color w:val="auto"/>
          <w:lang w:val="en-US" w:eastAsia="zh-CN"/>
        </w:rPr>
        <w:t>2. 整改回复</w:t>
      </w:r>
    </w:p>
    <w:p w14:paraId="3E405DB6">
      <w:pPr>
        <w:rPr>
          <w:rFonts w:hint="eastAsia"/>
          <w:color w:val="auto"/>
          <w:lang w:val="en-US" w:eastAsia="zh-CN"/>
        </w:rPr>
      </w:pPr>
      <w:r>
        <w:rPr>
          <w:rFonts w:hint="eastAsia"/>
          <w:color w:val="auto"/>
          <w:lang w:val="en-US" w:eastAsia="zh-CN"/>
        </w:rPr>
        <w:t>3. 复查意见</w:t>
      </w:r>
    </w:p>
    <w:p w14:paraId="25C05880">
      <w:pPr>
        <w:rPr>
          <w:rFonts w:hint="default"/>
          <w:color w:val="auto"/>
          <w:lang w:val="en-US" w:eastAsia="zh-CN"/>
        </w:rPr>
      </w:pPr>
      <w:r>
        <w:rPr>
          <w:rFonts w:hint="eastAsia"/>
          <w:color w:val="auto"/>
          <w:lang w:val="en-US" w:eastAsia="zh-CN"/>
        </w:rPr>
        <w:t>4. 营业执照、采矿许可证、安全生产许可证、安全生产标准化证书、爆破作业单位许可证</w:t>
      </w:r>
    </w:p>
    <w:p w14:paraId="32F40024">
      <w:pPr>
        <w:rPr>
          <w:rFonts w:hint="default"/>
          <w:b/>
          <w:bCs/>
          <w:color w:val="auto"/>
          <w:lang w:val="en-US" w:eastAsia="zh-CN"/>
        </w:rPr>
      </w:pPr>
      <w:r>
        <w:rPr>
          <w:rFonts w:hint="eastAsia"/>
          <w:color w:val="auto"/>
          <w:lang w:val="en-US" w:eastAsia="zh-CN"/>
        </w:rPr>
        <w:t>5. 关于鄱阳县响水滩乡禾互山建筑用石料矿安全管理机构及相关人员任命调整的通知</w:t>
      </w:r>
    </w:p>
    <w:p w14:paraId="5F6B51C3">
      <w:pPr>
        <w:rPr>
          <w:rFonts w:hint="default"/>
          <w:color w:val="auto"/>
          <w:lang w:val="en-US" w:eastAsia="zh-CN"/>
        </w:rPr>
      </w:pPr>
      <w:r>
        <w:rPr>
          <w:rFonts w:hint="eastAsia"/>
          <w:color w:val="auto"/>
          <w:lang w:val="en-US" w:eastAsia="zh-CN"/>
        </w:rPr>
        <w:t>6. 主要负责人、安全管理人员</w:t>
      </w:r>
    </w:p>
    <w:p w14:paraId="0D996BC3">
      <w:pPr>
        <w:rPr>
          <w:rFonts w:hint="eastAsia"/>
          <w:color w:val="auto"/>
          <w:lang w:val="en-US" w:eastAsia="zh-CN"/>
        </w:rPr>
      </w:pPr>
      <w:r>
        <w:rPr>
          <w:rFonts w:hint="eastAsia"/>
          <w:color w:val="auto"/>
          <w:lang w:val="en-US" w:eastAsia="zh-CN"/>
        </w:rPr>
        <w:t>7. 专业技术人员证书</w:t>
      </w:r>
    </w:p>
    <w:p w14:paraId="3508CE48">
      <w:pPr>
        <w:rPr>
          <w:rFonts w:hint="default"/>
          <w:color w:val="auto"/>
          <w:lang w:val="en-US" w:eastAsia="zh-CN"/>
        </w:rPr>
      </w:pPr>
      <w:r>
        <w:rPr>
          <w:rFonts w:hint="eastAsia"/>
          <w:color w:val="auto"/>
          <w:lang w:val="en-US" w:eastAsia="zh-CN"/>
        </w:rPr>
        <w:t>8. 安全生产规章制度清单</w:t>
      </w:r>
    </w:p>
    <w:p w14:paraId="67B99817">
      <w:pPr>
        <w:rPr>
          <w:rFonts w:hint="default"/>
          <w:color w:val="auto"/>
          <w:lang w:val="en-US" w:eastAsia="zh-CN"/>
        </w:rPr>
      </w:pPr>
      <w:r>
        <w:rPr>
          <w:rFonts w:hint="eastAsia"/>
          <w:color w:val="auto"/>
          <w:lang w:val="en-US" w:eastAsia="zh-CN"/>
        </w:rPr>
        <w:t>9. 应急预案备案表</w:t>
      </w:r>
    </w:p>
    <w:p w14:paraId="0CB95484">
      <w:pPr>
        <w:rPr>
          <w:rFonts w:hint="eastAsia"/>
          <w:color w:val="auto"/>
          <w:lang w:val="en-US" w:eastAsia="zh-CN"/>
        </w:rPr>
      </w:pPr>
      <w:r>
        <w:rPr>
          <w:rFonts w:hint="eastAsia"/>
          <w:color w:val="auto"/>
          <w:lang w:val="en-US" w:eastAsia="zh-CN"/>
        </w:rPr>
        <w:t>10. 非煤矿生产事故救护协议</w:t>
      </w:r>
    </w:p>
    <w:p w14:paraId="0AFAC6A3">
      <w:pPr>
        <w:rPr>
          <w:rFonts w:hint="eastAsia"/>
          <w:color w:val="auto"/>
          <w:lang w:val="en-US" w:eastAsia="zh-CN"/>
        </w:rPr>
      </w:pPr>
      <w:r>
        <w:rPr>
          <w:rFonts w:hint="eastAsia"/>
          <w:color w:val="auto"/>
          <w:lang w:val="en-US" w:eastAsia="zh-CN"/>
        </w:rPr>
        <w:t>11. 安全生产责任险保单</w:t>
      </w:r>
    </w:p>
    <w:p w14:paraId="092A470E">
      <w:pPr>
        <w:rPr>
          <w:rFonts w:hint="default"/>
          <w:color w:val="auto"/>
          <w:lang w:val="en-US" w:eastAsia="zh-CN"/>
        </w:rPr>
      </w:pPr>
    </w:p>
    <w:p w14:paraId="33BF420A">
      <w:pPr>
        <w:rPr>
          <w:rFonts w:hint="default"/>
          <w:color w:val="auto"/>
          <w:lang w:val="en-US" w:eastAsia="zh-CN"/>
        </w:rPr>
      </w:pPr>
      <w:r>
        <w:rPr>
          <w:rFonts w:hint="default"/>
          <w:color w:val="auto"/>
          <w:lang w:val="en-US" w:eastAsia="zh-CN"/>
        </w:rPr>
        <w:br w:type="page"/>
      </w:r>
    </w:p>
    <w:p w14:paraId="5CBA1FEC">
      <w:pPr>
        <w:rPr>
          <w:rFonts w:hint="default"/>
          <w:b/>
          <w:bCs/>
          <w:color w:val="auto"/>
          <w:lang w:val="en-US" w:eastAsia="zh-CN"/>
        </w:rPr>
      </w:pPr>
      <w:r>
        <w:rPr>
          <w:rFonts w:hint="default"/>
          <w:b/>
          <w:bCs/>
          <w:color w:val="auto"/>
          <w:lang w:val="en-US" w:eastAsia="zh-CN"/>
        </w:rPr>
        <w:t>附：评价人员与企业安全管理人员合影</w:t>
      </w:r>
      <w:r>
        <w:rPr>
          <w:rFonts w:hint="eastAsia"/>
          <w:b/>
          <w:bCs/>
          <w:color w:val="auto"/>
          <w:lang w:val="en-US" w:eastAsia="zh-CN"/>
        </w:rPr>
        <w:t>。</w:t>
      </w:r>
    </w:p>
    <w:p w14:paraId="5DA3D84B">
      <w:pPr>
        <w:ind w:left="0" w:leftChars="0" w:firstLine="0" w:firstLineChars="0"/>
        <w:jc w:val="center"/>
        <w:rPr>
          <w:rFonts w:hint="default"/>
          <w:b/>
          <w:bCs/>
          <w:color w:val="auto"/>
          <w:lang w:val="en-US" w:eastAsia="zh-CN"/>
        </w:rPr>
      </w:pPr>
      <w:r>
        <w:rPr>
          <w:rFonts w:hint="default"/>
          <w:b/>
          <w:bCs/>
          <w:color w:val="auto"/>
          <w:lang w:val="en-US" w:eastAsia="zh-CN"/>
        </w:rPr>
        <w:drawing>
          <wp:inline distT="0" distB="0" distL="114300" distR="114300">
            <wp:extent cx="5039995" cy="3780155"/>
            <wp:effectExtent l="0" t="0" r="8255" b="10795"/>
            <wp:docPr id="1" name="图片 1" descr="IMG_7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7708"/>
                    <pic:cNvPicPr>
                      <a:picLocks noChangeAspect="1"/>
                    </pic:cNvPicPr>
                  </pic:nvPicPr>
                  <pic:blipFill>
                    <a:blip r:embed="rId10"/>
                    <a:stretch>
                      <a:fillRect/>
                    </a:stretch>
                  </pic:blipFill>
                  <pic:spPr>
                    <a:xfrm>
                      <a:off x="0" y="0"/>
                      <a:ext cx="5039995" cy="3780155"/>
                    </a:xfrm>
                    <a:prstGeom prst="rect">
                      <a:avLst/>
                    </a:prstGeom>
                  </pic:spPr>
                </pic:pic>
              </a:graphicData>
            </a:graphic>
          </wp:inline>
        </w:drawing>
      </w:r>
    </w:p>
    <w:p w14:paraId="54DC4199">
      <w:pPr>
        <w:ind w:left="0" w:leftChars="0" w:firstLine="0" w:firstLineChars="0"/>
        <w:jc w:val="center"/>
        <w:rPr>
          <w:rFonts w:hint="default"/>
          <w:b/>
          <w:bCs/>
          <w:color w:val="auto"/>
          <w:lang w:val="en-US" w:eastAsia="zh-CN"/>
        </w:rPr>
      </w:pPr>
    </w:p>
    <w:sectPr>
      <w:pgSz w:w="11906" w:h="16839"/>
      <w:pgMar w:top="1417" w:right="1417" w:bottom="1417" w:left="1417" w:header="850" w:footer="992" w:gutter="0"/>
      <w:pgNumType w:fmt="decimal"/>
      <w:cols w:space="425"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7B9AF0-1F6F-42BB-9DF1-C933BE360E3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auto"/>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Malgun Gothic">
    <w:panose1 w:val="020B0503020000020004"/>
    <w:charset w:val="81"/>
    <w:family w:val="auto"/>
    <w:pitch w:val="default"/>
    <w:sig w:usb0="9000002F" w:usb1="29D77CFB" w:usb2="00000012" w:usb3="00000000" w:csb0="00080001"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embedRegular r:id="rId2" w:fontKey="{2B52014D-3A9C-4E04-8CCB-DAAB1E6C3F29}"/>
  </w:font>
  <w:font w:name="仿宋">
    <w:panose1 w:val="02010609060101010101"/>
    <w:charset w:val="86"/>
    <w:family w:val="modern"/>
    <w:pitch w:val="default"/>
    <w:sig w:usb0="800002BF" w:usb1="38CF7CFA" w:usb2="00000016" w:usb3="00000000" w:csb0="00040001" w:csb1="00000000"/>
    <w:embedRegular r:id="rId3" w:fontKey="{0BC57282-A13E-4D8D-A99F-B05FF306EA6A}"/>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F2CAD">
    <w:pPr>
      <w:pStyle w:val="12"/>
      <w:pBdr>
        <w:top w:val="single" w:color="auto" w:sz="4" w:space="0"/>
      </w:pBdr>
      <w:ind w:left="0" w:leftChars="0" w:firstLine="0" w:firstLineChars="0"/>
      <w:rPr>
        <w:rFonts w:hint="default"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66E53D">
                          <w:pPr>
                            <w:pStyle w:val="1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2766E53D">
                    <w:pPr>
                      <w:pStyle w:val="12"/>
                    </w:pPr>
                    <w:r>
                      <w:fldChar w:fldCharType="begin"/>
                    </w:r>
                    <w:r>
                      <w:instrText xml:space="preserve"> PAGE  \* MERGEFORMAT </w:instrText>
                    </w:r>
                    <w:r>
                      <w:fldChar w:fldCharType="separate"/>
                    </w:r>
                    <w:r>
                      <w:t>7</w:t>
                    </w:r>
                    <w:r>
                      <w:fldChar w:fldCharType="end"/>
                    </w:r>
                  </w:p>
                </w:txbxContent>
              </v:textbox>
            </v:shape>
          </w:pict>
        </mc:Fallback>
      </mc:AlternateContent>
    </w:r>
    <w:r>
      <w:rPr>
        <w:rFonts w:hint="eastAsia"/>
      </w:rPr>
      <w:t>江西赣安安全生产科学技术咨询服务中心</w:t>
    </w:r>
    <w:r>
      <w:rPr>
        <w:rFonts w:hint="eastAsia"/>
        <w:lang w:val="en-US" w:eastAsia="zh-CN"/>
      </w:rPr>
      <w:t xml:space="preserve">                                                   APJ-（赣）-002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86D8B">
    <w:pPr>
      <w:pStyle w:val="12"/>
      <w:pBdr>
        <w:top w:val="single" w:color="auto" w:sz="4" w:space="0"/>
      </w:pBdr>
      <w:ind w:left="0" w:leftChars="0" w:firstLine="0" w:firstLineChars="0"/>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1EE294">
                          <w:pPr>
                            <w:pStyle w:val="1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1EE294">
                    <w:pPr>
                      <w:pStyle w:val="12"/>
                    </w:pPr>
                    <w:r>
                      <w:fldChar w:fldCharType="begin"/>
                    </w:r>
                    <w:r>
                      <w:instrText xml:space="preserve"> PAGE  \* MERGEFORMAT </w:instrText>
                    </w:r>
                    <w:r>
                      <w:fldChar w:fldCharType="separate"/>
                    </w:r>
                    <w:r>
                      <w:t>7</w:t>
                    </w:r>
                    <w:r>
                      <w:fldChar w:fldCharType="end"/>
                    </w:r>
                  </w:p>
                </w:txbxContent>
              </v:textbox>
            </v:shape>
          </w:pict>
        </mc:Fallback>
      </mc:AlternateContent>
    </w:r>
    <w:r>
      <w:rPr>
        <w:rFonts w:hint="eastAsia"/>
      </w:rPr>
      <w:t>江西赣安安全生产科学技术咨询服务中心</w:t>
    </w:r>
    <w:r>
      <w:rPr>
        <w:rFonts w:hint="eastAsia"/>
        <w:lang w:val="en-US" w:eastAsia="zh-CN"/>
      </w:rPr>
      <w:t xml:space="preserve">                                                   APJ-（赣）-002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90933">
    <w:pPr>
      <w:pStyle w:val="13"/>
      <w:ind w:left="0" w:leftChars="0" w:firstLine="0" w:firstLineChars="0"/>
      <w:jc w:val="left"/>
      <w:rPr>
        <w:spacing w:val="-11"/>
        <w:sz w:val="18"/>
        <w:szCs w:val="18"/>
      </w:rPr>
    </w:pPr>
    <w:r>
      <w:rPr>
        <w:rFonts w:hint="eastAsia"/>
        <w:spacing w:val="-6"/>
        <w:sz w:val="18"/>
        <w:szCs w:val="18"/>
        <w:lang w:eastAsia="zh-CN"/>
      </w:rPr>
      <w:t>鄱阳县金义矿产有限公司鄱阳县响水滩乡禾互山建筑用石料矿</w:t>
    </w:r>
    <w:r>
      <w:rPr>
        <w:rFonts w:hint="eastAsia"/>
        <w:spacing w:val="-6"/>
        <w:sz w:val="18"/>
        <w:szCs w:val="18"/>
      </w:rPr>
      <w:t>安全现状评价报告</w:t>
    </w:r>
    <w:r>
      <w:rPr>
        <w:rFonts w:hint="eastAsia"/>
        <w:spacing w:val="-6"/>
        <w:sz w:val="18"/>
        <w:szCs w:val="18"/>
        <w:lang w:val="en-US" w:eastAsia="zh-CN"/>
      </w:rPr>
      <w:t xml:space="preserve">                     </w:t>
    </w:r>
    <w:r>
      <w:rPr>
        <w:rFonts w:hint="default" w:ascii="Times New Roman" w:hAnsi="Times New Roman" w:cs="Times New Roman"/>
        <w:spacing w:val="-11"/>
        <w:sz w:val="18"/>
        <w:szCs w:val="18"/>
      </w:rPr>
      <w:t>GAAP</w:t>
    </w:r>
    <w:r>
      <w:rPr>
        <w:rFonts w:hint="eastAsia" w:ascii="微软雅黑" w:hAnsi="Times New Roman" w:eastAsia="微软雅黑" w:cs="微软雅黑"/>
        <w:spacing w:val="-11"/>
        <w:kern w:val="2"/>
        <w:sz w:val="18"/>
        <w:szCs w:val="18"/>
        <w:lang w:val="en-US" w:eastAsia="zh-CN" w:bidi="ar-SA"/>
      </w:rPr>
      <w:t>〔</w:t>
    </w:r>
    <w:r>
      <w:rPr>
        <w:rFonts w:hint="eastAsia" w:ascii="Times New Roman" w:hAnsi="Times New Roman" w:eastAsia="宋体" w:cs="Times New Roman"/>
        <w:spacing w:val="-11"/>
        <w:kern w:val="2"/>
        <w:sz w:val="18"/>
        <w:szCs w:val="18"/>
        <w:lang w:val="en-US" w:eastAsia="zh-CN" w:bidi="ar-SA"/>
      </w:rPr>
      <w:t>202</w:t>
    </w:r>
    <w:r>
      <w:rPr>
        <w:rFonts w:hint="eastAsia" w:cs="Times New Roman"/>
        <w:spacing w:val="-11"/>
        <w:kern w:val="2"/>
        <w:sz w:val="18"/>
        <w:szCs w:val="18"/>
        <w:lang w:val="en-US" w:eastAsia="zh-CN" w:bidi="ar-SA"/>
      </w:rPr>
      <w:t>6</w:t>
    </w:r>
    <w:r>
      <w:rPr>
        <w:rFonts w:hint="eastAsia" w:ascii="微软雅黑" w:hAnsi="Times New Roman" w:eastAsia="微软雅黑" w:cs="微软雅黑"/>
        <w:spacing w:val="-11"/>
        <w:kern w:val="2"/>
        <w:sz w:val="18"/>
        <w:szCs w:val="18"/>
        <w:lang w:val="en-US" w:eastAsia="zh-CN" w:bidi="ar-SA"/>
      </w:rPr>
      <w:t>〕</w:t>
    </w:r>
    <w:r>
      <w:rPr>
        <w:rFonts w:hint="eastAsia" w:cs="Times New Roman"/>
        <w:spacing w:val="-11"/>
        <w:sz w:val="18"/>
        <w:szCs w:val="18"/>
        <w:lang w:val="en-US" w:eastAsia="zh-CN"/>
      </w:rPr>
      <w:t>0143</w:t>
    </w:r>
    <w:r>
      <w:rPr>
        <w:rFonts w:hint="default" w:ascii="Times New Roman" w:hAnsi="Times New Roman" w:cs="Times New Roman"/>
        <w:spacing w:val="-11"/>
        <w:sz w:val="18"/>
        <w:szCs w:val="18"/>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078CD"/>
    <w:multiLevelType w:val="singleLevel"/>
    <w:tmpl w:val="DFF078CD"/>
    <w:lvl w:ilvl="0" w:tentative="0">
      <w:start w:val="1"/>
      <w:numFmt w:val="decimal"/>
      <w:suff w:val="space"/>
      <w:lvlText w:val="%1."/>
      <w:lvlJc w:val="left"/>
    </w:lvl>
  </w:abstractNum>
  <w:abstractNum w:abstractNumId="1">
    <w:nsid w:val="2BFD7D24"/>
    <w:multiLevelType w:val="singleLevel"/>
    <w:tmpl w:val="2BFD7D24"/>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yYWUxNGNmMmUyZTIxY2FmM2YyMWFiMjM3Y2U3MzAifQ=="/>
  </w:docVars>
  <w:rsids>
    <w:rsidRoot w:val="00000000"/>
    <w:rsid w:val="000F5645"/>
    <w:rsid w:val="001A1607"/>
    <w:rsid w:val="00593490"/>
    <w:rsid w:val="005C6C6E"/>
    <w:rsid w:val="006D2A98"/>
    <w:rsid w:val="00A94756"/>
    <w:rsid w:val="00AD7338"/>
    <w:rsid w:val="00DE185F"/>
    <w:rsid w:val="010B45A5"/>
    <w:rsid w:val="010D7DD7"/>
    <w:rsid w:val="01145609"/>
    <w:rsid w:val="01371F49"/>
    <w:rsid w:val="013C708F"/>
    <w:rsid w:val="0155716D"/>
    <w:rsid w:val="01562017"/>
    <w:rsid w:val="01640D09"/>
    <w:rsid w:val="01EF572E"/>
    <w:rsid w:val="02106ABC"/>
    <w:rsid w:val="02283016"/>
    <w:rsid w:val="02290253"/>
    <w:rsid w:val="022E26FA"/>
    <w:rsid w:val="02596756"/>
    <w:rsid w:val="02852286"/>
    <w:rsid w:val="028E0926"/>
    <w:rsid w:val="0292761B"/>
    <w:rsid w:val="02967F59"/>
    <w:rsid w:val="03126EE3"/>
    <w:rsid w:val="03435D32"/>
    <w:rsid w:val="03546191"/>
    <w:rsid w:val="036033E5"/>
    <w:rsid w:val="03821430"/>
    <w:rsid w:val="03DE20F3"/>
    <w:rsid w:val="03F40C27"/>
    <w:rsid w:val="0400419D"/>
    <w:rsid w:val="042E0790"/>
    <w:rsid w:val="045B71F9"/>
    <w:rsid w:val="047E3532"/>
    <w:rsid w:val="04F449E4"/>
    <w:rsid w:val="04F96FF0"/>
    <w:rsid w:val="05031C1C"/>
    <w:rsid w:val="05366B04"/>
    <w:rsid w:val="053B7F7E"/>
    <w:rsid w:val="05476ED2"/>
    <w:rsid w:val="0559183C"/>
    <w:rsid w:val="05594AD8"/>
    <w:rsid w:val="05740424"/>
    <w:rsid w:val="057B0FFA"/>
    <w:rsid w:val="058A3A39"/>
    <w:rsid w:val="05A86320"/>
    <w:rsid w:val="05FE4192"/>
    <w:rsid w:val="060C221D"/>
    <w:rsid w:val="062A122C"/>
    <w:rsid w:val="06345BBB"/>
    <w:rsid w:val="063876A4"/>
    <w:rsid w:val="06464F24"/>
    <w:rsid w:val="067D77AC"/>
    <w:rsid w:val="07283BBC"/>
    <w:rsid w:val="072D4D2F"/>
    <w:rsid w:val="075F6EB2"/>
    <w:rsid w:val="07E618D5"/>
    <w:rsid w:val="07E86EA8"/>
    <w:rsid w:val="07FD72FC"/>
    <w:rsid w:val="082648E4"/>
    <w:rsid w:val="084F5672"/>
    <w:rsid w:val="08836BD0"/>
    <w:rsid w:val="08B70A65"/>
    <w:rsid w:val="08E12697"/>
    <w:rsid w:val="08F32F05"/>
    <w:rsid w:val="09077801"/>
    <w:rsid w:val="091B57AF"/>
    <w:rsid w:val="093C0D75"/>
    <w:rsid w:val="09736C45"/>
    <w:rsid w:val="09A27895"/>
    <w:rsid w:val="09E663CC"/>
    <w:rsid w:val="09ED2E9B"/>
    <w:rsid w:val="0A002EDA"/>
    <w:rsid w:val="0A015732"/>
    <w:rsid w:val="0A1042DF"/>
    <w:rsid w:val="0A187F18"/>
    <w:rsid w:val="0AF9423B"/>
    <w:rsid w:val="0B224422"/>
    <w:rsid w:val="0B3F7E96"/>
    <w:rsid w:val="0B4C7FEF"/>
    <w:rsid w:val="0B891F50"/>
    <w:rsid w:val="0C6E1BD7"/>
    <w:rsid w:val="0D36577E"/>
    <w:rsid w:val="0D3F0613"/>
    <w:rsid w:val="0D417485"/>
    <w:rsid w:val="0D611BD6"/>
    <w:rsid w:val="0DBF06AB"/>
    <w:rsid w:val="0DCE4EE9"/>
    <w:rsid w:val="0DDE3227"/>
    <w:rsid w:val="0DF742E8"/>
    <w:rsid w:val="0E062712"/>
    <w:rsid w:val="0E4B52B2"/>
    <w:rsid w:val="0E5434E9"/>
    <w:rsid w:val="0E6A71F6"/>
    <w:rsid w:val="0ED63EFE"/>
    <w:rsid w:val="0EE4067B"/>
    <w:rsid w:val="0F2C7D97"/>
    <w:rsid w:val="0F317370"/>
    <w:rsid w:val="0F503CB0"/>
    <w:rsid w:val="0F575EA0"/>
    <w:rsid w:val="0F5F0397"/>
    <w:rsid w:val="0F667927"/>
    <w:rsid w:val="0F8876CA"/>
    <w:rsid w:val="0F98675A"/>
    <w:rsid w:val="0FA22032"/>
    <w:rsid w:val="0FB2364C"/>
    <w:rsid w:val="0FFC1742"/>
    <w:rsid w:val="100106CE"/>
    <w:rsid w:val="100D48FD"/>
    <w:rsid w:val="1023487A"/>
    <w:rsid w:val="10480E2B"/>
    <w:rsid w:val="104D6442"/>
    <w:rsid w:val="10A404D8"/>
    <w:rsid w:val="11360C84"/>
    <w:rsid w:val="11586E4C"/>
    <w:rsid w:val="115C19F5"/>
    <w:rsid w:val="11631473"/>
    <w:rsid w:val="11807745"/>
    <w:rsid w:val="11A7392F"/>
    <w:rsid w:val="12303925"/>
    <w:rsid w:val="126258E7"/>
    <w:rsid w:val="12705EDC"/>
    <w:rsid w:val="12753A2E"/>
    <w:rsid w:val="12C60FED"/>
    <w:rsid w:val="12DA75C2"/>
    <w:rsid w:val="12ED1816"/>
    <w:rsid w:val="1325541B"/>
    <w:rsid w:val="13350988"/>
    <w:rsid w:val="136647C4"/>
    <w:rsid w:val="141C6857"/>
    <w:rsid w:val="142D3A1C"/>
    <w:rsid w:val="14333BA0"/>
    <w:rsid w:val="14353475"/>
    <w:rsid w:val="145439BE"/>
    <w:rsid w:val="14596B6E"/>
    <w:rsid w:val="14890557"/>
    <w:rsid w:val="14913DAE"/>
    <w:rsid w:val="14D862F3"/>
    <w:rsid w:val="14DF6A21"/>
    <w:rsid w:val="14FB646C"/>
    <w:rsid w:val="15234043"/>
    <w:rsid w:val="1533356A"/>
    <w:rsid w:val="15362A79"/>
    <w:rsid w:val="15624987"/>
    <w:rsid w:val="15C164C0"/>
    <w:rsid w:val="160D6B52"/>
    <w:rsid w:val="161F618A"/>
    <w:rsid w:val="16767752"/>
    <w:rsid w:val="16DC22CD"/>
    <w:rsid w:val="17214184"/>
    <w:rsid w:val="177034A9"/>
    <w:rsid w:val="17814EBE"/>
    <w:rsid w:val="17D17BE5"/>
    <w:rsid w:val="17DA05D8"/>
    <w:rsid w:val="17E728EB"/>
    <w:rsid w:val="17EF7DDE"/>
    <w:rsid w:val="17F263D6"/>
    <w:rsid w:val="187C3D68"/>
    <w:rsid w:val="18A22B9C"/>
    <w:rsid w:val="18EA221C"/>
    <w:rsid w:val="19012A45"/>
    <w:rsid w:val="19137AFC"/>
    <w:rsid w:val="191F4337"/>
    <w:rsid w:val="19257F5C"/>
    <w:rsid w:val="196056B2"/>
    <w:rsid w:val="19946E8F"/>
    <w:rsid w:val="19B16915"/>
    <w:rsid w:val="19C75DCA"/>
    <w:rsid w:val="19DB69C3"/>
    <w:rsid w:val="1A44069A"/>
    <w:rsid w:val="1A78230D"/>
    <w:rsid w:val="1AA650CC"/>
    <w:rsid w:val="1AB85163"/>
    <w:rsid w:val="1AD80FFE"/>
    <w:rsid w:val="1AFE41A2"/>
    <w:rsid w:val="1B0F0EC3"/>
    <w:rsid w:val="1B356450"/>
    <w:rsid w:val="1B4723FE"/>
    <w:rsid w:val="1BEC5A46"/>
    <w:rsid w:val="1C207CD0"/>
    <w:rsid w:val="1C312FB0"/>
    <w:rsid w:val="1C42303D"/>
    <w:rsid w:val="1C56042C"/>
    <w:rsid w:val="1C6922AF"/>
    <w:rsid w:val="1C7A0F4E"/>
    <w:rsid w:val="1CF914BF"/>
    <w:rsid w:val="1D3474BE"/>
    <w:rsid w:val="1D64530A"/>
    <w:rsid w:val="1D85546D"/>
    <w:rsid w:val="1D95194F"/>
    <w:rsid w:val="1DD1717A"/>
    <w:rsid w:val="1E2223FC"/>
    <w:rsid w:val="1E292B16"/>
    <w:rsid w:val="1E3252AC"/>
    <w:rsid w:val="1E4E3AB1"/>
    <w:rsid w:val="1E56406A"/>
    <w:rsid w:val="1E8F073E"/>
    <w:rsid w:val="1EA25BAA"/>
    <w:rsid w:val="1EDF0A76"/>
    <w:rsid w:val="1EE10850"/>
    <w:rsid w:val="1F260691"/>
    <w:rsid w:val="1F3E55C8"/>
    <w:rsid w:val="1F6317DE"/>
    <w:rsid w:val="1F78690B"/>
    <w:rsid w:val="1FAE738C"/>
    <w:rsid w:val="1FB46444"/>
    <w:rsid w:val="1FC16504"/>
    <w:rsid w:val="1FDC3F0E"/>
    <w:rsid w:val="2077630A"/>
    <w:rsid w:val="20901CE0"/>
    <w:rsid w:val="20B26BE1"/>
    <w:rsid w:val="21140CED"/>
    <w:rsid w:val="211A595D"/>
    <w:rsid w:val="21BA0FE9"/>
    <w:rsid w:val="21E61054"/>
    <w:rsid w:val="228A6ABE"/>
    <w:rsid w:val="22A44DAF"/>
    <w:rsid w:val="22C34341"/>
    <w:rsid w:val="22D24D60"/>
    <w:rsid w:val="22D622C7"/>
    <w:rsid w:val="22DB168B"/>
    <w:rsid w:val="22FF22F8"/>
    <w:rsid w:val="23290CD7"/>
    <w:rsid w:val="235853C4"/>
    <w:rsid w:val="23A83C63"/>
    <w:rsid w:val="23DB4957"/>
    <w:rsid w:val="24066BDB"/>
    <w:rsid w:val="2420033E"/>
    <w:rsid w:val="24373239"/>
    <w:rsid w:val="246D1ECE"/>
    <w:rsid w:val="247B275E"/>
    <w:rsid w:val="247E2C16"/>
    <w:rsid w:val="248F097F"/>
    <w:rsid w:val="24C04FDC"/>
    <w:rsid w:val="24F63A5D"/>
    <w:rsid w:val="25097693"/>
    <w:rsid w:val="25184E18"/>
    <w:rsid w:val="2556149D"/>
    <w:rsid w:val="25A920F9"/>
    <w:rsid w:val="25D8363B"/>
    <w:rsid w:val="26154EB4"/>
    <w:rsid w:val="262D0755"/>
    <w:rsid w:val="26551754"/>
    <w:rsid w:val="268D5D4F"/>
    <w:rsid w:val="26991759"/>
    <w:rsid w:val="26CF1507"/>
    <w:rsid w:val="2712017D"/>
    <w:rsid w:val="272D447F"/>
    <w:rsid w:val="27392E24"/>
    <w:rsid w:val="275714EA"/>
    <w:rsid w:val="2789206D"/>
    <w:rsid w:val="278972A9"/>
    <w:rsid w:val="27D757D3"/>
    <w:rsid w:val="27EB05C2"/>
    <w:rsid w:val="280671AA"/>
    <w:rsid w:val="282D2989"/>
    <w:rsid w:val="289B1FE8"/>
    <w:rsid w:val="28D01566"/>
    <w:rsid w:val="28E8553A"/>
    <w:rsid w:val="291353A0"/>
    <w:rsid w:val="29231FDE"/>
    <w:rsid w:val="292D6E86"/>
    <w:rsid w:val="295D34AF"/>
    <w:rsid w:val="29622B06"/>
    <w:rsid w:val="296353E8"/>
    <w:rsid w:val="299936DC"/>
    <w:rsid w:val="29CA2459"/>
    <w:rsid w:val="29F36060"/>
    <w:rsid w:val="29F70EFE"/>
    <w:rsid w:val="2A720B27"/>
    <w:rsid w:val="2AC23677"/>
    <w:rsid w:val="2B0F45C8"/>
    <w:rsid w:val="2B165DF2"/>
    <w:rsid w:val="2B260BDC"/>
    <w:rsid w:val="2B294E5B"/>
    <w:rsid w:val="2B2D2CA0"/>
    <w:rsid w:val="2B3B360F"/>
    <w:rsid w:val="2BA611ED"/>
    <w:rsid w:val="2BA725F2"/>
    <w:rsid w:val="2BAF7653"/>
    <w:rsid w:val="2BF35C97"/>
    <w:rsid w:val="2C233894"/>
    <w:rsid w:val="2C730B86"/>
    <w:rsid w:val="2CF05282"/>
    <w:rsid w:val="2CFD1020"/>
    <w:rsid w:val="2D1A7254"/>
    <w:rsid w:val="2D4E798A"/>
    <w:rsid w:val="2D7925F4"/>
    <w:rsid w:val="2D7C1CBC"/>
    <w:rsid w:val="2D853E99"/>
    <w:rsid w:val="2DB3760E"/>
    <w:rsid w:val="2DBA7A28"/>
    <w:rsid w:val="2DCD4387"/>
    <w:rsid w:val="2DE07A74"/>
    <w:rsid w:val="2DF83A39"/>
    <w:rsid w:val="2E47051C"/>
    <w:rsid w:val="2E497DF1"/>
    <w:rsid w:val="2E664D9E"/>
    <w:rsid w:val="2EB24CE0"/>
    <w:rsid w:val="2EBB2CB1"/>
    <w:rsid w:val="2EDE0B38"/>
    <w:rsid w:val="2F1E374D"/>
    <w:rsid w:val="2F206A1F"/>
    <w:rsid w:val="2F2C0BAE"/>
    <w:rsid w:val="2F2F348A"/>
    <w:rsid w:val="2F3758E4"/>
    <w:rsid w:val="2F9477B0"/>
    <w:rsid w:val="2F963EF8"/>
    <w:rsid w:val="2FC446A1"/>
    <w:rsid w:val="2FEE2259"/>
    <w:rsid w:val="301628A9"/>
    <w:rsid w:val="301B3A0F"/>
    <w:rsid w:val="301B57BD"/>
    <w:rsid w:val="303A2E5F"/>
    <w:rsid w:val="30C94C38"/>
    <w:rsid w:val="310221B1"/>
    <w:rsid w:val="31200821"/>
    <w:rsid w:val="312C75C4"/>
    <w:rsid w:val="312E1520"/>
    <w:rsid w:val="314422DD"/>
    <w:rsid w:val="31697D37"/>
    <w:rsid w:val="3186725C"/>
    <w:rsid w:val="319D4E24"/>
    <w:rsid w:val="31AA0C0A"/>
    <w:rsid w:val="31BD2FCF"/>
    <w:rsid w:val="31DF0165"/>
    <w:rsid w:val="31E57E30"/>
    <w:rsid w:val="31F2146B"/>
    <w:rsid w:val="32180206"/>
    <w:rsid w:val="325011E8"/>
    <w:rsid w:val="326055F9"/>
    <w:rsid w:val="32802058"/>
    <w:rsid w:val="328A6C2A"/>
    <w:rsid w:val="329F26D5"/>
    <w:rsid w:val="32DE21FE"/>
    <w:rsid w:val="32EB35B4"/>
    <w:rsid w:val="32F01183"/>
    <w:rsid w:val="33222CB9"/>
    <w:rsid w:val="3353378D"/>
    <w:rsid w:val="33880D03"/>
    <w:rsid w:val="33D22636"/>
    <w:rsid w:val="33E3001E"/>
    <w:rsid w:val="340824FC"/>
    <w:rsid w:val="340C23C5"/>
    <w:rsid w:val="34367D70"/>
    <w:rsid w:val="349831C4"/>
    <w:rsid w:val="35064C8D"/>
    <w:rsid w:val="35366BF5"/>
    <w:rsid w:val="353F360F"/>
    <w:rsid w:val="35897434"/>
    <w:rsid w:val="358C1A52"/>
    <w:rsid w:val="358F63C4"/>
    <w:rsid w:val="35931E3C"/>
    <w:rsid w:val="35A6162C"/>
    <w:rsid w:val="35B73417"/>
    <w:rsid w:val="35E623C9"/>
    <w:rsid w:val="35F745D6"/>
    <w:rsid w:val="363F7524"/>
    <w:rsid w:val="36407D2B"/>
    <w:rsid w:val="364A2476"/>
    <w:rsid w:val="367D7A3A"/>
    <w:rsid w:val="36A04C6E"/>
    <w:rsid w:val="36A55DE0"/>
    <w:rsid w:val="36D10B7D"/>
    <w:rsid w:val="36D84407"/>
    <w:rsid w:val="36F57279"/>
    <w:rsid w:val="371649C0"/>
    <w:rsid w:val="371813B0"/>
    <w:rsid w:val="37272C99"/>
    <w:rsid w:val="37373564"/>
    <w:rsid w:val="3787198A"/>
    <w:rsid w:val="37A54D91"/>
    <w:rsid w:val="37A92DDE"/>
    <w:rsid w:val="37DB610F"/>
    <w:rsid w:val="37DB65A1"/>
    <w:rsid w:val="37DE146E"/>
    <w:rsid w:val="384120F7"/>
    <w:rsid w:val="386B37E8"/>
    <w:rsid w:val="38782491"/>
    <w:rsid w:val="38B30119"/>
    <w:rsid w:val="38B8629F"/>
    <w:rsid w:val="38BD3FCF"/>
    <w:rsid w:val="38FC4B7C"/>
    <w:rsid w:val="390F1C37"/>
    <w:rsid w:val="393022D9"/>
    <w:rsid w:val="397D3044"/>
    <w:rsid w:val="39B0341A"/>
    <w:rsid w:val="39C43F44"/>
    <w:rsid w:val="39D77B70"/>
    <w:rsid w:val="3A306308"/>
    <w:rsid w:val="3A377697"/>
    <w:rsid w:val="3A682102"/>
    <w:rsid w:val="3ADD023E"/>
    <w:rsid w:val="3B0A24EB"/>
    <w:rsid w:val="3B0E11B9"/>
    <w:rsid w:val="3B1874C8"/>
    <w:rsid w:val="3B284AAE"/>
    <w:rsid w:val="3B712735"/>
    <w:rsid w:val="3BA82BFD"/>
    <w:rsid w:val="3BB2617C"/>
    <w:rsid w:val="3C1138EF"/>
    <w:rsid w:val="3C3F28A5"/>
    <w:rsid w:val="3C791EFD"/>
    <w:rsid w:val="3C8203BB"/>
    <w:rsid w:val="3C9A0A83"/>
    <w:rsid w:val="3CA56E5C"/>
    <w:rsid w:val="3CB4251D"/>
    <w:rsid w:val="3D2F6822"/>
    <w:rsid w:val="3D390512"/>
    <w:rsid w:val="3D493F35"/>
    <w:rsid w:val="3D6F4035"/>
    <w:rsid w:val="3D9B618F"/>
    <w:rsid w:val="3DAC3EF8"/>
    <w:rsid w:val="3DDC0BED"/>
    <w:rsid w:val="3E142BE7"/>
    <w:rsid w:val="3E221D9C"/>
    <w:rsid w:val="3E3839DE"/>
    <w:rsid w:val="3E3D7F65"/>
    <w:rsid w:val="3E495BEB"/>
    <w:rsid w:val="3E4F6CB0"/>
    <w:rsid w:val="3E650AC7"/>
    <w:rsid w:val="3E6850E9"/>
    <w:rsid w:val="3E8417B1"/>
    <w:rsid w:val="3E860BED"/>
    <w:rsid w:val="3F481E53"/>
    <w:rsid w:val="3F4D1678"/>
    <w:rsid w:val="3F4D5963"/>
    <w:rsid w:val="3F7603DF"/>
    <w:rsid w:val="3FE730FF"/>
    <w:rsid w:val="3FEC256A"/>
    <w:rsid w:val="409F2538"/>
    <w:rsid w:val="40E52248"/>
    <w:rsid w:val="41110C42"/>
    <w:rsid w:val="411F7EE8"/>
    <w:rsid w:val="412451E7"/>
    <w:rsid w:val="41986B84"/>
    <w:rsid w:val="41AF3FB7"/>
    <w:rsid w:val="41CA0DF1"/>
    <w:rsid w:val="41CA2B9F"/>
    <w:rsid w:val="41E73751"/>
    <w:rsid w:val="42000BCC"/>
    <w:rsid w:val="42255D7C"/>
    <w:rsid w:val="42405D96"/>
    <w:rsid w:val="427A1F06"/>
    <w:rsid w:val="4283791D"/>
    <w:rsid w:val="433125CD"/>
    <w:rsid w:val="433C007A"/>
    <w:rsid w:val="435B15C5"/>
    <w:rsid w:val="43C2293A"/>
    <w:rsid w:val="43CA332A"/>
    <w:rsid w:val="43E87689"/>
    <w:rsid w:val="440B6BE2"/>
    <w:rsid w:val="44184095"/>
    <w:rsid w:val="445B38A4"/>
    <w:rsid w:val="449D086A"/>
    <w:rsid w:val="44BC28D1"/>
    <w:rsid w:val="44BF6C07"/>
    <w:rsid w:val="44CA0203"/>
    <w:rsid w:val="4508562C"/>
    <w:rsid w:val="450B2EEB"/>
    <w:rsid w:val="451E392D"/>
    <w:rsid w:val="45357D20"/>
    <w:rsid w:val="454F78C2"/>
    <w:rsid w:val="4555781C"/>
    <w:rsid w:val="456448CF"/>
    <w:rsid w:val="457B31CC"/>
    <w:rsid w:val="45AE3109"/>
    <w:rsid w:val="45B74BFB"/>
    <w:rsid w:val="45C45BA1"/>
    <w:rsid w:val="4629258A"/>
    <w:rsid w:val="463B050F"/>
    <w:rsid w:val="465B295F"/>
    <w:rsid w:val="46A41C10"/>
    <w:rsid w:val="46A80A4B"/>
    <w:rsid w:val="46CA427F"/>
    <w:rsid w:val="47446D09"/>
    <w:rsid w:val="474A5F7A"/>
    <w:rsid w:val="47586573"/>
    <w:rsid w:val="483B143E"/>
    <w:rsid w:val="483E2E8C"/>
    <w:rsid w:val="48484E0B"/>
    <w:rsid w:val="48537D92"/>
    <w:rsid w:val="48594C7C"/>
    <w:rsid w:val="48B3355A"/>
    <w:rsid w:val="48E15588"/>
    <w:rsid w:val="48EF0574"/>
    <w:rsid w:val="49003905"/>
    <w:rsid w:val="490E3CB9"/>
    <w:rsid w:val="49926698"/>
    <w:rsid w:val="49B17A19"/>
    <w:rsid w:val="49D56702"/>
    <w:rsid w:val="4A17094B"/>
    <w:rsid w:val="4A176B9D"/>
    <w:rsid w:val="4A203CA4"/>
    <w:rsid w:val="4A3C1AFC"/>
    <w:rsid w:val="4A3E412A"/>
    <w:rsid w:val="4A425D44"/>
    <w:rsid w:val="4A4A2ACF"/>
    <w:rsid w:val="4AAF2318"/>
    <w:rsid w:val="4AB935C3"/>
    <w:rsid w:val="4AE536EB"/>
    <w:rsid w:val="4B133808"/>
    <w:rsid w:val="4B2046F8"/>
    <w:rsid w:val="4B46598C"/>
    <w:rsid w:val="4B810772"/>
    <w:rsid w:val="4BDD5BE0"/>
    <w:rsid w:val="4BE74CD7"/>
    <w:rsid w:val="4C001FDF"/>
    <w:rsid w:val="4C636ED9"/>
    <w:rsid w:val="4CD751A0"/>
    <w:rsid w:val="4D552A33"/>
    <w:rsid w:val="4D7C3730"/>
    <w:rsid w:val="4DD54DA5"/>
    <w:rsid w:val="4DEA4CF4"/>
    <w:rsid w:val="4DF416CF"/>
    <w:rsid w:val="4E013DEC"/>
    <w:rsid w:val="4E173AED"/>
    <w:rsid w:val="4E1C29D4"/>
    <w:rsid w:val="4E920EE8"/>
    <w:rsid w:val="4EB175C0"/>
    <w:rsid w:val="4F2555AF"/>
    <w:rsid w:val="4F9D7B44"/>
    <w:rsid w:val="4FA15887"/>
    <w:rsid w:val="4FE65048"/>
    <w:rsid w:val="4FF2374A"/>
    <w:rsid w:val="4FFF25AD"/>
    <w:rsid w:val="50334005"/>
    <w:rsid w:val="50993895"/>
    <w:rsid w:val="50A05B3E"/>
    <w:rsid w:val="50CC06E1"/>
    <w:rsid w:val="51120B54"/>
    <w:rsid w:val="51654692"/>
    <w:rsid w:val="51DA56D9"/>
    <w:rsid w:val="521479BD"/>
    <w:rsid w:val="52324DF2"/>
    <w:rsid w:val="523572D3"/>
    <w:rsid w:val="525E7A5F"/>
    <w:rsid w:val="52A0178F"/>
    <w:rsid w:val="52C27FEE"/>
    <w:rsid w:val="52C35064"/>
    <w:rsid w:val="52D25D57"/>
    <w:rsid w:val="52E52E06"/>
    <w:rsid w:val="5321350E"/>
    <w:rsid w:val="534F73A8"/>
    <w:rsid w:val="53C102A5"/>
    <w:rsid w:val="53F040F3"/>
    <w:rsid w:val="541859EC"/>
    <w:rsid w:val="543F6A0F"/>
    <w:rsid w:val="544225D1"/>
    <w:rsid w:val="54501629"/>
    <w:rsid w:val="549A0AF6"/>
    <w:rsid w:val="549E05E7"/>
    <w:rsid w:val="55081F04"/>
    <w:rsid w:val="551A2274"/>
    <w:rsid w:val="552079AD"/>
    <w:rsid w:val="55865E7A"/>
    <w:rsid w:val="55AD03B6"/>
    <w:rsid w:val="562C5B54"/>
    <w:rsid w:val="565926F8"/>
    <w:rsid w:val="56947B58"/>
    <w:rsid w:val="569A4893"/>
    <w:rsid w:val="56C02A96"/>
    <w:rsid w:val="570F0CE3"/>
    <w:rsid w:val="571A0371"/>
    <w:rsid w:val="572B4351"/>
    <w:rsid w:val="57640800"/>
    <w:rsid w:val="577171DB"/>
    <w:rsid w:val="57797E38"/>
    <w:rsid w:val="578F54F0"/>
    <w:rsid w:val="57CF35DE"/>
    <w:rsid w:val="58124259"/>
    <w:rsid w:val="58247055"/>
    <w:rsid w:val="582C6290"/>
    <w:rsid w:val="58491124"/>
    <w:rsid w:val="5864315D"/>
    <w:rsid w:val="58695559"/>
    <w:rsid w:val="588F6E1D"/>
    <w:rsid w:val="589870FB"/>
    <w:rsid w:val="58AA7BC4"/>
    <w:rsid w:val="58B303D9"/>
    <w:rsid w:val="58B32FF0"/>
    <w:rsid w:val="58FA06F3"/>
    <w:rsid w:val="593257A1"/>
    <w:rsid w:val="594828CF"/>
    <w:rsid w:val="594F0101"/>
    <w:rsid w:val="59716137"/>
    <w:rsid w:val="597C6A1D"/>
    <w:rsid w:val="59975605"/>
    <w:rsid w:val="599A323A"/>
    <w:rsid w:val="59FD5D36"/>
    <w:rsid w:val="5A0507C0"/>
    <w:rsid w:val="5A106D9C"/>
    <w:rsid w:val="5A1153B7"/>
    <w:rsid w:val="5A3572F7"/>
    <w:rsid w:val="5A5055AA"/>
    <w:rsid w:val="5A643739"/>
    <w:rsid w:val="5A645887"/>
    <w:rsid w:val="5A9D5284"/>
    <w:rsid w:val="5AC266B1"/>
    <w:rsid w:val="5AD07020"/>
    <w:rsid w:val="5AEA3C95"/>
    <w:rsid w:val="5B860547"/>
    <w:rsid w:val="5B9C6F02"/>
    <w:rsid w:val="5BA31F6D"/>
    <w:rsid w:val="5BAA2CB6"/>
    <w:rsid w:val="5BD14DFE"/>
    <w:rsid w:val="5C074CC3"/>
    <w:rsid w:val="5C1D0043"/>
    <w:rsid w:val="5C60006A"/>
    <w:rsid w:val="5CBC2E8A"/>
    <w:rsid w:val="5CD86660"/>
    <w:rsid w:val="5CF24B72"/>
    <w:rsid w:val="5D630A1C"/>
    <w:rsid w:val="5D984E39"/>
    <w:rsid w:val="5E111E29"/>
    <w:rsid w:val="5E176D14"/>
    <w:rsid w:val="5E256920"/>
    <w:rsid w:val="5E5C0E03"/>
    <w:rsid w:val="5E895E64"/>
    <w:rsid w:val="5E951201"/>
    <w:rsid w:val="5ECC3F6D"/>
    <w:rsid w:val="5EF977B3"/>
    <w:rsid w:val="5EFD3D22"/>
    <w:rsid w:val="5F7E172D"/>
    <w:rsid w:val="5F8B1CA3"/>
    <w:rsid w:val="5F8B407B"/>
    <w:rsid w:val="5FB46F10"/>
    <w:rsid w:val="601E6FA6"/>
    <w:rsid w:val="60465003"/>
    <w:rsid w:val="60A206C0"/>
    <w:rsid w:val="60B46A9C"/>
    <w:rsid w:val="60BA0F08"/>
    <w:rsid w:val="60C63C94"/>
    <w:rsid w:val="61307EC2"/>
    <w:rsid w:val="6142054C"/>
    <w:rsid w:val="617565F6"/>
    <w:rsid w:val="617A7C83"/>
    <w:rsid w:val="61D1343F"/>
    <w:rsid w:val="61F7781C"/>
    <w:rsid w:val="62533312"/>
    <w:rsid w:val="62854B94"/>
    <w:rsid w:val="628F5D29"/>
    <w:rsid w:val="62A414BE"/>
    <w:rsid w:val="62B80AC5"/>
    <w:rsid w:val="62D058DC"/>
    <w:rsid w:val="634632A4"/>
    <w:rsid w:val="6361115D"/>
    <w:rsid w:val="638F1633"/>
    <w:rsid w:val="63D53BE3"/>
    <w:rsid w:val="64274122"/>
    <w:rsid w:val="64532812"/>
    <w:rsid w:val="64780290"/>
    <w:rsid w:val="64B17EC2"/>
    <w:rsid w:val="651421FF"/>
    <w:rsid w:val="651641C9"/>
    <w:rsid w:val="65314B5F"/>
    <w:rsid w:val="65366619"/>
    <w:rsid w:val="654A3ABB"/>
    <w:rsid w:val="65613696"/>
    <w:rsid w:val="6589396E"/>
    <w:rsid w:val="659A0ECE"/>
    <w:rsid w:val="65B5782C"/>
    <w:rsid w:val="6645435E"/>
    <w:rsid w:val="666C01DA"/>
    <w:rsid w:val="667C005C"/>
    <w:rsid w:val="667E51BF"/>
    <w:rsid w:val="66A63D78"/>
    <w:rsid w:val="66C541BB"/>
    <w:rsid w:val="66ED0F5A"/>
    <w:rsid w:val="67177D85"/>
    <w:rsid w:val="67191D4F"/>
    <w:rsid w:val="671B39FF"/>
    <w:rsid w:val="671C049D"/>
    <w:rsid w:val="677862CF"/>
    <w:rsid w:val="678E44EB"/>
    <w:rsid w:val="678F04E7"/>
    <w:rsid w:val="67976DF7"/>
    <w:rsid w:val="67CC47DB"/>
    <w:rsid w:val="67E73BFB"/>
    <w:rsid w:val="68324E76"/>
    <w:rsid w:val="6841330B"/>
    <w:rsid w:val="68560FB0"/>
    <w:rsid w:val="6875755D"/>
    <w:rsid w:val="68953116"/>
    <w:rsid w:val="68B15238"/>
    <w:rsid w:val="68DD5B96"/>
    <w:rsid w:val="68E635A2"/>
    <w:rsid w:val="69020CEC"/>
    <w:rsid w:val="69126A56"/>
    <w:rsid w:val="693D7F76"/>
    <w:rsid w:val="694120F5"/>
    <w:rsid w:val="69540E1C"/>
    <w:rsid w:val="69643755"/>
    <w:rsid w:val="69981651"/>
    <w:rsid w:val="69B30FB5"/>
    <w:rsid w:val="69CC6B23"/>
    <w:rsid w:val="69D550CD"/>
    <w:rsid w:val="69DA57C5"/>
    <w:rsid w:val="69E502D2"/>
    <w:rsid w:val="6A0F139B"/>
    <w:rsid w:val="6A2716C9"/>
    <w:rsid w:val="6A610B11"/>
    <w:rsid w:val="6A6A173C"/>
    <w:rsid w:val="6AAB0F10"/>
    <w:rsid w:val="6ACB38E5"/>
    <w:rsid w:val="6AD246EE"/>
    <w:rsid w:val="6AE84A72"/>
    <w:rsid w:val="6B142F59"/>
    <w:rsid w:val="6B1B3F84"/>
    <w:rsid w:val="6B2F7D93"/>
    <w:rsid w:val="6B4E7EEE"/>
    <w:rsid w:val="6B6C4B43"/>
    <w:rsid w:val="6C00421D"/>
    <w:rsid w:val="6C0C3C30"/>
    <w:rsid w:val="6C270A6A"/>
    <w:rsid w:val="6C703149"/>
    <w:rsid w:val="6C846764"/>
    <w:rsid w:val="6CA200F0"/>
    <w:rsid w:val="6CAE465D"/>
    <w:rsid w:val="6CFE3B02"/>
    <w:rsid w:val="6D260D22"/>
    <w:rsid w:val="6D88670D"/>
    <w:rsid w:val="6DE309C1"/>
    <w:rsid w:val="6E0E5A3E"/>
    <w:rsid w:val="6E761835"/>
    <w:rsid w:val="6EA405A9"/>
    <w:rsid w:val="6EC16F54"/>
    <w:rsid w:val="6ED52B8A"/>
    <w:rsid w:val="6EFE1F56"/>
    <w:rsid w:val="6F265009"/>
    <w:rsid w:val="6F313FA1"/>
    <w:rsid w:val="6F834209"/>
    <w:rsid w:val="6F8D4E4E"/>
    <w:rsid w:val="6F9E3748"/>
    <w:rsid w:val="700A0487"/>
    <w:rsid w:val="704F1B3A"/>
    <w:rsid w:val="706E6C67"/>
    <w:rsid w:val="707A7C41"/>
    <w:rsid w:val="707D05B9"/>
    <w:rsid w:val="709D6E51"/>
    <w:rsid w:val="70A11939"/>
    <w:rsid w:val="70A839C6"/>
    <w:rsid w:val="7116481E"/>
    <w:rsid w:val="71347EB1"/>
    <w:rsid w:val="71421785"/>
    <w:rsid w:val="7158574F"/>
    <w:rsid w:val="7180259E"/>
    <w:rsid w:val="71FE6F26"/>
    <w:rsid w:val="721253F9"/>
    <w:rsid w:val="722578E9"/>
    <w:rsid w:val="72661558"/>
    <w:rsid w:val="72676064"/>
    <w:rsid w:val="728409C4"/>
    <w:rsid w:val="72A10505"/>
    <w:rsid w:val="72B54101"/>
    <w:rsid w:val="72CC5EC7"/>
    <w:rsid w:val="7313528F"/>
    <w:rsid w:val="7314591F"/>
    <w:rsid w:val="733C509D"/>
    <w:rsid w:val="7365051D"/>
    <w:rsid w:val="73972979"/>
    <w:rsid w:val="739A6724"/>
    <w:rsid w:val="74237D69"/>
    <w:rsid w:val="74281823"/>
    <w:rsid w:val="74477EFB"/>
    <w:rsid w:val="745D6D46"/>
    <w:rsid w:val="748527D2"/>
    <w:rsid w:val="74A626EA"/>
    <w:rsid w:val="74CB0B2C"/>
    <w:rsid w:val="753374D4"/>
    <w:rsid w:val="756747A2"/>
    <w:rsid w:val="75734190"/>
    <w:rsid w:val="75742F72"/>
    <w:rsid w:val="75A7382D"/>
    <w:rsid w:val="75B96BD7"/>
    <w:rsid w:val="75D44E5F"/>
    <w:rsid w:val="76005923"/>
    <w:rsid w:val="760A3A78"/>
    <w:rsid w:val="7625426C"/>
    <w:rsid w:val="762C373B"/>
    <w:rsid w:val="764D1A81"/>
    <w:rsid w:val="76553592"/>
    <w:rsid w:val="76692DB0"/>
    <w:rsid w:val="76C53359"/>
    <w:rsid w:val="76DC4CCE"/>
    <w:rsid w:val="76F42E75"/>
    <w:rsid w:val="770A4F84"/>
    <w:rsid w:val="7725204A"/>
    <w:rsid w:val="773F3EF6"/>
    <w:rsid w:val="77843214"/>
    <w:rsid w:val="77AF6392"/>
    <w:rsid w:val="77B5517C"/>
    <w:rsid w:val="77C47A53"/>
    <w:rsid w:val="77D74F78"/>
    <w:rsid w:val="77EA5801"/>
    <w:rsid w:val="78245629"/>
    <w:rsid w:val="782C085B"/>
    <w:rsid w:val="785962C1"/>
    <w:rsid w:val="786B1CDE"/>
    <w:rsid w:val="78832BF4"/>
    <w:rsid w:val="78B00F4C"/>
    <w:rsid w:val="78FA1601"/>
    <w:rsid w:val="791F1447"/>
    <w:rsid w:val="796706F8"/>
    <w:rsid w:val="7A3507F6"/>
    <w:rsid w:val="7A3F36BC"/>
    <w:rsid w:val="7A4647B1"/>
    <w:rsid w:val="7A4822D7"/>
    <w:rsid w:val="7A925C48"/>
    <w:rsid w:val="7A9D044F"/>
    <w:rsid w:val="7ABA6A60"/>
    <w:rsid w:val="7AD93877"/>
    <w:rsid w:val="7B1440DE"/>
    <w:rsid w:val="7B3343CE"/>
    <w:rsid w:val="7B446F42"/>
    <w:rsid w:val="7B4968BF"/>
    <w:rsid w:val="7B5B603A"/>
    <w:rsid w:val="7B711D02"/>
    <w:rsid w:val="7BA93985"/>
    <w:rsid w:val="7BB57E40"/>
    <w:rsid w:val="7BDD225D"/>
    <w:rsid w:val="7BF87D2D"/>
    <w:rsid w:val="7C81665C"/>
    <w:rsid w:val="7C914A80"/>
    <w:rsid w:val="7CB671B0"/>
    <w:rsid w:val="7CCF418F"/>
    <w:rsid w:val="7CDC13FD"/>
    <w:rsid w:val="7D0A3391"/>
    <w:rsid w:val="7D893333"/>
    <w:rsid w:val="7DCC0D4A"/>
    <w:rsid w:val="7DE22A43"/>
    <w:rsid w:val="7E05426C"/>
    <w:rsid w:val="7E3A287F"/>
    <w:rsid w:val="7E696CC0"/>
    <w:rsid w:val="7EEF5417"/>
    <w:rsid w:val="7EF127D4"/>
    <w:rsid w:val="7EF85C16"/>
    <w:rsid w:val="7F0240C9"/>
    <w:rsid w:val="7F482D79"/>
    <w:rsid w:val="7F4C4618"/>
    <w:rsid w:val="7FF228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83" w:firstLineChars="200"/>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30"/>
    <w:autoRedefine/>
    <w:qFormat/>
    <w:uiPriority w:val="0"/>
    <w:pPr>
      <w:keepNext/>
      <w:keepLines/>
      <w:spacing w:beforeLines="0" w:beforeAutospacing="0" w:afterLines="0" w:afterAutospacing="0" w:line="360" w:lineRule="auto"/>
      <w:ind w:left="0" w:leftChars="0" w:firstLine="0" w:firstLineChars="0"/>
      <w:jc w:val="center"/>
      <w:outlineLvl w:val="0"/>
    </w:pPr>
    <w:rPr>
      <w:rFonts w:ascii="Times New Roman" w:hAnsi="Times New Roman" w:eastAsia="黑体"/>
      <w:b/>
      <w:kern w:val="44"/>
      <w:sz w:val="32"/>
    </w:rPr>
  </w:style>
  <w:style w:type="paragraph" w:styleId="3">
    <w:name w:val="heading 2"/>
    <w:basedOn w:val="1"/>
    <w:next w:val="1"/>
    <w:link w:val="43"/>
    <w:unhideWhenUsed/>
    <w:qFormat/>
    <w:uiPriority w:val="0"/>
    <w:pPr>
      <w:keepNext/>
      <w:keepLines/>
      <w:spacing w:beforeLines="0" w:beforeAutospacing="0" w:afterLines="0" w:afterAutospacing="0" w:line="360" w:lineRule="auto"/>
      <w:ind w:left="280" w:leftChars="100" w:firstLine="0" w:firstLineChars="0"/>
      <w:outlineLvl w:val="1"/>
    </w:pPr>
    <w:rPr>
      <w:rFonts w:eastAsia="黑体"/>
      <w:b/>
      <w:sz w:val="30"/>
    </w:rPr>
  </w:style>
  <w:style w:type="paragraph" w:styleId="4">
    <w:name w:val="heading 3"/>
    <w:basedOn w:val="1"/>
    <w:next w:val="1"/>
    <w:link w:val="39"/>
    <w:autoRedefine/>
    <w:unhideWhenUsed/>
    <w:qFormat/>
    <w:uiPriority w:val="0"/>
    <w:pPr>
      <w:keepNext/>
      <w:keepLines/>
      <w:spacing w:beforeLines="0" w:beforeAutospacing="0" w:afterLines="0" w:afterAutospacing="0" w:line="360" w:lineRule="auto"/>
      <w:ind w:left="560" w:leftChars="200" w:firstLine="0" w:firstLineChars="0"/>
      <w:outlineLvl w:val="2"/>
    </w:pPr>
    <w:rPr>
      <w:rFonts w:eastAsia="黑体"/>
      <w:b/>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3">
    <w:name w:val="Default Paragraph Font"/>
    <w:autoRedefine/>
    <w:semiHidden/>
    <w:qFormat/>
    <w:uiPriority w:val="0"/>
  </w:style>
  <w:style w:type="table" w:default="1" w:styleId="20">
    <w:name w:val="Normal Table"/>
    <w:autoRedefine/>
    <w:semiHidden/>
    <w:qFormat/>
    <w:uiPriority w:val="0"/>
    <w:tblPr>
      <w:tblCellMar>
        <w:top w:w="0" w:type="dxa"/>
        <w:left w:w="108" w:type="dxa"/>
        <w:bottom w:w="0" w:type="dxa"/>
        <w:right w:w="108" w:type="dxa"/>
      </w:tblCellMar>
    </w:tblPr>
  </w:style>
  <w:style w:type="paragraph" w:styleId="6">
    <w:name w:val="table of authorities"/>
    <w:basedOn w:val="1"/>
    <w:next w:val="1"/>
    <w:autoRedefine/>
    <w:qFormat/>
    <w:uiPriority w:val="0"/>
    <w:pPr>
      <w:ind w:left="420" w:leftChars="200"/>
    </w:pPr>
  </w:style>
  <w:style w:type="paragraph" w:styleId="7">
    <w:name w:val="Normal Indent"/>
    <w:basedOn w:val="1"/>
    <w:qFormat/>
    <w:uiPriority w:val="0"/>
    <w:pPr>
      <w:widowControl/>
      <w:spacing w:line="360" w:lineRule="auto"/>
      <w:ind w:firstLine="562" w:firstLineChars="200"/>
      <w:jc w:val="left"/>
    </w:pPr>
    <w:rPr>
      <w:rFonts w:ascii="Verdana" w:hAnsi="Verdana"/>
      <w:b/>
      <w:bCs/>
      <w:sz w:val="28"/>
    </w:rPr>
  </w:style>
  <w:style w:type="paragraph" w:styleId="8">
    <w:name w:val="toa heading"/>
    <w:next w:val="1"/>
    <w:qFormat/>
    <w:uiPriority w:val="0"/>
    <w:pPr>
      <w:widowControl w:val="0"/>
      <w:spacing w:before="120"/>
      <w:jc w:val="both"/>
    </w:pPr>
    <w:rPr>
      <w:rFonts w:ascii="Cambria" w:hAnsi="Cambria" w:eastAsia="宋体" w:cs="Times New Roman"/>
      <w:kern w:val="2"/>
      <w:sz w:val="24"/>
      <w:szCs w:val="24"/>
      <w:lang w:val="en-US" w:eastAsia="zh-CN" w:bidi="ar-SA"/>
    </w:rPr>
  </w:style>
  <w:style w:type="paragraph" w:styleId="9">
    <w:name w:val="annotation text"/>
    <w:basedOn w:val="1"/>
    <w:autoRedefine/>
    <w:qFormat/>
    <w:uiPriority w:val="0"/>
    <w:pPr>
      <w:jc w:val="left"/>
    </w:pPr>
  </w:style>
  <w:style w:type="paragraph" w:styleId="10">
    <w:name w:val="Body Text"/>
    <w:basedOn w:val="1"/>
    <w:link w:val="33"/>
    <w:autoRedefine/>
    <w:qFormat/>
    <w:uiPriority w:val="0"/>
    <w:pPr>
      <w:widowControl w:val="0"/>
      <w:spacing w:after="120" w:line="360" w:lineRule="auto"/>
      <w:jc w:val="both"/>
    </w:pPr>
    <w:rPr>
      <w:rFonts w:ascii="Times New Roman" w:hAnsi="Times New Roman" w:eastAsia="宋体" w:cs="Times New Roman"/>
      <w:kern w:val="2"/>
      <w:sz w:val="28"/>
      <w:szCs w:val="24"/>
      <w:lang w:val="en-US" w:eastAsia="zh-CN" w:bidi="ar-SA"/>
    </w:rPr>
  </w:style>
  <w:style w:type="paragraph" w:styleId="11">
    <w:name w:val="toc 3"/>
    <w:basedOn w:val="1"/>
    <w:next w:val="1"/>
    <w:autoRedefine/>
    <w:qFormat/>
    <w:uiPriority w:val="0"/>
    <w:pPr>
      <w:spacing w:line="240" w:lineRule="auto"/>
      <w:ind w:left="840" w:leftChars="400" w:firstLine="0" w:firstLineChars="0"/>
    </w:pPr>
    <w:rPr>
      <w:rFonts w:ascii="Times New Roman" w:hAnsi="Times New Roman" w:eastAsia="宋体"/>
      <w:sz w:val="21"/>
    </w:rPr>
  </w:style>
  <w:style w:type="paragraph" w:styleId="12">
    <w:name w:val="footer"/>
    <w:basedOn w:val="1"/>
    <w:autoRedefine/>
    <w:qFormat/>
    <w:uiPriority w:val="0"/>
    <w:pPr>
      <w:tabs>
        <w:tab w:val="center" w:pos="4153"/>
        <w:tab w:val="right" w:pos="8306"/>
      </w:tabs>
      <w:snapToGrid w:val="0"/>
      <w:spacing w:line="240" w:lineRule="auto"/>
      <w:jc w:val="left"/>
    </w:pPr>
    <w:rPr>
      <w:sz w:val="18"/>
      <w:szCs w:val="18"/>
    </w:rPr>
  </w:style>
  <w:style w:type="paragraph" w:styleId="13">
    <w:name w:val="header"/>
    <w:basedOn w:val="1"/>
    <w:autoRedefine/>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4">
    <w:name w:val="toc 1"/>
    <w:basedOn w:val="1"/>
    <w:next w:val="1"/>
    <w:autoRedefine/>
    <w:qFormat/>
    <w:uiPriority w:val="0"/>
    <w:pPr>
      <w:tabs>
        <w:tab w:val="right" w:leader="dot" w:pos="9072"/>
      </w:tabs>
      <w:spacing w:line="240" w:lineRule="auto"/>
      <w:ind w:firstLine="0" w:firstLineChars="0"/>
    </w:pPr>
    <w:rPr>
      <w:rFonts w:ascii="Times New Roman" w:hAnsi="Times New Roman" w:eastAsia="宋体"/>
      <w:sz w:val="28"/>
      <w:szCs w:val="21"/>
    </w:rPr>
  </w:style>
  <w:style w:type="paragraph" w:styleId="15">
    <w:name w:val="toc 2"/>
    <w:basedOn w:val="1"/>
    <w:next w:val="1"/>
    <w:autoRedefine/>
    <w:qFormat/>
    <w:uiPriority w:val="0"/>
    <w:pPr>
      <w:spacing w:line="240" w:lineRule="auto"/>
      <w:ind w:left="420" w:leftChars="200" w:firstLine="0" w:firstLineChars="0"/>
    </w:pPr>
    <w:rPr>
      <w:rFonts w:ascii="Times New Roman" w:hAnsi="Times New Roman" w:eastAsia="宋体"/>
      <w:sz w:val="24"/>
    </w:rPr>
  </w:style>
  <w:style w:type="paragraph" w:styleId="16">
    <w:name w:val="Body Text 2"/>
    <w:autoRedefine/>
    <w:qFormat/>
    <w:uiPriority w:val="0"/>
    <w:pPr>
      <w:widowControl w:val="0"/>
      <w:spacing w:after="120" w:line="480" w:lineRule="auto"/>
      <w:jc w:val="both"/>
    </w:pPr>
    <w:rPr>
      <w:rFonts w:ascii="Times New Roman" w:hAnsi="Times New Roman" w:eastAsia="宋体" w:cs="Times New Roman"/>
      <w:kern w:val="2"/>
      <w:sz w:val="28"/>
      <w:szCs w:val="24"/>
      <w:lang w:val="en-US" w:eastAsia="zh-CN" w:bidi="ar-SA"/>
    </w:rPr>
  </w:style>
  <w:style w:type="paragraph" w:styleId="17">
    <w:name w:val="Normal (Web)"/>
    <w:autoRedefine/>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8">
    <w:name w:val="Body Text First Indent"/>
    <w:basedOn w:val="10"/>
    <w:next w:val="1"/>
    <w:qFormat/>
    <w:uiPriority w:val="0"/>
    <w:pPr>
      <w:ind w:firstLine="420" w:firstLineChars="100"/>
    </w:pPr>
  </w:style>
  <w:style w:type="paragraph" w:styleId="19">
    <w:name w:val="Body Text First Indent 2"/>
    <w:basedOn w:val="1"/>
    <w:next w:val="18"/>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2">
    <w:name w:val="Table Theme"/>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autoRedefine/>
    <w:qFormat/>
    <w:uiPriority w:val="0"/>
  </w:style>
  <w:style w:type="paragraph" w:customStyle="1" w:styleId="25">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目录1"/>
    <w:basedOn w:val="6"/>
    <w:autoRedefine/>
    <w:qFormat/>
    <w:uiPriority w:val="0"/>
    <w:pPr>
      <w:spacing w:line="240" w:lineRule="auto"/>
      <w:ind w:left="0" w:leftChars="0" w:firstLine="0" w:firstLineChars="0"/>
    </w:pPr>
  </w:style>
  <w:style w:type="paragraph" w:customStyle="1" w:styleId="27">
    <w:name w:val="目录2"/>
    <w:basedOn w:val="6"/>
    <w:autoRedefine/>
    <w:qFormat/>
    <w:uiPriority w:val="0"/>
    <w:pPr>
      <w:spacing w:line="240" w:lineRule="auto"/>
      <w:ind w:firstLine="0" w:firstLineChars="0"/>
    </w:pPr>
    <w:rPr>
      <w:sz w:val="24"/>
    </w:rPr>
  </w:style>
  <w:style w:type="paragraph" w:customStyle="1" w:styleId="28">
    <w:name w:val="目录3"/>
    <w:basedOn w:val="6"/>
    <w:autoRedefine/>
    <w:qFormat/>
    <w:uiPriority w:val="0"/>
    <w:pPr>
      <w:spacing w:line="240" w:lineRule="auto"/>
      <w:ind w:left="1120" w:leftChars="400" w:firstLine="0" w:firstLineChars="0"/>
    </w:pPr>
    <w:rPr>
      <w:sz w:val="21"/>
    </w:rPr>
  </w:style>
  <w:style w:type="paragraph" w:customStyle="1" w:styleId="29">
    <w:name w:val="样式 小四 首行缩进:  0.85 厘米 行距: 固定值 22 磅"/>
    <w:autoRedefine/>
    <w:qFormat/>
    <w:uiPriority w:val="0"/>
    <w:pPr>
      <w:widowControl/>
      <w:spacing w:line="440" w:lineRule="exact"/>
      <w:ind w:firstLine="480" w:firstLineChars="200"/>
      <w:jc w:val="both"/>
    </w:pPr>
    <w:rPr>
      <w:rFonts w:ascii="新宋体" w:hAnsi="新宋体" w:eastAsia="新宋体" w:cs="新宋体"/>
      <w:kern w:val="0"/>
      <w:sz w:val="24"/>
      <w:szCs w:val="20"/>
      <w:lang w:val="en-US" w:eastAsia="en-US" w:bidi="en-US"/>
    </w:rPr>
  </w:style>
  <w:style w:type="character" w:customStyle="1" w:styleId="30">
    <w:name w:val="标题 1 Char1"/>
    <w:link w:val="2"/>
    <w:autoRedefine/>
    <w:qFormat/>
    <w:uiPriority w:val="0"/>
    <w:rPr>
      <w:rFonts w:ascii="Times New Roman" w:hAnsi="Times New Roman" w:eastAsia="黑体"/>
      <w:b/>
      <w:kern w:val="44"/>
      <w:sz w:val="32"/>
    </w:rPr>
  </w:style>
  <w:style w:type="paragraph" w:customStyle="1" w:styleId="31">
    <w:name w:val="Char1"/>
    <w:basedOn w:val="1"/>
    <w:autoRedefine/>
    <w:qFormat/>
    <w:uiPriority w:val="0"/>
    <w:pPr>
      <w:autoSpaceDE w:val="0"/>
      <w:autoSpaceDN w:val="0"/>
      <w:adjustRightInd w:val="0"/>
      <w:snapToGrid w:val="0"/>
      <w:spacing w:before="50" w:after="50"/>
      <w:ind w:firstLine="560" w:firstLineChars="200"/>
    </w:pPr>
    <w:rPr>
      <w:sz w:val="21"/>
      <w:szCs w:val="20"/>
    </w:rPr>
  </w:style>
  <w:style w:type="character" w:customStyle="1" w:styleId="32">
    <w:name w:val="正文文本 + 10.5 pt6"/>
    <w:autoRedefine/>
    <w:qFormat/>
    <w:uiPriority w:val="0"/>
    <w:rPr>
      <w:rFonts w:ascii="宋体" w:hAnsi="宋体" w:eastAsia="宋体" w:cs="宋体"/>
      <w:kern w:val="2"/>
      <w:sz w:val="21"/>
      <w:szCs w:val="21"/>
      <w:u w:val="none"/>
      <w:lang w:val="en-US" w:eastAsia="zh-CN" w:bidi="ar-SA"/>
    </w:rPr>
  </w:style>
  <w:style w:type="character" w:customStyle="1" w:styleId="33">
    <w:name w:val="正文文本_"/>
    <w:link w:val="10"/>
    <w:autoRedefine/>
    <w:qFormat/>
    <w:uiPriority w:val="0"/>
    <w:rPr>
      <w:kern w:val="2"/>
      <w:sz w:val="28"/>
      <w:szCs w:val="24"/>
      <w:lang w:val="en-US" w:eastAsia="zh-CN" w:bidi="ar-SA"/>
    </w:rPr>
  </w:style>
  <w:style w:type="character" w:customStyle="1" w:styleId="34">
    <w:name w:val="正文文本 + Batang19"/>
    <w:autoRedefine/>
    <w:qFormat/>
    <w:uiPriority w:val="0"/>
    <w:rPr>
      <w:rFonts w:ascii="Malgun Gothic" w:hAnsi="宋体" w:eastAsia="Malgun Gothic" w:cs="Malgun Gothic"/>
      <w:kern w:val="2"/>
      <w:sz w:val="19"/>
      <w:szCs w:val="19"/>
      <w:u w:val="none"/>
      <w:lang w:val="en-US" w:eastAsia="en-US" w:bidi="ar-SA"/>
    </w:rPr>
  </w:style>
  <w:style w:type="character" w:customStyle="1" w:styleId="35">
    <w:name w:val="正文文本 + MS Gothic"/>
    <w:autoRedefine/>
    <w:qFormat/>
    <w:uiPriority w:val="0"/>
    <w:rPr>
      <w:rFonts w:ascii="MS Gothic" w:hAnsi="宋体" w:eastAsia="MS Gothic" w:cs="MS Gothic"/>
      <w:spacing w:val="-20"/>
      <w:kern w:val="2"/>
      <w:sz w:val="8"/>
      <w:szCs w:val="8"/>
      <w:u w:val="none"/>
      <w:lang w:val="en-US" w:eastAsia="zh-CN" w:bidi="ar-SA"/>
    </w:rPr>
  </w:style>
  <w:style w:type="character" w:customStyle="1" w:styleId="36">
    <w:name w:val="正文文本 + Batang18"/>
    <w:autoRedefine/>
    <w:qFormat/>
    <w:uiPriority w:val="0"/>
    <w:rPr>
      <w:rFonts w:ascii="Malgun Gothic" w:hAnsi="宋体" w:eastAsia="Malgun Gothic" w:cs="Malgun Gothic"/>
      <w:kern w:val="2"/>
      <w:sz w:val="19"/>
      <w:szCs w:val="19"/>
      <w:u w:val="none"/>
      <w:lang w:val="en-US" w:eastAsia="zh-CN" w:bidi="ar-SA"/>
    </w:rPr>
  </w:style>
  <w:style w:type="table" w:customStyle="1" w:styleId="37">
    <w:name w:val="Table Normal"/>
    <w:autoRedefine/>
    <w:semiHidden/>
    <w:unhideWhenUsed/>
    <w:qFormat/>
    <w:uiPriority w:val="0"/>
    <w:tblPr>
      <w:tblCellMar>
        <w:top w:w="0" w:type="dxa"/>
        <w:left w:w="0" w:type="dxa"/>
        <w:bottom w:w="0" w:type="dxa"/>
        <w:right w:w="0" w:type="dxa"/>
      </w:tblCellMar>
    </w:tblPr>
  </w:style>
  <w:style w:type="paragraph" w:customStyle="1" w:styleId="38">
    <w:name w:val="Table Text"/>
    <w:basedOn w:val="1"/>
    <w:autoRedefine/>
    <w:semiHidden/>
    <w:qFormat/>
    <w:uiPriority w:val="0"/>
    <w:rPr>
      <w:rFonts w:ascii="微软雅黑" w:hAnsi="微软雅黑" w:eastAsia="微软雅黑" w:cs="微软雅黑"/>
      <w:sz w:val="28"/>
      <w:szCs w:val="28"/>
      <w:lang w:val="en-US" w:eastAsia="en-US" w:bidi="ar-SA"/>
    </w:rPr>
  </w:style>
  <w:style w:type="character" w:customStyle="1" w:styleId="39">
    <w:name w:val="标题 3 Char"/>
    <w:link w:val="4"/>
    <w:qFormat/>
    <w:uiPriority w:val="0"/>
    <w:rPr>
      <w:rFonts w:eastAsia="黑体"/>
      <w:b/>
    </w:rPr>
  </w:style>
  <w:style w:type="paragraph" w:customStyle="1" w:styleId="40">
    <w:name w:val="样式 样式 样式 正文文本缩进 + 首行缩进:  2 字符 + 图案: 15% (自动设置 前景 白色 背景) + 图案: 清除"/>
    <w:qFormat/>
    <w:uiPriority w:val="0"/>
    <w:pPr>
      <w:widowControl/>
      <w:tabs>
        <w:tab w:val="left" w:pos="1155"/>
        <w:tab w:val="center" w:pos="4153"/>
      </w:tabs>
      <w:spacing w:line="360" w:lineRule="auto"/>
      <w:ind w:firstLine="560" w:firstLineChars="200"/>
      <w:jc w:val="both"/>
    </w:pPr>
    <w:rPr>
      <w:rFonts w:ascii="Times New Roman" w:hAnsi="Times New Roman" w:eastAsia="宋体" w:cs="宋体"/>
      <w:color w:val="000000"/>
      <w:kern w:val="0"/>
      <w:sz w:val="28"/>
      <w:szCs w:val="28"/>
      <w:lang w:val="en-US" w:eastAsia="zh-CN" w:bidi="ar-SA"/>
    </w:rPr>
  </w:style>
  <w:style w:type="paragraph" w:customStyle="1" w:styleId="41">
    <w:name w:val="样式 标题 2"/>
    <w:basedOn w:val="3"/>
    <w:qFormat/>
    <w:uiPriority w:val="0"/>
    <w:pPr>
      <w:spacing w:before="50" w:after="50"/>
      <w:jc w:val="both"/>
    </w:pPr>
    <w:rPr>
      <w:szCs w:val="28"/>
    </w:rPr>
  </w:style>
  <w:style w:type="paragraph" w:customStyle="1" w:styleId="42">
    <w:name w:val="Table Paragraph"/>
    <w:basedOn w:val="1"/>
    <w:qFormat/>
    <w:uiPriority w:val="0"/>
  </w:style>
  <w:style w:type="character" w:customStyle="1" w:styleId="43">
    <w:name w:val="标题 2 Char1"/>
    <w:link w:val="3"/>
    <w:qFormat/>
    <w:uiPriority w:val="0"/>
    <w:rPr>
      <w:rFonts w:eastAsia="黑体"/>
      <w:b/>
      <w:sz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83</Pages>
  <Words>10335</Words>
  <Characters>13086</Characters>
  <Lines>0</Lines>
  <Paragraphs>0</Paragraphs>
  <TotalTime>17</TotalTime>
  <ScaleCrop>false</ScaleCrop>
  <LinksUpToDate>false</LinksUpToDate>
  <CharactersWithSpaces>14219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2023-03-13T03:26:00Z</dcterms:created>
  <dc:creator>Administrator</dc:creator>
  <cp:lastModifiedBy>爱哭的男孩</cp:lastModifiedBy>
  <cp:lastPrinted>2025-05-30T07:13:00Z</cp:lastPrinted>
  <dcterms:modified xsi:type="dcterms:W3CDTF">2026-05-18T01:44:14Z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B1C61FD6A7CB416B823A93B2F1477084</vt:lpwstr>
  </property>
  <property fmtid="{D5CDD505-2E9C-101B-9397-08002B2CF9AE}" pid="4" name="KSOTemplateDocerSaveRecord">
    <vt:lpwstr>eyJoZGlkIjoiZDI0Njk3ZWQ2ZmQyYmJiOTI3YmFiOTc3MjlkMjYxZmEiLCJ1c2VySWQiOiI0MDI5OTA3NDkifQ==</vt:lpwstr>
  </property>
</Properties>
</file>