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兴国石油分公司枫边加油站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eastAsia="宋体" w:cs="宋体"/>
          <w:b/>
          <w:bCs/>
          <w:color w:val="auto"/>
          <w:sz w:val="44"/>
          <w:szCs w:val="44"/>
        </w:rPr>
        <w:t>安全设施竣工</w:t>
      </w:r>
      <w:r>
        <w:rPr>
          <w:rFonts w:hint="eastAsia" w:ascii="宋体" w:hAnsi="宋体" w:cs="宋体"/>
          <w:b/>
          <w:bCs/>
          <w:color w:val="auto"/>
          <w:sz w:val="44"/>
          <w:szCs w:val="44"/>
        </w:rPr>
        <w:t>验收评价报告</w:t>
      </w:r>
    </w:p>
    <w:p w14:paraId="55B64135">
      <w:pPr>
        <w:pStyle w:val="33"/>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兴国石油分公司枫边加油站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李子丰</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周林玲</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周林玲</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5</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兴国石油分公司枫边加油站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5</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兴国石油分公司枫边加油站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5</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137B10B3">
      <w:pPr>
        <w:pStyle w:val="21"/>
        <w:spacing w:before="0" w:beforeLines="0" w:line="240" w:lineRule="auto"/>
        <w:outlineLvl w:val="9"/>
        <w:rPr>
          <w:rFonts w:ascii="宋体" w:hAnsi="宋体" w:eastAsia="宋体" w:cs="宋体"/>
          <w:color w:val="auto"/>
          <w:sz w:val="36"/>
          <w:szCs w:val="36"/>
        </w:rPr>
      </w:pPr>
    </w:p>
    <w:p w14:paraId="0B9E121A">
      <w:pPr>
        <w:pStyle w:val="21"/>
        <w:spacing w:before="0" w:beforeLines="0" w:line="240" w:lineRule="auto"/>
        <w:outlineLvl w:val="9"/>
        <w:rPr>
          <w:rFonts w:ascii="宋体" w:hAnsi="宋体" w:eastAsia="宋体" w:cs="宋体"/>
          <w:color w:val="auto"/>
          <w:sz w:val="36"/>
          <w:szCs w:val="36"/>
        </w:rPr>
      </w:pPr>
      <w:r>
        <w:rPr>
          <w:rFonts w:hint="eastAsia" w:ascii="宋体" w:hAnsi="宋体" w:eastAsia="宋体" w:cs="宋体"/>
          <w:color w:val="auto"/>
          <w:sz w:val="36"/>
          <w:szCs w:val="36"/>
        </w:rPr>
        <w:t>安全评价人员</w:t>
      </w:r>
    </w:p>
    <w:p w14:paraId="39AC3A29">
      <w:pPr>
        <w:pStyle w:val="21"/>
        <w:spacing w:before="0" w:beforeLines="0" w:line="240" w:lineRule="auto"/>
        <w:outlineLvl w:val="9"/>
        <w:rPr>
          <w:rFonts w:ascii="宋体" w:hAnsi="宋体" w:eastAsia="宋体" w:cs="宋体"/>
          <w:color w:val="auto"/>
          <w:sz w:val="36"/>
          <w:szCs w:val="36"/>
        </w:rPr>
      </w:pPr>
    </w:p>
    <w:p w14:paraId="5ECD4D4F">
      <w:pPr>
        <w:jc w:val="center"/>
        <w:rPr>
          <w:rFonts w:hint="eastAsia" w:eastAsia="黑体"/>
          <w:b/>
          <w:color w:val="auto"/>
          <w:sz w:val="32"/>
        </w:rPr>
      </w:pPr>
    </w:p>
    <w:p w14:paraId="50EEEDF3">
      <w:pPr>
        <w:jc w:val="center"/>
        <w:rPr>
          <w:rFonts w:eastAsia="黑体"/>
          <w:b/>
          <w:color w:val="auto"/>
          <w:sz w:val="32"/>
        </w:rPr>
      </w:pPr>
      <w:r>
        <w:rPr>
          <w:rFonts w:hint="eastAsia" w:eastAsia="黑体"/>
          <w:b/>
          <w:color w:val="auto"/>
          <w:sz w:val="32"/>
        </w:rPr>
        <w:t>参 与</w:t>
      </w:r>
      <w:r>
        <w:rPr>
          <w:rFonts w:eastAsia="黑体"/>
          <w:b/>
          <w:color w:val="auto"/>
          <w:sz w:val="32"/>
        </w:rPr>
        <w:t xml:space="preserve"> </w:t>
      </w:r>
      <w:r>
        <w:rPr>
          <w:rFonts w:hint="eastAsia" w:eastAsia="黑体"/>
          <w:b/>
          <w:color w:val="auto"/>
          <w:sz w:val="32"/>
        </w:rPr>
        <w:t>人</w:t>
      </w:r>
      <w:r>
        <w:rPr>
          <w:rFonts w:eastAsia="黑体"/>
          <w:b/>
          <w:color w:val="auto"/>
          <w:sz w:val="32"/>
        </w:rPr>
        <w:t xml:space="preserve"> </w:t>
      </w:r>
      <w:r>
        <w:rPr>
          <w:rFonts w:hint="eastAsia" w:eastAsia="黑体"/>
          <w:b/>
          <w:color w:val="auto"/>
          <w:sz w:val="32"/>
        </w:rPr>
        <w:t>员</w:t>
      </w:r>
    </w:p>
    <w:p w14:paraId="37C4BA3D">
      <w:pPr>
        <w:jc w:val="center"/>
        <w:rPr>
          <w:rFonts w:ascii="Times New Roman" w:hAnsi="Times New Roman" w:cs="Times New Roman"/>
          <w:b/>
          <w:bCs/>
          <w:color w:val="auto"/>
          <w:sz w:val="32"/>
          <w:szCs w:val="32"/>
        </w:rPr>
      </w:pPr>
      <w:r>
        <w:rPr>
          <w:rFonts w:eastAsia="黑体"/>
          <w:b/>
          <w:bCs/>
          <w:color w:val="auto"/>
          <w:sz w:val="32"/>
        </w:rPr>
        <w:br w:type="page"/>
      </w: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兴国石油分公司枫边加油站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兴国枫边加油站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07</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01</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江西省赣州市兴国县枫边乡枫边圩</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17</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(赣)3607321320230001</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兴国石油分公司枫边加油站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兴国枫边加油站</w:t>
      </w:r>
      <w:r>
        <w:rPr>
          <w:rFonts w:hint="eastAsia" w:ascii="Times New Roman" w:hAnsi="Times New Roman" w:cs="宋体"/>
          <w:color w:val="auto"/>
          <w:sz w:val="28"/>
          <w:szCs w:val="28"/>
        </w:rPr>
        <w:t>进行安全设施符合性诊断及整改设计验收。</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的大力支持，在此表示感谢。</w:t>
      </w:r>
    </w:p>
    <w:p w14:paraId="1B10328E">
      <w:pPr>
        <w:spacing w:line="600" w:lineRule="exact"/>
        <w:ind w:firstLine="560" w:firstLineChars="200"/>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需要特别说明的是，根据《江西省应急管理厅办公室关于规范危险化学品经营许可工作的通知》（赣应急办字〔2025〕58号），加油站应进行安全设计诊断并进行验收后方可延期换证</w:t>
      </w:r>
      <w:r>
        <w:rPr>
          <w:rFonts w:hint="eastAsia" w:ascii="Times New Roman" w:hAnsi="Times New Roman" w:cs="Times New Roman"/>
          <w:color w:val="auto"/>
          <w:sz w:val="28"/>
          <w:szCs w:val="28"/>
          <w:lang w:eastAsia="zh-CN"/>
        </w:rPr>
        <w:t>，经整改完成后，该加油站安全设施符合设计文件及竣工相关规范要求，已具备验收条件。</w:t>
      </w:r>
      <w:r>
        <w:rPr>
          <w:rFonts w:hint="eastAsia" w:ascii="Times New Roman" w:hAnsi="Times New Roman" w:cs="Times New Roman"/>
          <w:color w:val="auto"/>
          <w:sz w:val="28"/>
          <w:szCs w:val="28"/>
        </w:rPr>
        <w:t>因此中石化江西赣州</w:t>
      </w:r>
      <w:r>
        <w:rPr>
          <w:rFonts w:hint="eastAsia" w:ascii="Times New Roman" w:hAnsi="Times New Roman" w:cs="Times New Roman"/>
          <w:color w:val="auto"/>
          <w:sz w:val="28"/>
          <w:szCs w:val="28"/>
          <w:lang w:eastAsia="zh-CN"/>
        </w:rPr>
        <w:t>兴国石油分公司</w:t>
      </w:r>
      <w:r>
        <w:rPr>
          <w:rFonts w:hint="eastAsia" w:ascii="Times New Roman" w:hAnsi="Times New Roman" w:cs="Times New Roman"/>
          <w:color w:val="auto"/>
          <w:sz w:val="28"/>
          <w:szCs w:val="28"/>
        </w:rPr>
        <w:t>委托</w:t>
      </w:r>
      <w:r>
        <w:rPr>
          <w:rFonts w:hint="eastAsia" w:ascii="Times New Roman" w:hAnsi="Times New Roman" w:cs="Times New Roman"/>
          <w:color w:val="auto"/>
          <w:sz w:val="28"/>
          <w:szCs w:val="28"/>
          <w:lang w:eastAsia="zh-CN"/>
        </w:rPr>
        <w:t>江西赣安安全生产科学技术咨询服务中心</w:t>
      </w:r>
      <w:r>
        <w:rPr>
          <w:rFonts w:hint="eastAsia" w:ascii="Times New Roman" w:hAnsi="Times New Roman" w:cs="Times New Roman"/>
          <w:color w:val="auto"/>
          <w:sz w:val="28"/>
          <w:szCs w:val="28"/>
        </w:rPr>
        <w:t>对该加油站进行安全设施符合性诊断及整改设计验收。</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5</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106F7674">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_Toc32148 </w:instrText>
      </w:r>
      <w:r>
        <w:rPr>
          <w:rFonts w:ascii="Times New Roman" w:hAnsi="Times New Roman" w:cs="Times New Roman"/>
          <w:bCs/>
          <w:szCs w:val="24"/>
        </w:rPr>
        <w:fldChar w:fldCharType="separate"/>
      </w:r>
      <w:r>
        <w:rPr>
          <w:szCs w:val="32"/>
        </w:rPr>
        <w:t xml:space="preserve">1 </w:t>
      </w:r>
      <w:r>
        <w:rPr>
          <w:rFonts w:hint="eastAsia" w:cs="宋体"/>
          <w:szCs w:val="32"/>
        </w:rPr>
        <w:t>评价概述</w:t>
      </w:r>
      <w:r>
        <w:tab/>
      </w:r>
      <w:r>
        <w:fldChar w:fldCharType="begin"/>
      </w:r>
      <w:r>
        <w:instrText xml:space="preserve"> PAGEREF _Toc32148 \h </w:instrText>
      </w:r>
      <w:r>
        <w:fldChar w:fldCharType="separate"/>
      </w:r>
      <w:r>
        <w:t>1</w:t>
      </w:r>
      <w:r>
        <w:fldChar w:fldCharType="end"/>
      </w:r>
      <w:r>
        <w:rPr>
          <w:rFonts w:ascii="Times New Roman" w:hAnsi="Times New Roman" w:cs="Times New Roman"/>
          <w:bCs/>
          <w:color w:val="auto"/>
          <w:szCs w:val="24"/>
        </w:rPr>
        <w:fldChar w:fldCharType="end"/>
      </w:r>
    </w:p>
    <w:p w14:paraId="6E889AE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_Toc3953 </w:instrText>
      </w:r>
      <w:r>
        <w:rPr>
          <w:rFonts w:ascii="Times New Roman" w:hAnsi="Times New Roman" w:cs="Times New Roman"/>
          <w:bCs/>
          <w:szCs w:val="24"/>
        </w:rPr>
        <w:fldChar w:fldCharType="separate"/>
      </w:r>
      <w:r>
        <w:rPr>
          <w:szCs w:val="32"/>
        </w:rPr>
        <w:t>1.1</w:t>
      </w:r>
      <w:r>
        <w:rPr>
          <w:rFonts w:hint="eastAsia" w:cs="宋体"/>
          <w:szCs w:val="32"/>
        </w:rPr>
        <w:t>评价的目的和原则</w:t>
      </w:r>
      <w:r>
        <w:tab/>
      </w:r>
      <w:r>
        <w:fldChar w:fldCharType="begin"/>
      </w:r>
      <w:r>
        <w:instrText xml:space="preserve"> PAGEREF _Toc3953 \h </w:instrText>
      </w:r>
      <w:r>
        <w:fldChar w:fldCharType="separate"/>
      </w:r>
      <w:r>
        <w:t>1</w:t>
      </w:r>
      <w:r>
        <w:fldChar w:fldCharType="end"/>
      </w:r>
      <w:r>
        <w:rPr>
          <w:rFonts w:ascii="Times New Roman" w:hAnsi="Times New Roman" w:cs="Times New Roman"/>
          <w:bCs/>
          <w:color w:val="auto"/>
          <w:szCs w:val="24"/>
        </w:rPr>
        <w:fldChar w:fldCharType="end"/>
      </w:r>
    </w:p>
    <w:p w14:paraId="44D4C2B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_Toc4713 </w:instrText>
      </w:r>
      <w:r>
        <w:rPr>
          <w:rFonts w:ascii="Times New Roman" w:hAnsi="Times New Roman" w:cs="Times New Roman"/>
          <w:bCs/>
          <w:szCs w:val="24"/>
        </w:rPr>
        <w:fldChar w:fldCharType="separate"/>
      </w:r>
      <w:r>
        <w:t>1.2</w:t>
      </w:r>
      <w:r>
        <w:rPr>
          <w:rFonts w:hint="eastAsia" w:cs="宋体"/>
        </w:rPr>
        <w:t>评价依据</w:t>
      </w:r>
      <w:r>
        <w:tab/>
      </w:r>
      <w:r>
        <w:fldChar w:fldCharType="begin"/>
      </w:r>
      <w:r>
        <w:instrText xml:space="preserve"> PAGEREF _Toc4713 \h </w:instrText>
      </w:r>
      <w:r>
        <w:fldChar w:fldCharType="separate"/>
      </w:r>
      <w:r>
        <w:t>1</w:t>
      </w:r>
      <w:r>
        <w:fldChar w:fldCharType="end"/>
      </w:r>
      <w:r>
        <w:rPr>
          <w:rFonts w:ascii="Times New Roman" w:hAnsi="Times New Roman" w:cs="Times New Roman"/>
          <w:bCs/>
          <w:color w:val="auto"/>
          <w:szCs w:val="24"/>
        </w:rPr>
        <w:fldChar w:fldCharType="end"/>
      </w:r>
    </w:p>
    <w:p w14:paraId="7132C47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_Toc24838 </w:instrText>
      </w:r>
      <w:r>
        <w:rPr>
          <w:rFonts w:ascii="Times New Roman" w:hAnsi="Times New Roman" w:cs="Times New Roman"/>
          <w:bCs/>
          <w:szCs w:val="24"/>
        </w:rPr>
        <w:fldChar w:fldCharType="separate"/>
      </w:r>
      <w:r>
        <w:t>1.3</w:t>
      </w:r>
      <w:r>
        <w:rPr>
          <w:rFonts w:hint="eastAsia" w:cs="宋体"/>
        </w:rPr>
        <w:t>评价范围及内容</w:t>
      </w:r>
      <w:r>
        <w:tab/>
      </w:r>
      <w:r>
        <w:fldChar w:fldCharType="begin"/>
      </w:r>
      <w:r>
        <w:instrText xml:space="preserve"> PAGEREF _Toc24838 \h </w:instrText>
      </w:r>
      <w:r>
        <w:fldChar w:fldCharType="separate"/>
      </w:r>
      <w:r>
        <w:t>9</w:t>
      </w:r>
      <w:r>
        <w:fldChar w:fldCharType="end"/>
      </w:r>
      <w:r>
        <w:rPr>
          <w:rFonts w:ascii="Times New Roman" w:hAnsi="Times New Roman" w:cs="Times New Roman"/>
          <w:bCs/>
          <w:color w:val="auto"/>
          <w:szCs w:val="24"/>
        </w:rPr>
        <w:fldChar w:fldCharType="end"/>
      </w:r>
    </w:p>
    <w:p w14:paraId="41943F0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_Toc11027 </w:instrText>
      </w:r>
      <w:r>
        <w:rPr>
          <w:rFonts w:ascii="Times New Roman" w:hAnsi="Times New Roman" w:cs="Times New Roman"/>
          <w:bCs/>
          <w:szCs w:val="24"/>
        </w:rPr>
        <w:fldChar w:fldCharType="separate"/>
      </w:r>
      <w:r>
        <w:t>1.4</w:t>
      </w:r>
      <w:r>
        <w:rPr>
          <w:rFonts w:hint="eastAsia" w:cs="宋体"/>
        </w:rPr>
        <w:t>评价程序</w:t>
      </w:r>
      <w:r>
        <w:tab/>
      </w:r>
      <w:r>
        <w:fldChar w:fldCharType="begin"/>
      </w:r>
      <w:r>
        <w:instrText xml:space="preserve"> PAGEREF _Toc11027 \h </w:instrText>
      </w:r>
      <w:r>
        <w:fldChar w:fldCharType="separate"/>
      </w:r>
      <w:r>
        <w:t>10</w:t>
      </w:r>
      <w:r>
        <w:fldChar w:fldCharType="end"/>
      </w:r>
      <w:r>
        <w:rPr>
          <w:rFonts w:ascii="Times New Roman" w:hAnsi="Times New Roman" w:cs="Times New Roman"/>
          <w:bCs/>
          <w:color w:val="auto"/>
          <w:szCs w:val="24"/>
        </w:rPr>
        <w:fldChar w:fldCharType="end"/>
      </w:r>
    </w:p>
    <w:p w14:paraId="0EBA312D">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_Toc13809 </w:instrText>
      </w:r>
      <w:r>
        <w:rPr>
          <w:rFonts w:ascii="Times New Roman" w:hAnsi="Times New Roman" w:cs="Times New Roman"/>
          <w:bCs/>
          <w:szCs w:val="24"/>
        </w:rPr>
        <w:fldChar w:fldCharType="separate"/>
      </w:r>
      <w:r>
        <w:rPr>
          <w:rFonts w:hint="eastAsia" w:ascii="Times New Roman"/>
          <w:bCs/>
          <w:kern w:val="36"/>
          <w:szCs w:val="32"/>
        </w:rPr>
        <w:t>2 加油站概况</w:t>
      </w:r>
      <w:r>
        <w:tab/>
      </w:r>
      <w:r>
        <w:fldChar w:fldCharType="begin"/>
      </w:r>
      <w:r>
        <w:instrText xml:space="preserve"> PAGEREF _Toc13809 \h </w:instrText>
      </w:r>
      <w:r>
        <w:fldChar w:fldCharType="separate"/>
      </w:r>
      <w:r>
        <w:t>11</w:t>
      </w:r>
      <w:r>
        <w:fldChar w:fldCharType="end"/>
      </w:r>
      <w:r>
        <w:rPr>
          <w:rFonts w:ascii="Times New Roman" w:hAnsi="Times New Roman" w:cs="Times New Roman"/>
          <w:bCs/>
          <w:color w:val="auto"/>
          <w:szCs w:val="24"/>
        </w:rPr>
        <w:fldChar w:fldCharType="end"/>
      </w:r>
    </w:p>
    <w:p w14:paraId="5F4EDEE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_Toc31282 </w:instrText>
      </w:r>
      <w:r>
        <w:rPr>
          <w:rFonts w:ascii="Times New Roman" w:hAnsi="Times New Roman" w:cs="Times New Roman"/>
          <w:bCs/>
          <w:szCs w:val="24"/>
        </w:rPr>
        <w:fldChar w:fldCharType="separate"/>
      </w:r>
      <w:r>
        <w:t>2.1</w:t>
      </w:r>
      <w:r>
        <w:rPr>
          <w:rFonts w:hint="eastAsia" w:cs="宋体"/>
        </w:rPr>
        <w:t>建设项目基本情况</w:t>
      </w:r>
      <w:r>
        <w:tab/>
      </w:r>
      <w:r>
        <w:fldChar w:fldCharType="begin"/>
      </w:r>
      <w:r>
        <w:instrText xml:space="preserve"> PAGEREF _Toc31282 \h </w:instrText>
      </w:r>
      <w:r>
        <w:fldChar w:fldCharType="separate"/>
      </w:r>
      <w:r>
        <w:t>11</w:t>
      </w:r>
      <w:r>
        <w:fldChar w:fldCharType="end"/>
      </w:r>
      <w:r>
        <w:rPr>
          <w:rFonts w:ascii="Times New Roman" w:hAnsi="Times New Roman" w:cs="Times New Roman"/>
          <w:bCs/>
          <w:color w:val="auto"/>
          <w:szCs w:val="24"/>
        </w:rPr>
        <w:fldChar w:fldCharType="end"/>
      </w:r>
    </w:p>
    <w:p w14:paraId="62B3C27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_Toc24338 </w:instrText>
      </w:r>
      <w:r>
        <w:rPr>
          <w:rFonts w:ascii="Times New Roman" w:hAnsi="Times New Roman" w:cs="Times New Roman"/>
          <w:bCs/>
          <w:szCs w:val="24"/>
        </w:rPr>
        <w:fldChar w:fldCharType="separate"/>
      </w:r>
      <w:r>
        <w:t xml:space="preserve">2.2 </w:t>
      </w:r>
      <w:r>
        <w:rPr>
          <w:rFonts w:hint="eastAsia" w:cs="宋体"/>
        </w:rPr>
        <w:t>加油站概况</w:t>
      </w:r>
      <w:r>
        <w:tab/>
      </w:r>
      <w:r>
        <w:fldChar w:fldCharType="begin"/>
      </w:r>
      <w:r>
        <w:instrText xml:space="preserve"> PAGEREF _Toc24338 \h </w:instrText>
      </w:r>
      <w:r>
        <w:fldChar w:fldCharType="separate"/>
      </w:r>
      <w:r>
        <w:t>13</w:t>
      </w:r>
      <w:r>
        <w:fldChar w:fldCharType="end"/>
      </w:r>
      <w:r>
        <w:rPr>
          <w:rFonts w:ascii="Times New Roman" w:hAnsi="Times New Roman" w:cs="Times New Roman"/>
          <w:bCs/>
          <w:color w:val="auto"/>
          <w:szCs w:val="24"/>
        </w:rPr>
        <w:fldChar w:fldCharType="end"/>
      </w:r>
    </w:p>
    <w:p w14:paraId="625F1A5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_Toc15102 </w:instrText>
      </w:r>
      <w:r>
        <w:rPr>
          <w:rFonts w:ascii="Times New Roman" w:hAnsi="Times New Roman" w:cs="Times New Roman"/>
          <w:bCs/>
          <w:szCs w:val="24"/>
        </w:rPr>
        <w:fldChar w:fldCharType="separate"/>
      </w:r>
      <w:r>
        <w:t>2.3</w:t>
      </w:r>
      <w:r>
        <w:rPr>
          <w:rFonts w:hint="eastAsia" w:cs="宋体"/>
        </w:rPr>
        <w:t>主要设备、建筑物及工艺：</w:t>
      </w:r>
      <w:r>
        <w:tab/>
      </w:r>
      <w:r>
        <w:fldChar w:fldCharType="begin"/>
      </w:r>
      <w:r>
        <w:instrText xml:space="preserve"> PAGEREF _Toc15102 \h </w:instrText>
      </w:r>
      <w:r>
        <w:fldChar w:fldCharType="separate"/>
      </w:r>
      <w:r>
        <w:t>16</w:t>
      </w:r>
      <w:r>
        <w:fldChar w:fldCharType="end"/>
      </w:r>
      <w:r>
        <w:rPr>
          <w:rFonts w:ascii="Times New Roman" w:hAnsi="Times New Roman" w:cs="Times New Roman"/>
          <w:bCs/>
          <w:color w:val="auto"/>
          <w:szCs w:val="24"/>
        </w:rPr>
        <w:fldChar w:fldCharType="end"/>
      </w:r>
    </w:p>
    <w:p w14:paraId="1254F81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_Toc26946 </w:instrText>
      </w:r>
      <w:r>
        <w:rPr>
          <w:rFonts w:ascii="Times New Roman" w:hAnsi="Times New Roman" w:cs="Times New Roman"/>
          <w:bCs/>
          <w:szCs w:val="24"/>
        </w:rPr>
        <w:fldChar w:fldCharType="separate"/>
      </w:r>
      <w:r>
        <w:rPr>
          <w:rFonts w:ascii="Times New Roman" w:hAnsi="Times New Roman" w:cs="Times New Roman"/>
          <w:bCs/>
          <w:szCs w:val="28"/>
        </w:rPr>
        <w:t xml:space="preserve">2.4 </w:t>
      </w:r>
      <w:r>
        <w:rPr>
          <w:rFonts w:hint="eastAsia" w:ascii="Times New Roman" w:hAnsi="Times New Roman" w:cs="宋体"/>
          <w:bCs/>
          <w:szCs w:val="28"/>
        </w:rPr>
        <w:t>辅助设施</w:t>
      </w:r>
      <w:r>
        <w:tab/>
      </w:r>
      <w:r>
        <w:fldChar w:fldCharType="begin"/>
      </w:r>
      <w:r>
        <w:instrText xml:space="preserve"> PAGEREF _Toc26946 \h </w:instrText>
      </w:r>
      <w:r>
        <w:fldChar w:fldCharType="separate"/>
      </w:r>
      <w:r>
        <w:t>18</w:t>
      </w:r>
      <w:r>
        <w:fldChar w:fldCharType="end"/>
      </w:r>
      <w:r>
        <w:rPr>
          <w:rFonts w:ascii="Times New Roman" w:hAnsi="Times New Roman" w:cs="Times New Roman"/>
          <w:bCs/>
          <w:color w:val="auto"/>
          <w:szCs w:val="24"/>
        </w:rPr>
        <w:fldChar w:fldCharType="end"/>
      </w:r>
    </w:p>
    <w:p w14:paraId="13C0628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_Toc13128 </w:instrText>
      </w:r>
      <w:r>
        <w:rPr>
          <w:rFonts w:ascii="Times New Roman" w:hAnsi="Times New Roman" w:cs="Times New Roman"/>
          <w:bCs/>
          <w:szCs w:val="24"/>
        </w:rPr>
        <w:fldChar w:fldCharType="separate"/>
      </w:r>
      <w:r>
        <w:rPr>
          <w:rFonts w:ascii="Times New Roman" w:hAnsi="Times New Roman" w:cs="Times New Roman"/>
          <w:bCs/>
          <w:szCs w:val="28"/>
        </w:rPr>
        <w:t xml:space="preserve">2.5 </w:t>
      </w:r>
      <w:r>
        <w:rPr>
          <w:rFonts w:hint="eastAsia" w:ascii="Times New Roman" w:hAnsi="Times New Roman" w:cs="宋体"/>
          <w:bCs/>
          <w:szCs w:val="28"/>
        </w:rPr>
        <w:t>消防、安全设施</w:t>
      </w:r>
      <w:r>
        <w:tab/>
      </w:r>
      <w:r>
        <w:fldChar w:fldCharType="begin"/>
      </w:r>
      <w:r>
        <w:instrText xml:space="preserve"> PAGEREF _Toc13128 \h </w:instrText>
      </w:r>
      <w:r>
        <w:fldChar w:fldCharType="separate"/>
      </w:r>
      <w:r>
        <w:t>20</w:t>
      </w:r>
      <w:r>
        <w:fldChar w:fldCharType="end"/>
      </w:r>
      <w:r>
        <w:rPr>
          <w:rFonts w:ascii="Times New Roman" w:hAnsi="Times New Roman" w:cs="Times New Roman"/>
          <w:bCs/>
          <w:color w:val="auto"/>
          <w:szCs w:val="24"/>
        </w:rPr>
        <w:fldChar w:fldCharType="end"/>
      </w:r>
    </w:p>
    <w:p w14:paraId="423CD643">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_Toc17905 </w:instrText>
      </w:r>
      <w:r>
        <w:rPr>
          <w:rFonts w:ascii="Times New Roman" w:hAnsi="Times New Roman" w:cs="Times New Roman"/>
          <w:bCs/>
          <w:szCs w:val="24"/>
        </w:rPr>
        <w:fldChar w:fldCharType="separate"/>
      </w:r>
      <w:r>
        <w:rPr>
          <w:rFonts w:ascii="Times New Roman" w:hAnsi="Times New Roman" w:cs="Times New Roman"/>
          <w:bCs/>
          <w:kern w:val="36"/>
          <w:szCs w:val="32"/>
        </w:rPr>
        <w:t xml:space="preserve">3 </w:t>
      </w:r>
      <w:r>
        <w:rPr>
          <w:rFonts w:hint="eastAsia" w:ascii="Times New Roman" w:hAnsi="Times New Roman" w:cs="宋体"/>
          <w:bCs/>
          <w:kern w:val="36"/>
          <w:szCs w:val="32"/>
        </w:rPr>
        <w:t>主要危险、有害因素分析</w:t>
      </w:r>
      <w:r>
        <w:tab/>
      </w:r>
      <w:r>
        <w:fldChar w:fldCharType="begin"/>
      </w:r>
      <w:r>
        <w:instrText xml:space="preserve"> PAGEREF _Toc17905 \h </w:instrText>
      </w:r>
      <w:r>
        <w:fldChar w:fldCharType="separate"/>
      </w:r>
      <w:r>
        <w:t>24</w:t>
      </w:r>
      <w:r>
        <w:fldChar w:fldCharType="end"/>
      </w:r>
      <w:r>
        <w:rPr>
          <w:rFonts w:ascii="Times New Roman" w:hAnsi="Times New Roman" w:cs="Times New Roman"/>
          <w:bCs/>
          <w:color w:val="auto"/>
          <w:szCs w:val="24"/>
        </w:rPr>
        <w:fldChar w:fldCharType="end"/>
      </w:r>
    </w:p>
    <w:p w14:paraId="68D0F29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_Toc11834 </w:instrText>
      </w:r>
      <w:r>
        <w:rPr>
          <w:rFonts w:ascii="Times New Roman" w:hAnsi="Times New Roman" w:cs="Times New Roman"/>
          <w:bCs/>
          <w:szCs w:val="24"/>
        </w:rPr>
        <w:fldChar w:fldCharType="separate"/>
      </w:r>
      <w:r>
        <w:rPr>
          <w:rFonts w:ascii="Times New Roman" w:hAnsi="Times New Roman" w:cs="Times New Roman"/>
          <w:bCs/>
          <w:szCs w:val="28"/>
        </w:rPr>
        <w:t xml:space="preserve">3.1 </w:t>
      </w:r>
      <w:r>
        <w:rPr>
          <w:rFonts w:hint="eastAsia" w:ascii="Times New Roman" w:hAnsi="Times New Roman" w:cs="宋体"/>
          <w:bCs/>
          <w:szCs w:val="28"/>
        </w:rPr>
        <w:t>物料的危险、有害因素分析</w:t>
      </w:r>
      <w:r>
        <w:tab/>
      </w:r>
      <w:r>
        <w:fldChar w:fldCharType="begin"/>
      </w:r>
      <w:r>
        <w:instrText xml:space="preserve"> PAGEREF _Toc11834 \h </w:instrText>
      </w:r>
      <w:r>
        <w:fldChar w:fldCharType="separate"/>
      </w:r>
      <w:r>
        <w:t>24</w:t>
      </w:r>
      <w:r>
        <w:fldChar w:fldCharType="end"/>
      </w:r>
      <w:r>
        <w:rPr>
          <w:rFonts w:ascii="Times New Roman" w:hAnsi="Times New Roman" w:cs="Times New Roman"/>
          <w:bCs/>
          <w:color w:val="auto"/>
          <w:szCs w:val="24"/>
        </w:rPr>
        <w:fldChar w:fldCharType="end"/>
      </w:r>
    </w:p>
    <w:p w14:paraId="2F0A151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_Toc32071 </w:instrText>
      </w:r>
      <w:r>
        <w:rPr>
          <w:rFonts w:ascii="Times New Roman" w:hAnsi="Times New Roman" w:cs="Times New Roman"/>
          <w:bCs/>
          <w:szCs w:val="24"/>
        </w:rPr>
        <w:fldChar w:fldCharType="separate"/>
      </w:r>
      <w:r>
        <w:t>3.2</w:t>
      </w:r>
      <w:r>
        <w:rPr>
          <w:rFonts w:hint="eastAsia" w:cs="宋体"/>
        </w:rPr>
        <w:t>危险化学品及危险工艺辨识</w:t>
      </w:r>
      <w:r>
        <w:tab/>
      </w:r>
      <w:r>
        <w:fldChar w:fldCharType="begin"/>
      </w:r>
      <w:r>
        <w:instrText xml:space="preserve"> PAGEREF _Toc32071 \h </w:instrText>
      </w:r>
      <w:r>
        <w:fldChar w:fldCharType="separate"/>
      </w:r>
      <w:r>
        <w:t>27</w:t>
      </w:r>
      <w:r>
        <w:fldChar w:fldCharType="end"/>
      </w:r>
      <w:r>
        <w:rPr>
          <w:rFonts w:ascii="Times New Roman" w:hAnsi="Times New Roman" w:cs="Times New Roman"/>
          <w:bCs/>
          <w:color w:val="auto"/>
          <w:szCs w:val="24"/>
        </w:rPr>
        <w:fldChar w:fldCharType="end"/>
      </w:r>
    </w:p>
    <w:p w14:paraId="756F72A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_Toc32340 </w:instrText>
      </w:r>
      <w:r>
        <w:rPr>
          <w:rFonts w:ascii="Times New Roman" w:hAnsi="Times New Roman" w:cs="Times New Roman"/>
          <w:bCs/>
          <w:szCs w:val="24"/>
        </w:rPr>
        <w:fldChar w:fldCharType="separate"/>
      </w:r>
      <w:r>
        <w:rPr>
          <w:rFonts w:ascii="Times New Roman" w:hAnsi="Times New Roman" w:cs="Times New Roman"/>
          <w:bCs/>
          <w:szCs w:val="28"/>
        </w:rPr>
        <w:t xml:space="preserve">3.3 </w:t>
      </w:r>
      <w:r>
        <w:rPr>
          <w:rFonts w:hint="eastAsia" w:ascii="Times New Roman" w:hAnsi="Times New Roman" w:cs="宋体"/>
          <w:bCs/>
          <w:szCs w:val="28"/>
        </w:rPr>
        <w:t>重大危险源辨识</w:t>
      </w:r>
      <w:r>
        <w:tab/>
      </w:r>
      <w:r>
        <w:fldChar w:fldCharType="begin"/>
      </w:r>
      <w:r>
        <w:instrText xml:space="preserve"> PAGEREF _Toc32340 \h </w:instrText>
      </w:r>
      <w:r>
        <w:fldChar w:fldCharType="separate"/>
      </w:r>
      <w:r>
        <w:t>28</w:t>
      </w:r>
      <w:r>
        <w:fldChar w:fldCharType="end"/>
      </w:r>
      <w:r>
        <w:rPr>
          <w:rFonts w:ascii="Times New Roman" w:hAnsi="Times New Roman" w:cs="Times New Roman"/>
          <w:bCs/>
          <w:color w:val="auto"/>
          <w:szCs w:val="24"/>
        </w:rPr>
        <w:fldChar w:fldCharType="end"/>
      </w:r>
    </w:p>
    <w:p w14:paraId="6177358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_Toc24252 </w:instrText>
      </w:r>
      <w:r>
        <w:rPr>
          <w:rFonts w:ascii="Times New Roman" w:hAnsi="Times New Roman" w:cs="Times New Roman"/>
          <w:bCs/>
          <w:szCs w:val="24"/>
        </w:rPr>
        <w:fldChar w:fldCharType="separate"/>
      </w:r>
      <w:r>
        <w:rPr>
          <w:rFonts w:ascii="Times New Roman" w:hAnsi="Times New Roman" w:cs="Times New Roman"/>
          <w:bCs/>
          <w:szCs w:val="28"/>
        </w:rPr>
        <w:t>3.4</w:t>
      </w:r>
      <w:r>
        <w:rPr>
          <w:rFonts w:hint="eastAsia" w:ascii="Times New Roman" w:hAnsi="Times New Roman" w:cs="宋体"/>
          <w:bCs/>
          <w:szCs w:val="28"/>
        </w:rPr>
        <w:t>加油站主要危险因素分析</w:t>
      </w:r>
      <w:r>
        <w:tab/>
      </w:r>
      <w:r>
        <w:fldChar w:fldCharType="begin"/>
      </w:r>
      <w:r>
        <w:instrText xml:space="preserve"> PAGEREF _Toc24252 \h </w:instrText>
      </w:r>
      <w:r>
        <w:fldChar w:fldCharType="separate"/>
      </w:r>
      <w:r>
        <w:t>30</w:t>
      </w:r>
      <w:r>
        <w:fldChar w:fldCharType="end"/>
      </w:r>
      <w:r>
        <w:rPr>
          <w:rFonts w:ascii="Times New Roman" w:hAnsi="Times New Roman" w:cs="Times New Roman"/>
          <w:bCs/>
          <w:color w:val="auto"/>
          <w:szCs w:val="24"/>
        </w:rPr>
        <w:fldChar w:fldCharType="end"/>
      </w:r>
    </w:p>
    <w:p w14:paraId="02AFF00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_Toc18505 </w:instrText>
      </w:r>
      <w:r>
        <w:rPr>
          <w:rFonts w:ascii="Times New Roman" w:hAnsi="Times New Roman" w:cs="Times New Roman"/>
          <w:bCs/>
          <w:szCs w:val="24"/>
        </w:rPr>
        <w:fldChar w:fldCharType="separate"/>
      </w:r>
      <w:r>
        <w:rPr>
          <w:rFonts w:ascii="Times New Roman" w:hAnsi="Times New Roman" w:cs="Times New Roman"/>
          <w:bCs/>
          <w:szCs w:val="28"/>
        </w:rPr>
        <w:t>3.5</w:t>
      </w:r>
      <w:r>
        <w:rPr>
          <w:rFonts w:hint="eastAsia" w:ascii="Times New Roman" w:hAnsi="Times New Roman" w:cs="宋体"/>
          <w:bCs/>
          <w:szCs w:val="28"/>
        </w:rPr>
        <w:t>经营过程中的危险辨识</w:t>
      </w:r>
      <w:r>
        <w:tab/>
      </w:r>
      <w:r>
        <w:fldChar w:fldCharType="begin"/>
      </w:r>
      <w:r>
        <w:instrText xml:space="preserve"> PAGEREF _Toc18505 \h </w:instrText>
      </w:r>
      <w:r>
        <w:fldChar w:fldCharType="separate"/>
      </w:r>
      <w:r>
        <w:t>33</w:t>
      </w:r>
      <w:r>
        <w:fldChar w:fldCharType="end"/>
      </w:r>
      <w:r>
        <w:rPr>
          <w:rFonts w:ascii="Times New Roman" w:hAnsi="Times New Roman" w:cs="Times New Roman"/>
          <w:bCs/>
          <w:color w:val="auto"/>
          <w:szCs w:val="24"/>
        </w:rPr>
        <w:fldChar w:fldCharType="end"/>
      </w:r>
    </w:p>
    <w:p w14:paraId="579AD5B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_Toc2821 </w:instrText>
      </w:r>
      <w:r>
        <w:rPr>
          <w:rFonts w:ascii="Times New Roman" w:hAnsi="Times New Roman" w:cs="Times New Roman"/>
          <w:bCs/>
          <w:szCs w:val="24"/>
        </w:rPr>
        <w:fldChar w:fldCharType="separate"/>
      </w:r>
      <w:r>
        <w:rPr>
          <w:rFonts w:ascii="Times New Roman" w:hAnsi="Times New Roman" w:cs="Times New Roman"/>
          <w:bCs/>
          <w:szCs w:val="28"/>
        </w:rPr>
        <w:t>3.6</w:t>
      </w:r>
      <w:r>
        <w:rPr>
          <w:rFonts w:hint="eastAsia" w:ascii="Times New Roman" w:hAnsi="Times New Roman" w:cs="宋体"/>
          <w:bCs/>
          <w:szCs w:val="28"/>
        </w:rPr>
        <w:t>环境、自然危害因素分析</w:t>
      </w:r>
      <w:r>
        <w:tab/>
      </w:r>
      <w:r>
        <w:fldChar w:fldCharType="begin"/>
      </w:r>
      <w:r>
        <w:instrText xml:space="preserve"> PAGEREF _Toc2821 \h </w:instrText>
      </w:r>
      <w:r>
        <w:fldChar w:fldCharType="separate"/>
      </w:r>
      <w:r>
        <w:t>40</w:t>
      </w:r>
      <w:r>
        <w:fldChar w:fldCharType="end"/>
      </w:r>
      <w:r>
        <w:rPr>
          <w:rFonts w:ascii="Times New Roman" w:hAnsi="Times New Roman" w:cs="Times New Roman"/>
          <w:bCs/>
          <w:color w:val="auto"/>
          <w:szCs w:val="24"/>
        </w:rPr>
        <w:fldChar w:fldCharType="end"/>
      </w:r>
    </w:p>
    <w:p w14:paraId="6DEA625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_Toc9623 </w:instrText>
      </w:r>
      <w:r>
        <w:rPr>
          <w:rFonts w:ascii="Times New Roman" w:hAnsi="Times New Roman" w:cs="Times New Roman"/>
          <w:bCs/>
          <w:szCs w:val="24"/>
        </w:rPr>
        <w:fldChar w:fldCharType="separate"/>
      </w:r>
      <w:r>
        <w:rPr>
          <w:rFonts w:ascii="Times New Roman" w:hAnsi="Times New Roman" w:cs="Times New Roman"/>
          <w:bCs/>
          <w:szCs w:val="28"/>
        </w:rPr>
        <w:t>3.7</w:t>
      </w:r>
      <w:r>
        <w:rPr>
          <w:rFonts w:hint="eastAsia" w:ascii="Times New Roman" w:hAnsi="Times New Roman" w:cs="宋体"/>
          <w:bCs/>
          <w:szCs w:val="28"/>
        </w:rPr>
        <w:t>有害因素分析</w:t>
      </w:r>
      <w:r>
        <w:tab/>
      </w:r>
      <w:r>
        <w:fldChar w:fldCharType="begin"/>
      </w:r>
      <w:r>
        <w:instrText xml:space="preserve"> PAGEREF _Toc9623 \h </w:instrText>
      </w:r>
      <w:r>
        <w:fldChar w:fldCharType="separate"/>
      </w:r>
      <w:r>
        <w:t>41</w:t>
      </w:r>
      <w:r>
        <w:fldChar w:fldCharType="end"/>
      </w:r>
      <w:r>
        <w:rPr>
          <w:rFonts w:ascii="Times New Roman" w:hAnsi="Times New Roman" w:cs="Times New Roman"/>
          <w:bCs/>
          <w:color w:val="auto"/>
          <w:szCs w:val="24"/>
        </w:rPr>
        <w:fldChar w:fldCharType="end"/>
      </w:r>
    </w:p>
    <w:p w14:paraId="202D32E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_Toc19137 </w:instrText>
      </w:r>
      <w:r>
        <w:rPr>
          <w:rFonts w:ascii="Times New Roman" w:hAnsi="Times New Roman" w:cs="Times New Roman"/>
          <w:bCs/>
          <w:szCs w:val="24"/>
        </w:rPr>
        <w:fldChar w:fldCharType="separate"/>
      </w:r>
      <w:r>
        <w:rPr>
          <w:rFonts w:ascii="Times New Roman" w:hAnsi="Times New Roman" w:cs="Times New Roman"/>
          <w:bCs/>
          <w:szCs w:val="28"/>
        </w:rPr>
        <w:t>3.8</w:t>
      </w:r>
      <w:r>
        <w:rPr>
          <w:rFonts w:hint="eastAsia" w:ascii="Times New Roman" w:hAnsi="Times New Roman" w:cs="宋体"/>
          <w:bCs/>
          <w:szCs w:val="28"/>
        </w:rPr>
        <w:t>危险和有害因素分析总结</w:t>
      </w:r>
      <w:r>
        <w:tab/>
      </w:r>
      <w:r>
        <w:fldChar w:fldCharType="begin"/>
      </w:r>
      <w:r>
        <w:instrText xml:space="preserve"> PAGEREF _Toc19137 \h </w:instrText>
      </w:r>
      <w:r>
        <w:fldChar w:fldCharType="separate"/>
      </w:r>
      <w:r>
        <w:t>41</w:t>
      </w:r>
      <w:r>
        <w:fldChar w:fldCharType="end"/>
      </w:r>
      <w:r>
        <w:rPr>
          <w:rFonts w:ascii="Times New Roman" w:hAnsi="Times New Roman" w:cs="Times New Roman"/>
          <w:bCs/>
          <w:color w:val="auto"/>
          <w:szCs w:val="24"/>
        </w:rPr>
        <w:fldChar w:fldCharType="end"/>
      </w:r>
    </w:p>
    <w:p w14:paraId="71FB86EC">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_Toc25875 </w:instrText>
      </w:r>
      <w:r>
        <w:rPr>
          <w:rFonts w:ascii="Times New Roman" w:hAnsi="Times New Roman" w:cs="Times New Roman"/>
          <w:bCs/>
          <w:szCs w:val="24"/>
        </w:rPr>
        <w:fldChar w:fldCharType="separate"/>
      </w:r>
      <w:r>
        <w:rPr>
          <w:rFonts w:ascii="Times New Roman" w:hAnsi="Times New Roman" w:cs="Times New Roman"/>
          <w:bCs/>
          <w:szCs w:val="28"/>
        </w:rPr>
        <w:t>3.9</w:t>
      </w:r>
      <w:r>
        <w:rPr>
          <w:rFonts w:hint="eastAsia" w:ascii="Times New Roman" w:hAnsi="Times New Roman" w:cs="宋体"/>
          <w:bCs/>
          <w:szCs w:val="28"/>
        </w:rPr>
        <w:t>爆炸危险区域划分</w:t>
      </w:r>
      <w:r>
        <w:tab/>
      </w:r>
      <w:r>
        <w:fldChar w:fldCharType="begin"/>
      </w:r>
      <w:r>
        <w:instrText xml:space="preserve"> PAGEREF _Toc25875 \h </w:instrText>
      </w:r>
      <w:r>
        <w:fldChar w:fldCharType="separate"/>
      </w:r>
      <w:r>
        <w:t>42</w:t>
      </w:r>
      <w:r>
        <w:fldChar w:fldCharType="end"/>
      </w:r>
      <w:r>
        <w:rPr>
          <w:rFonts w:ascii="Times New Roman" w:hAnsi="Times New Roman" w:cs="Times New Roman"/>
          <w:bCs/>
          <w:color w:val="auto"/>
          <w:szCs w:val="24"/>
        </w:rPr>
        <w:fldChar w:fldCharType="end"/>
      </w:r>
    </w:p>
    <w:p w14:paraId="7CBEF8E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_Toc32599 </w:instrText>
      </w:r>
      <w:r>
        <w:rPr>
          <w:rFonts w:ascii="Times New Roman" w:hAnsi="Times New Roman" w:cs="Times New Roman"/>
          <w:bCs/>
          <w:szCs w:val="24"/>
        </w:rPr>
        <w:fldChar w:fldCharType="separate"/>
      </w:r>
      <w:r>
        <w:rPr>
          <w:rFonts w:ascii="Times New Roman" w:hAnsi="Times New Roman" w:cs="Times New Roman"/>
          <w:bCs/>
          <w:szCs w:val="28"/>
        </w:rPr>
        <w:t xml:space="preserve">3.10 </w:t>
      </w:r>
      <w:r>
        <w:rPr>
          <w:rFonts w:hint="eastAsia" w:ascii="Times New Roman" w:hAnsi="Times New Roman" w:cs="宋体"/>
          <w:bCs/>
          <w:szCs w:val="28"/>
        </w:rPr>
        <w:t>典型事故案例</w:t>
      </w:r>
      <w:r>
        <w:tab/>
      </w:r>
      <w:r>
        <w:fldChar w:fldCharType="begin"/>
      </w:r>
      <w:r>
        <w:instrText xml:space="preserve"> PAGEREF _Toc32599 \h </w:instrText>
      </w:r>
      <w:r>
        <w:fldChar w:fldCharType="separate"/>
      </w:r>
      <w:r>
        <w:t>43</w:t>
      </w:r>
      <w:r>
        <w:fldChar w:fldCharType="end"/>
      </w:r>
      <w:r>
        <w:rPr>
          <w:rFonts w:ascii="Times New Roman" w:hAnsi="Times New Roman" w:cs="Times New Roman"/>
          <w:bCs/>
          <w:color w:val="auto"/>
          <w:szCs w:val="24"/>
        </w:rPr>
        <w:fldChar w:fldCharType="end"/>
      </w:r>
    </w:p>
    <w:p w14:paraId="42162C17">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_Toc8397 </w:instrText>
      </w:r>
      <w:r>
        <w:rPr>
          <w:rFonts w:ascii="Times New Roman" w:hAnsi="Times New Roman" w:cs="Times New Roman"/>
          <w:bCs/>
          <w:szCs w:val="24"/>
        </w:rPr>
        <w:fldChar w:fldCharType="separate"/>
      </w:r>
      <w:r>
        <w:rPr>
          <w:rFonts w:ascii="宋体" w:hAnsi="宋体"/>
          <w:szCs w:val="32"/>
        </w:rPr>
        <w:t xml:space="preserve">4 </w:t>
      </w:r>
      <w:r>
        <w:rPr>
          <w:rFonts w:hint="eastAsia" w:ascii="宋体" w:hAnsi="宋体"/>
          <w:szCs w:val="32"/>
        </w:rPr>
        <w:t>评价单元划分和评价方法选择</w:t>
      </w:r>
      <w:r>
        <w:tab/>
      </w:r>
      <w:r>
        <w:fldChar w:fldCharType="begin"/>
      </w:r>
      <w:r>
        <w:instrText xml:space="preserve"> PAGEREF _Toc8397 \h </w:instrText>
      </w:r>
      <w:r>
        <w:fldChar w:fldCharType="separate"/>
      </w:r>
      <w:r>
        <w:t>45</w:t>
      </w:r>
      <w:r>
        <w:fldChar w:fldCharType="end"/>
      </w:r>
      <w:r>
        <w:rPr>
          <w:rFonts w:ascii="Times New Roman" w:hAnsi="Times New Roman" w:cs="Times New Roman"/>
          <w:bCs/>
          <w:color w:val="auto"/>
          <w:szCs w:val="24"/>
        </w:rPr>
        <w:fldChar w:fldCharType="end"/>
      </w:r>
    </w:p>
    <w:p w14:paraId="6C0DF1D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_Toc10199 </w:instrText>
      </w:r>
      <w:r>
        <w:rPr>
          <w:rFonts w:ascii="Times New Roman" w:hAnsi="Times New Roman" w:cs="Times New Roman"/>
          <w:bCs/>
          <w:szCs w:val="24"/>
        </w:rPr>
        <w:fldChar w:fldCharType="separate"/>
      </w:r>
      <w:r>
        <w:rPr>
          <w:rFonts w:ascii="宋体" w:hAnsi="宋体"/>
          <w:szCs w:val="30"/>
        </w:rPr>
        <w:t xml:space="preserve">4.1 </w:t>
      </w:r>
      <w:r>
        <w:rPr>
          <w:rFonts w:hint="eastAsia" w:ascii="宋体" w:hAnsi="宋体"/>
          <w:szCs w:val="30"/>
        </w:rPr>
        <w:t>评价单元的划分和评价方法选择</w:t>
      </w:r>
      <w:r>
        <w:tab/>
      </w:r>
      <w:r>
        <w:fldChar w:fldCharType="begin"/>
      </w:r>
      <w:r>
        <w:instrText xml:space="preserve"> PAGEREF _Toc10199 \h </w:instrText>
      </w:r>
      <w:r>
        <w:fldChar w:fldCharType="separate"/>
      </w:r>
      <w:r>
        <w:t>45</w:t>
      </w:r>
      <w:r>
        <w:fldChar w:fldCharType="end"/>
      </w:r>
      <w:r>
        <w:rPr>
          <w:rFonts w:ascii="Times New Roman" w:hAnsi="Times New Roman" w:cs="Times New Roman"/>
          <w:bCs/>
          <w:color w:val="auto"/>
          <w:szCs w:val="24"/>
        </w:rPr>
        <w:fldChar w:fldCharType="end"/>
      </w:r>
    </w:p>
    <w:p w14:paraId="1BA7F4A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_Toc23527 </w:instrText>
      </w:r>
      <w:r>
        <w:rPr>
          <w:rFonts w:ascii="Times New Roman" w:hAnsi="Times New Roman" w:cs="Times New Roman"/>
          <w:bCs/>
          <w:szCs w:val="24"/>
        </w:rPr>
        <w:fldChar w:fldCharType="separate"/>
      </w:r>
      <w:r>
        <w:rPr>
          <w:rFonts w:ascii="宋体" w:hAnsi="宋体"/>
          <w:szCs w:val="30"/>
        </w:rPr>
        <w:t>4.</w:t>
      </w:r>
      <w:r>
        <w:rPr>
          <w:rFonts w:hint="eastAsia" w:ascii="宋体" w:hAnsi="宋体"/>
          <w:szCs w:val="30"/>
        </w:rPr>
        <w:t>2 评价方法简介</w:t>
      </w:r>
      <w:r>
        <w:tab/>
      </w:r>
      <w:r>
        <w:fldChar w:fldCharType="begin"/>
      </w:r>
      <w:r>
        <w:instrText xml:space="preserve"> PAGEREF _Toc23527 \h </w:instrText>
      </w:r>
      <w:r>
        <w:fldChar w:fldCharType="separate"/>
      </w:r>
      <w:r>
        <w:t>45</w:t>
      </w:r>
      <w:r>
        <w:fldChar w:fldCharType="end"/>
      </w:r>
      <w:r>
        <w:rPr>
          <w:rFonts w:ascii="Times New Roman" w:hAnsi="Times New Roman" w:cs="Times New Roman"/>
          <w:bCs/>
          <w:color w:val="auto"/>
          <w:szCs w:val="24"/>
        </w:rPr>
        <w:fldChar w:fldCharType="end"/>
      </w:r>
    </w:p>
    <w:p w14:paraId="427B47C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_Toc483 </w:instrText>
      </w:r>
      <w:r>
        <w:rPr>
          <w:rFonts w:ascii="Times New Roman" w:hAnsi="Times New Roman" w:cs="Times New Roman"/>
          <w:bCs/>
          <w:szCs w:val="24"/>
        </w:rPr>
        <w:fldChar w:fldCharType="separate"/>
      </w:r>
      <w:r>
        <w:rPr>
          <w:rFonts w:ascii="宋体" w:hAnsi="宋体"/>
          <w:szCs w:val="32"/>
        </w:rPr>
        <w:t xml:space="preserve">5 </w:t>
      </w:r>
      <w:r>
        <w:rPr>
          <w:rFonts w:hint="eastAsia" w:ascii="宋体" w:hAnsi="宋体"/>
          <w:szCs w:val="32"/>
        </w:rPr>
        <w:t>定性、定量评价</w:t>
      </w:r>
      <w:r>
        <w:tab/>
      </w:r>
      <w:r>
        <w:fldChar w:fldCharType="begin"/>
      </w:r>
      <w:r>
        <w:instrText xml:space="preserve"> PAGEREF _Toc483 \h </w:instrText>
      </w:r>
      <w:r>
        <w:fldChar w:fldCharType="separate"/>
      </w:r>
      <w:r>
        <w:t>50</w:t>
      </w:r>
      <w:r>
        <w:fldChar w:fldCharType="end"/>
      </w:r>
      <w:r>
        <w:rPr>
          <w:rFonts w:ascii="Times New Roman" w:hAnsi="Times New Roman" w:cs="Times New Roman"/>
          <w:bCs/>
          <w:color w:val="auto"/>
          <w:szCs w:val="24"/>
        </w:rPr>
        <w:fldChar w:fldCharType="end"/>
      </w:r>
    </w:p>
    <w:p w14:paraId="4BB3318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_Toc12376 </w:instrText>
      </w:r>
      <w:r>
        <w:rPr>
          <w:rFonts w:ascii="Times New Roman" w:hAnsi="Times New Roman" w:cs="Times New Roman"/>
          <w:bCs/>
          <w:szCs w:val="24"/>
        </w:rPr>
        <w:fldChar w:fldCharType="separate"/>
      </w:r>
      <w:r>
        <w:rPr>
          <w:rFonts w:ascii="宋体" w:hAnsi="宋体"/>
          <w:szCs w:val="30"/>
        </w:rPr>
        <w:t>5.1 作业条件危险性评价法（</w:t>
      </w:r>
      <w:r>
        <w:rPr>
          <w:rFonts w:hint="eastAsia" w:ascii="宋体" w:hAnsi="宋体"/>
          <w:szCs w:val="30"/>
        </w:rPr>
        <w:t>D＝</w:t>
      </w:r>
      <w:r>
        <w:rPr>
          <w:rFonts w:ascii="宋体" w:hAnsi="宋体"/>
          <w:szCs w:val="30"/>
        </w:rPr>
        <w:t>LEC）</w:t>
      </w:r>
      <w:r>
        <w:tab/>
      </w:r>
      <w:r>
        <w:fldChar w:fldCharType="begin"/>
      </w:r>
      <w:r>
        <w:instrText xml:space="preserve"> PAGEREF _Toc12376 \h </w:instrText>
      </w:r>
      <w:r>
        <w:fldChar w:fldCharType="separate"/>
      </w:r>
      <w:r>
        <w:t>50</w:t>
      </w:r>
      <w:r>
        <w:fldChar w:fldCharType="end"/>
      </w:r>
      <w:r>
        <w:rPr>
          <w:rFonts w:ascii="Times New Roman" w:hAnsi="Times New Roman" w:cs="Times New Roman"/>
          <w:bCs/>
          <w:color w:val="auto"/>
          <w:szCs w:val="24"/>
        </w:rPr>
        <w:fldChar w:fldCharType="end"/>
      </w:r>
    </w:p>
    <w:p w14:paraId="7499C3C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_Toc20206 </w:instrText>
      </w:r>
      <w:r>
        <w:rPr>
          <w:rFonts w:ascii="Times New Roman" w:hAnsi="Times New Roman" w:cs="Times New Roman"/>
          <w:bCs/>
          <w:szCs w:val="24"/>
        </w:rPr>
        <w:fldChar w:fldCharType="separate"/>
      </w:r>
      <w:r>
        <w:rPr>
          <w:rFonts w:ascii="宋体" w:hAnsi="宋体"/>
          <w:szCs w:val="30"/>
        </w:rPr>
        <w:t xml:space="preserve">5.2 </w:t>
      </w:r>
      <w:r>
        <w:rPr>
          <w:rFonts w:hint="eastAsia" w:ascii="宋体" w:hAnsi="宋体"/>
          <w:szCs w:val="30"/>
        </w:rPr>
        <w:t>危险度评价</w:t>
      </w:r>
      <w:r>
        <w:tab/>
      </w:r>
      <w:r>
        <w:fldChar w:fldCharType="begin"/>
      </w:r>
      <w:r>
        <w:instrText xml:space="preserve"> PAGEREF _Toc20206 \h </w:instrText>
      </w:r>
      <w:r>
        <w:fldChar w:fldCharType="separate"/>
      </w:r>
      <w:r>
        <w:t>52</w:t>
      </w:r>
      <w:r>
        <w:fldChar w:fldCharType="end"/>
      </w:r>
      <w:r>
        <w:rPr>
          <w:rFonts w:ascii="Times New Roman" w:hAnsi="Times New Roman" w:cs="Times New Roman"/>
          <w:bCs/>
          <w:color w:val="auto"/>
          <w:szCs w:val="24"/>
        </w:rPr>
        <w:fldChar w:fldCharType="end"/>
      </w:r>
    </w:p>
    <w:p w14:paraId="7A05EFC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_Toc5053 </w:instrText>
      </w:r>
      <w:r>
        <w:rPr>
          <w:rFonts w:ascii="Times New Roman" w:hAnsi="Times New Roman" w:cs="Times New Roman"/>
          <w:bCs/>
          <w:szCs w:val="24"/>
        </w:rPr>
        <w:fldChar w:fldCharType="separate"/>
      </w:r>
      <w:r>
        <w:rPr>
          <w:rFonts w:hint="eastAsia" w:ascii="宋体" w:hAnsi="宋体"/>
          <w:szCs w:val="30"/>
        </w:rPr>
        <w:t xml:space="preserve">5.3 </w:t>
      </w:r>
      <w:r>
        <w:rPr>
          <w:rFonts w:ascii="宋体" w:hAnsi="宋体"/>
          <w:szCs w:val="30"/>
        </w:rPr>
        <w:t>安全管理</w:t>
      </w:r>
      <w:r>
        <w:tab/>
      </w:r>
      <w:r>
        <w:fldChar w:fldCharType="begin"/>
      </w:r>
      <w:r>
        <w:instrText xml:space="preserve"> PAGEREF _Toc5053 \h </w:instrText>
      </w:r>
      <w:r>
        <w:fldChar w:fldCharType="separate"/>
      </w:r>
      <w:r>
        <w:t>52</w:t>
      </w:r>
      <w:r>
        <w:fldChar w:fldCharType="end"/>
      </w:r>
      <w:r>
        <w:rPr>
          <w:rFonts w:ascii="Times New Roman" w:hAnsi="Times New Roman" w:cs="Times New Roman"/>
          <w:bCs/>
          <w:color w:val="auto"/>
          <w:szCs w:val="24"/>
        </w:rPr>
        <w:fldChar w:fldCharType="end"/>
      </w:r>
    </w:p>
    <w:p w14:paraId="59704BE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_Toc18508 </w:instrText>
      </w:r>
      <w:r>
        <w:rPr>
          <w:rFonts w:ascii="Times New Roman" w:hAnsi="Times New Roman" w:cs="Times New Roman"/>
          <w:bCs/>
          <w:szCs w:val="24"/>
        </w:rPr>
        <w:fldChar w:fldCharType="separate"/>
      </w:r>
      <w:r>
        <w:rPr>
          <w:rFonts w:hint="eastAsia" w:ascii="宋体" w:hAnsi="宋体"/>
          <w:szCs w:val="30"/>
        </w:rPr>
        <w:t>5.4 站址选择符合性评价</w:t>
      </w:r>
      <w:r>
        <w:tab/>
      </w:r>
      <w:r>
        <w:fldChar w:fldCharType="begin"/>
      </w:r>
      <w:r>
        <w:instrText xml:space="preserve"> PAGEREF _Toc18508 \h </w:instrText>
      </w:r>
      <w:r>
        <w:fldChar w:fldCharType="separate"/>
      </w:r>
      <w:r>
        <w:t>54</w:t>
      </w:r>
      <w:r>
        <w:fldChar w:fldCharType="end"/>
      </w:r>
      <w:r>
        <w:rPr>
          <w:rFonts w:ascii="Times New Roman" w:hAnsi="Times New Roman" w:cs="Times New Roman"/>
          <w:bCs/>
          <w:color w:val="auto"/>
          <w:szCs w:val="24"/>
        </w:rPr>
        <w:fldChar w:fldCharType="end"/>
      </w:r>
    </w:p>
    <w:p w14:paraId="085F3CF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_Toc13210 </w:instrText>
      </w:r>
      <w:r>
        <w:rPr>
          <w:rFonts w:ascii="Times New Roman" w:hAnsi="Times New Roman" w:cs="Times New Roman"/>
          <w:bCs/>
          <w:szCs w:val="24"/>
        </w:rPr>
        <w:fldChar w:fldCharType="separate"/>
      </w:r>
      <w:r>
        <w:rPr>
          <w:rFonts w:hint="eastAsia" w:ascii="宋体" w:hAnsi="宋体"/>
          <w:szCs w:val="30"/>
        </w:rPr>
        <w:t>5.5 平面布置符合性评价</w:t>
      </w:r>
      <w:r>
        <w:tab/>
      </w:r>
      <w:r>
        <w:fldChar w:fldCharType="begin"/>
      </w:r>
      <w:r>
        <w:instrText xml:space="preserve"> PAGEREF _Toc13210 \h </w:instrText>
      </w:r>
      <w:r>
        <w:fldChar w:fldCharType="separate"/>
      </w:r>
      <w:r>
        <w:t>55</w:t>
      </w:r>
      <w:r>
        <w:fldChar w:fldCharType="end"/>
      </w:r>
      <w:r>
        <w:rPr>
          <w:rFonts w:ascii="Times New Roman" w:hAnsi="Times New Roman" w:cs="Times New Roman"/>
          <w:bCs/>
          <w:color w:val="auto"/>
          <w:szCs w:val="24"/>
        </w:rPr>
        <w:fldChar w:fldCharType="end"/>
      </w:r>
    </w:p>
    <w:p w14:paraId="4F06A23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_Toc24810 </w:instrText>
      </w:r>
      <w:r>
        <w:rPr>
          <w:rFonts w:ascii="Times New Roman" w:hAnsi="Times New Roman" w:cs="Times New Roman"/>
          <w:bCs/>
          <w:szCs w:val="24"/>
        </w:rPr>
        <w:fldChar w:fldCharType="separate"/>
      </w:r>
      <w:r>
        <w:rPr>
          <w:rFonts w:hint="eastAsia" w:ascii="宋体" w:hAnsi="宋体"/>
          <w:szCs w:val="30"/>
        </w:rPr>
        <w:t>5.6 工艺及设施符合性评价</w:t>
      </w:r>
      <w:r>
        <w:tab/>
      </w:r>
      <w:r>
        <w:fldChar w:fldCharType="begin"/>
      </w:r>
      <w:r>
        <w:instrText xml:space="preserve"> PAGEREF _Toc24810 \h </w:instrText>
      </w:r>
      <w:r>
        <w:fldChar w:fldCharType="separate"/>
      </w:r>
      <w:r>
        <w:t>58</w:t>
      </w:r>
      <w:r>
        <w:fldChar w:fldCharType="end"/>
      </w:r>
      <w:r>
        <w:rPr>
          <w:rFonts w:ascii="Times New Roman" w:hAnsi="Times New Roman" w:cs="Times New Roman"/>
          <w:bCs/>
          <w:color w:val="auto"/>
          <w:szCs w:val="24"/>
        </w:rPr>
        <w:fldChar w:fldCharType="end"/>
      </w:r>
    </w:p>
    <w:p w14:paraId="22F4151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_Toc11454 </w:instrText>
      </w:r>
      <w:r>
        <w:rPr>
          <w:rFonts w:ascii="Times New Roman" w:hAnsi="Times New Roman" w:cs="Times New Roman"/>
          <w:bCs/>
          <w:szCs w:val="24"/>
        </w:rPr>
        <w:fldChar w:fldCharType="separate"/>
      </w:r>
      <w:r>
        <w:rPr>
          <w:rFonts w:hint="eastAsia" w:ascii="宋体" w:hAnsi="宋体"/>
          <w:szCs w:val="30"/>
        </w:rPr>
        <w:t>5.7 消防设施及给排水符合性评价</w:t>
      </w:r>
      <w:r>
        <w:tab/>
      </w:r>
      <w:r>
        <w:fldChar w:fldCharType="begin"/>
      </w:r>
      <w:r>
        <w:instrText xml:space="preserve"> PAGEREF _Toc11454 \h </w:instrText>
      </w:r>
      <w:r>
        <w:fldChar w:fldCharType="separate"/>
      </w:r>
      <w:r>
        <w:t>62</w:t>
      </w:r>
      <w:r>
        <w:fldChar w:fldCharType="end"/>
      </w:r>
      <w:r>
        <w:rPr>
          <w:rFonts w:ascii="Times New Roman" w:hAnsi="Times New Roman" w:cs="Times New Roman"/>
          <w:bCs/>
          <w:color w:val="auto"/>
          <w:szCs w:val="24"/>
        </w:rPr>
        <w:fldChar w:fldCharType="end"/>
      </w:r>
    </w:p>
    <w:p w14:paraId="0A8D1D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_Toc10666 </w:instrText>
      </w:r>
      <w:r>
        <w:rPr>
          <w:rFonts w:ascii="Times New Roman" w:hAnsi="Times New Roman" w:cs="Times New Roman"/>
          <w:bCs/>
          <w:szCs w:val="24"/>
        </w:rPr>
        <w:fldChar w:fldCharType="separate"/>
      </w:r>
      <w:r>
        <w:rPr>
          <w:rFonts w:hint="eastAsia" w:ascii="宋体" w:hAnsi="宋体"/>
          <w:szCs w:val="30"/>
        </w:rPr>
        <w:t>5.8 电气、报警和紧急切断系统符合性评价</w:t>
      </w:r>
      <w:r>
        <w:tab/>
      </w:r>
      <w:r>
        <w:fldChar w:fldCharType="begin"/>
      </w:r>
      <w:r>
        <w:instrText xml:space="preserve"> PAGEREF _Toc10666 \h </w:instrText>
      </w:r>
      <w:r>
        <w:fldChar w:fldCharType="separate"/>
      </w:r>
      <w:r>
        <w:t>63</w:t>
      </w:r>
      <w:r>
        <w:fldChar w:fldCharType="end"/>
      </w:r>
      <w:r>
        <w:rPr>
          <w:rFonts w:ascii="Times New Roman" w:hAnsi="Times New Roman" w:cs="Times New Roman"/>
          <w:bCs/>
          <w:color w:val="auto"/>
          <w:szCs w:val="24"/>
        </w:rPr>
        <w:fldChar w:fldCharType="end"/>
      </w:r>
    </w:p>
    <w:p w14:paraId="2865F5E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_Toc16035 </w:instrText>
      </w:r>
      <w:r>
        <w:rPr>
          <w:rFonts w:ascii="Times New Roman" w:hAnsi="Times New Roman" w:cs="Times New Roman"/>
          <w:bCs/>
          <w:szCs w:val="24"/>
        </w:rPr>
        <w:fldChar w:fldCharType="separate"/>
      </w:r>
      <w:r>
        <w:rPr>
          <w:rFonts w:hint="eastAsia" w:ascii="宋体" w:hAnsi="宋体"/>
          <w:szCs w:val="30"/>
        </w:rPr>
        <w:t>5.9 采暖通风、建（构）筑物、绿化符合性评价</w:t>
      </w:r>
      <w:r>
        <w:tab/>
      </w:r>
      <w:r>
        <w:fldChar w:fldCharType="begin"/>
      </w:r>
      <w:r>
        <w:instrText xml:space="preserve"> PAGEREF _Toc16035 \h </w:instrText>
      </w:r>
      <w:r>
        <w:fldChar w:fldCharType="separate"/>
      </w:r>
      <w:r>
        <w:t>65</w:t>
      </w:r>
      <w:r>
        <w:fldChar w:fldCharType="end"/>
      </w:r>
      <w:r>
        <w:rPr>
          <w:rFonts w:ascii="Times New Roman" w:hAnsi="Times New Roman" w:cs="Times New Roman"/>
          <w:bCs/>
          <w:color w:val="auto"/>
          <w:szCs w:val="24"/>
        </w:rPr>
        <w:fldChar w:fldCharType="end"/>
      </w:r>
    </w:p>
    <w:p w14:paraId="63D2857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_Toc5554 </w:instrText>
      </w:r>
      <w:r>
        <w:rPr>
          <w:rFonts w:ascii="Times New Roman" w:hAnsi="Times New Roman" w:cs="Times New Roman"/>
          <w:bCs/>
          <w:szCs w:val="24"/>
        </w:rPr>
        <w:fldChar w:fldCharType="separate"/>
      </w:r>
      <w:r>
        <w:rPr>
          <w:rFonts w:hint="eastAsia" w:ascii="宋体" w:hAnsi="宋体"/>
          <w:szCs w:val="30"/>
        </w:rPr>
        <w:t>5.10加油站作业安全规范评价</w:t>
      </w:r>
      <w:r>
        <w:tab/>
      </w:r>
      <w:r>
        <w:fldChar w:fldCharType="begin"/>
      </w:r>
      <w:r>
        <w:instrText xml:space="preserve"> PAGEREF _Toc5554 \h </w:instrText>
      </w:r>
      <w:r>
        <w:fldChar w:fldCharType="separate"/>
      </w:r>
      <w:r>
        <w:t>67</w:t>
      </w:r>
      <w:r>
        <w:fldChar w:fldCharType="end"/>
      </w:r>
      <w:r>
        <w:rPr>
          <w:rFonts w:ascii="Times New Roman" w:hAnsi="Times New Roman" w:cs="Times New Roman"/>
          <w:bCs/>
          <w:color w:val="auto"/>
          <w:szCs w:val="24"/>
        </w:rPr>
        <w:fldChar w:fldCharType="end"/>
      </w:r>
    </w:p>
    <w:p w14:paraId="06A8072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_Toc25350 </w:instrText>
      </w:r>
      <w:r>
        <w:rPr>
          <w:rFonts w:ascii="Times New Roman" w:hAnsi="Times New Roman" w:cs="Times New Roman"/>
          <w:bCs/>
          <w:szCs w:val="24"/>
        </w:rPr>
        <w:fldChar w:fldCharType="separate"/>
      </w:r>
      <w:r>
        <w:rPr>
          <w:rFonts w:hint="eastAsia" w:ascii="宋体" w:hAnsi="宋体"/>
          <w:szCs w:val="30"/>
        </w:rPr>
        <w:t>5.11 重点监管的危险化学品安全措施落实情况</w:t>
      </w:r>
      <w:r>
        <w:tab/>
      </w:r>
      <w:r>
        <w:fldChar w:fldCharType="begin"/>
      </w:r>
      <w:r>
        <w:instrText xml:space="preserve"> PAGEREF _Toc25350 \h </w:instrText>
      </w:r>
      <w:r>
        <w:fldChar w:fldCharType="separate"/>
      </w:r>
      <w:r>
        <w:t>72</w:t>
      </w:r>
      <w:r>
        <w:fldChar w:fldCharType="end"/>
      </w:r>
      <w:r>
        <w:rPr>
          <w:rFonts w:ascii="Times New Roman" w:hAnsi="Times New Roman" w:cs="Times New Roman"/>
          <w:bCs/>
          <w:color w:val="auto"/>
          <w:szCs w:val="24"/>
        </w:rPr>
        <w:fldChar w:fldCharType="end"/>
      </w:r>
    </w:p>
    <w:p w14:paraId="107567E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_Toc1591 </w:instrText>
      </w:r>
      <w:r>
        <w:rPr>
          <w:rFonts w:ascii="Times New Roman" w:hAnsi="Times New Roman" w:cs="Times New Roman"/>
          <w:bCs/>
          <w:szCs w:val="24"/>
        </w:rPr>
        <w:fldChar w:fldCharType="separate"/>
      </w:r>
      <w:r>
        <w:rPr>
          <w:rFonts w:hint="eastAsia" w:ascii="宋体" w:hAnsi="宋体"/>
          <w:szCs w:val="30"/>
        </w:rPr>
        <w:t>5.12 重大事故隐患情况分析</w:t>
      </w:r>
      <w:r>
        <w:tab/>
      </w:r>
      <w:r>
        <w:fldChar w:fldCharType="begin"/>
      </w:r>
      <w:r>
        <w:instrText xml:space="preserve"> PAGEREF _Toc1591 \h </w:instrText>
      </w:r>
      <w:r>
        <w:fldChar w:fldCharType="separate"/>
      </w:r>
      <w:r>
        <w:t>74</w:t>
      </w:r>
      <w:r>
        <w:fldChar w:fldCharType="end"/>
      </w:r>
      <w:r>
        <w:rPr>
          <w:rFonts w:ascii="Times New Roman" w:hAnsi="Times New Roman" w:cs="Times New Roman"/>
          <w:bCs/>
          <w:color w:val="auto"/>
          <w:szCs w:val="24"/>
        </w:rPr>
        <w:fldChar w:fldCharType="end"/>
      </w:r>
    </w:p>
    <w:p w14:paraId="29C3171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_Toc13068 </w:instrText>
      </w:r>
      <w:r>
        <w:rPr>
          <w:rFonts w:ascii="Times New Roman" w:hAnsi="Times New Roman" w:cs="Times New Roman"/>
          <w:bCs/>
          <w:szCs w:val="24"/>
        </w:rPr>
        <w:fldChar w:fldCharType="separate"/>
      </w:r>
      <w:r>
        <w:rPr>
          <w:rFonts w:hint="eastAsia" w:ascii="宋体" w:hAnsi="宋体"/>
          <w:szCs w:val="30"/>
        </w:rPr>
        <w:t>5.13 安全分类整治评价</w:t>
      </w:r>
      <w:r>
        <w:tab/>
      </w:r>
      <w:r>
        <w:fldChar w:fldCharType="begin"/>
      </w:r>
      <w:r>
        <w:instrText xml:space="preserve"> PAGEREF _Toc13068 \h </w:instrText>
      </w:r>
      <w:r>
        <w:fldChar w:fldCharType="separate"/>
      </w:r>
      <w:r>
        <w:t>76</w:t>
      </w:r>
      <w:r>
        <w:fldChar w:fldCharType="end"/>
      </w:r>
      <w:r>
        <w:rPr>
          <w:rFonts w:ascii="Times New Roman" w:hAnsi="Times New Roman" w:cs="Times New Roman"/>
          <w:bCs/>
          <w:color w:val="auto"/>
          <w:szCs w:val="24"/>
        </w:rPr>
        <w:fldChar w:fldCharType="end"/>
      </w:r>
    </w:p>
    <w:p w14:paraId="01D0A21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_Toc387 </w:instrText>
      </w:r>
      <w:r>
        <w:rPr>
          <w:rFonts w:ascii="Times New Roman" w:hAnsi="Times New Roman" w:cs="Times New Roman"/>
          <w:bCs/>
          <w:szCs w:val="24"/>
        </w:rPr>
        <w:fldChar w:fldCharType="separate"/>
      </w:r>
      <w:r>
        <w:rPr>
          <w:rFonts w:hint="eastAsia" w:ascii="宋体" w:hAnsi="宋体"/>
          <w:szCs w:val="30"/>
        </w:rPr>
        <w:t>5.14 安全经营条件评价</w:t>
      </w:r>
      <w:r>
        <w:tab/>
      </w:r>
      <w:r>
        <w:fldChar w:fldCharType="begin"/>
      </w:r>
      <w:r>
        <w:instrText xml:space="preserve"> PAGEREF _Toc387 \h </w:instrText>
      </w:r>
      <w:r>
        <w:fldChar w:fldCharType="separate"/>
      </w:r>
      <w:r>
        <w:t>82</w:t>
      </w:r>
      <w:r>
        <w:fldChar w:fldCharType="end"/>
      </w:r>
      <w:r>
        <w:rPr>
          <w:rFonts w:ascii="Times New Roman" w:hAnsi="Times New Roman" w:cs="Times New Roman"/>
          <w:bCs/>
          <w:color w:val="auto"/>
          <w:szCs w:val="24"/>
        </w:rPr>
        <w:fldChar w:fldCharType="end"/>
      </w:r>
    </w:p>
    <w:p w14:paraId="27EC7E0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_Toc3752 </w:instrText>
      </w:r>
      <w:r>
        <w:rPr>
          <w:rFonts w:ascii="Times New Roman" w:hAnsi="Times New Roman" w:cs="Times New Roman"/>
          <w:bCs/>
          <w:szCs w:val="24"/>
        </w:rPr>
        <w:fldChar w:fldCharType="separate"/>
      </w:r>
      <w:r>
        <w:rPr>
          <w:rFonts w:hint="eastAsia" w:ascii="宋体" w:hAnsi="宋体"/>
          <w:szCs w:val="30"/>
        </w:rPr>
        <w:t>5.15 安全设施符合性诊断及整改设计提出的对策措施采纳情况</w:t>
      </w:r>
      <w:r>
        <w:tab/>
      </w:r>
      <w:r>
        <w:fldChar w:fldCharType="begin"/>
      </w:r>
      <w:r>
        <w:instrText xml:space="preserve"> PAGEREF _Toc3752 \h </w:instrText>
      </w:r>
      <w:r>
        <w:fldChar w:fldCharType="separate"/>
      </w:r>
      <w:r>
        <w:t>83</w:t>
      </w:r>
      <w:r>
        <w:fldChar w:fldCharType="end"/>
      </w:r>
      <w:r>
        <w:rPr>
          <w:rFonts w:ascii="Times New Roman" w:hAnsi="Times New Roman" w:cs="Times New Roman"/>
          <w:bCs/>
          <w:color w:val="auto"/>
          <w:szCs w:val="24"/>
        </w:rPr>
        <w:fldChar w:fldCharType="end"/>
      </w:r>
    </w:p>
    <w:p w14:paraId="7913182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_Toc22346 </w:instrText>
      </w:r>
      <w:r>
        <w:rPr>
          <w:rFonts w:ascii="Times New Roman" w:hAnsi="Times New Roman" w:cs="Times New Roman"/>
          <w:bCs/>
          <w:szCs w:val="24"/>
        </w:rPr>
        <w:fldChar w:fldCharType="separate"/>
      </w:r>
      <w:r>
        <w:rPr>
          <w:rFonts w:ascii="宋体" w:hAnsi="宋体"/>
          <w:szCs w:val="30"/>
        </w:rPr>
        <w:t>5.</w:t>
      </w:r>
      <w:r>
        <w:rPr>
          <w:rFonts w:hint="eastAsia" w:ascii="宋体" w:hAnsi="宋体"/>
          <w:szCs w:val="30"/>
        </w:rPr>
        <w:t>16</w:t>
      </w:r>
      <w:r>
        <w:rPr>
          <w:rFonts w:ascii="宋体" w:hAnsi="宋体"/>
          <w:szCs w:val="30"/>
        </w:rPr>
        <w:t xml:space="preserve"> 加油站安全检查表</w:t>
      </w:r>
      <w:r>
        <w:tab/>
      </w:r>
      <w:r>
        <w:fldChar w:fldCharType="begin"/>
      </w:r>
      <w:r>
        <w:instrText xml:space="preserve"> PAGEREF _Toc22346 \h </w:instrText>
      </w:r>
      <w:r>
        <w:fldChar w:fldCharType="separate"/>
      </w:r>
      <w:r>
        <w:t>91</w:t>
      </w:r>
      <w:r>
        <w:fldChar w:fldCharType="end"/>
      </w:r>
      <w:r>
        <w:rPr>
          <w:rFonts w:ascii="Times New Roman" w:hAnsi="Times New Roman" w:cs="Times New Roman"/>
          <w:bCs/>
          <w:color w:val="auto"/>
          <w:szCs w:val="24"/>
        </w:rPr>
        <w:fldChar w:fldCharType="end"/>
      </w:r>
    </w:p>
    <w:p w14:paraId="472FB94E">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_Toc24610 </w:instrText>
      </w:r>
      <w:r>
        <w:rPr>
          <w:rFonts w:ascii="Times New Roman" w:hAnsi="Times New Roman" w:cs="Times New Roman"/>
          <w:bCs/>
          <w:szCs w:val="24"/>
        </w:rPr>
        <w:fldChar w:fldCharType="separate"/>
      </w:r>
      <w:r>
        <w:rPr>
          <w:rFonts w:hint="eastAsia" w:ascii="Times New Roman" w:hAnsi="Times New Roman" w:cs="Times New Roman"/>
          <w:bCs/>
          <w:kern w:val="36"/>
          <w:szCs w:val="32"/>
        </w:rPr>
        <w:t>6</w:t>
      </w:r>
      <w:r>
        <w:rPr>
          <w:rFonts w:ascii="Times New Roman" w:hAnsi="Times New Roman" w:cs="Times New Roman"/>
          <w:bCs/>
          <w:kern w:val="36"/>
          <w:szCs w:val="32"/>
        </w:rPr>
        <w:t xml:space="preserve"> </w:t>
      </w:r>
      <w:r>
        <w:rPr>
          <w:rFonts w:hint="eastAsia" w:ascii="Times New Roman" w:hAnsi="Times New Roman" w:cs="宋体"/>
          <w:bCs/>
          <w:kern w:val="36"/>
          <w:szCs w:val="32"/>
        </w:rPr>
        <w:t>整改落实情况</w:t>
      </w:r>
      <w:r>
        <w:tab/>
      </w:r>
      <w:r>
        <w:fldChar w:fldCharType="begin"/>
      </w:r>
      <w:r>
        <w:instrText xml:space="preserve"> PAGEREF _Toc24610 \h </w:instrText>
      </w:r>
      <w:r>
        <w:fldChar w:fldCharType="separate"/>
      </w:r>
      <w:r>
        <w:t>98</w:t>
      </w:r>
      <w:r>
        <w:fldChar w:fldCharType="end"/>
      </w:r>
      <w:r>
        <w:rPr>
          <w:rFonts w:ascii="Times New Roman" w:hAnsi="Times New Roman" w:cs="Times New Roman"/>
          <w:bCs/>
          <w:color w:val="auto"/>
          <w:szCs w:val="24"/>
        </w:rPr>
        <w:fldChar w:fldCharType="end"/>
      </w:r>
    </w:p>
    <w:p w14:paraId="28B130A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_Toc17547 </w:instrText>
      </w:r>
      <w:r>
        <w:rPr>
          <w:rFonts w:ascii="Times New Roman" w:hAnsi="Times New Roman" w:cs="Times New Roman"/>
          <w:bCs/>
          <w:szCs w:val="24"/>
        </w:rPr>
        <w:fldChar w:fldCharType="separate"/>
      </w:r>
      <w:r>
        <w:rPr>
          <w:rFonts w:hint="eastAsia" w:ascii="Times New Roman" w:hAnsi="Times New Roman" w:cs="Times New Roman"/>
          <w:bCs/>
          <w:szCs w:val="28"/>
        </w:rPr>
        <w:t>6.1</w:t>
      </w:r>
      <w:r>
        <w:rPr>
          <w:rFonts w:ascii="Times New Roman" w:hAnsi="Times New Roman" w:cs="Times New Roman"/>
          <w:bCs/>
          <w:szCs w:val="28"/>
        </w:rPr>
        <w:t xml:space="preserve"> </w:t>
      </w:r>
      <w:r>
        <w:rPr>
          <w:rFonts w:hint="eastAsia" w:ascii="宋体" w:hAnsi="宋体" w:cs="宋体"/>
          <w:bCs/>
          <w:szCs w:val="28"/>
        </w:rPr>
        <w:t>安全设施符合性诊断及整改设计提出的整改项落实情况</w:t>
      </w:r>
      <w:r>
        <w:tab/>
      </w:r>
      <w:r>
        <w:fldChar w:fldCharType="begin"/>
      </w:r>
      <w:r>
        <w:instrText xml:space="preserve"> PAGEREF _Toc17547 \h </w:instrText>
      </w:r>
      <w:r>
        <w:fldChar w:fldCharType="separate"/>
      </w:r>
      <w:r>
        <w:t>98</w:t>
      </w:r>
      <w:r>
        <w:fldChar w:fldCharType="end"/>
      </w:r>
      <w:r>
        <w:rPr>
          <w:rFonts w:ascii="Times New Roman" w:hAnsi="Times New Roman" w:cs="Times New Roman"/>
          <w:bCs/>
          <w:color w:val="auto"/>
          <w:szCs w:val="24"/>
        </w:rPr>
        <w:fldChar w:fldCharType="end"/>
      </w:r>
    </w:p>
    <w:p w14:paraId="13F15C9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_Toc25842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2</w:t>
      </w:r>
      <w:r>
        <w:rPr>
          <w:rFonts w:hint="eastAsia" w:ascii="Times New Roman" w:hAnsi="Times New Roman" w:cs="宋体"/>
          <w:bCs/>
          <w:szCs w:val="28"/>
        </w:rPr>
        <w:t>隐患整改措施</w:t>
      </w:r>
      <w:r>
        <w:tab/>
      </w:r>
      <w:r>
        <w:fldChar w:fldCharType="begin"/>
      </w:r>
      <w:r>
        <w:instrText xml:space="preserve"> PAGEREF _Toc25842 \h </w:instrText>
      </w:r>
      <w:r>
        <w:fldChar w:fldCharType="separate"/>
      </w:r>
      <w:r>
        <w:t>98</w:t>
      </w:r>
      <w:r>
        <w:fldChar w:fldCharType="end"/>
      </w:r>
      <w:r>
        <w:rPr>
          <w:rFonts w:ascii="Times New Roman" w:hAnsi="Times New Roman" w:cs="Times New Roman"/>
          <w:bCs/>
          <w:color w:val="auto"/>
          <w:szCs w:val="24"/>
        </w:rPr>
        <w:fldChar w:fldCharType="end"/>
      </w:r>
    </w:p>
    <w:p w14:paraId="4BADAAB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_Toc31626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3</w:t>
      </w:r>
      <w:r>
        <w:rPr>
          <w:rFonts w:ascii="Times New Roman" w:hAnsi="Times New Roman" w:cs="Times New Roman"/>
          <w:bCs/>
          <w:szCs w:val="28"/>
        </w:rPr>
        <w:t xml:space="preserve"> </w:t>
      </w:r>
      <w:r>
        <w:rPr>
          <w:rFonts w:hint="eastAsia" w:ascii="Times New Roman" w:hAnsi="Times New Roman" w:cs="宋体"/>
          <w:bCs/>
          <w:szCs w:val="28"/>
        </w:rPr>
        <w:t>整改落实情况</w:t>
      </w:r>
      <w:r>
        <w:tab/>
      </w:r>
      <w:r>
        <w:fldChar w:fldCharType="begin"/>
      </w:r>
      <w:r>
        <w:instrText xml:space="preserve"> PAGEREF _Toc31626 \h </w:instrText>
      </w:r>
      <w:r>
        <w:fldChar w:fldCharType="separate"/>
      </w:r>
      <w:r>
        <w:t>98</w:t>
      </w:r>
      <w:r>
        <w:fldChar w:fldCharType="end"/>
      </w:r>
      <w:r>
        <w:rPr>
          <w:rFonts w:ascii="Times New Roman" w:hAnsi="Times New Roman" w:cs="Times New Roman"/>
          <w:bCs/>
          <w:color w:val="auto"/>
          <w:szCs w:val="24"/>
        </w:rPr>
        <w:fldChar w:fldCharType="end"/>
      </w:r>
    </w:p>
    <w:p w14:paraId="32DBCA3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_Toc28232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4</w:t>
      </w:r>
      <w:r>
        <w:rPr>
          <w:rFonts w:ascii="Times New Roman" w:hAnsi="Times New Roman" w:cs="Times New Roman"/>
          <w:bCs/>
          <w:szCs w:val="28"/>
        </w:rPr>
        <w:t xml:space="preserve"> </w:t>
      </w:r>
      <w:r>
        <w:rPr>
          <w:rFonts w:hint="eastAsia" w:ascii="Times New Roman" w:hAnsi="Times New Roman" w:cs="宋体"/>
          <w:bCs/>
          <w:szCs w:val="28"/>
        </w:rPr>
        <w:t>建议补充的安全对策措施</w:t>
      </w:r>
      <w:r>
        <w:tab/>
      </w:r>
      <w:r>
        <w:fldChar w:fldCharType="begin"/>
      </w:r>
      <w:r>
        <w:instrText xml:space="preserve"> PAGEREF _Toc28232 \h </w:instrText>
      </w:r>
      <w:r>
        <w:fldChar w:fldCharType="separate"/>
      </w:r>
      <w:r>
        <w:t>99</w:t>
      </w:r>
      <w:r>
        <w:fldChar w:fldCharType="end"/>
      </w:r>
      <w:r>
        <w:rPr>
          <w:rFonts w:ascii="Times New Roman" w:hAnsi="Times New Roman" w:cs="Times New Roman"/>
          <w:bCs/>
          <w:color w:val="auto"/>
          <w:szCs w:val="24"/>
        </w:rPr>
        <w:fldChar w:fldCharType="end"/>
      </w:r>
    </w:p>
    <w:p w14:paraId="4A04755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_Toc22707 </w:instrText>
      </w:r>
      <w:r>
        <w:rPr>
          <w:rFonts w:ascii="Times New Roman" w:hAnsi="Times New Roman" w:cs="Times New Roman"/>
          <w:bCs/>
          <w:szCs w:val="24"/>
        </w:rPr>
        <w:fldChar w:fldCharType="separate"/>
      </w:r>
      <w:r>
        <w:rPr>
          <w:rFonts w:hint="eastAsia"/>
        </w:rPr>
        <w:t>7</w:t>
      </w:r>
      <w:r>
        <w:t xml:space="preserve"> </w:t>
      </w:r>
      <w:r>
        <w:rPr>
          <w:rFonts w:hint="eastAsia"/>
        </w:rPr>
        <w:t>安全验收评价结论</w:t>
      </w:r>
      <w:r>
        <w:tab/>
      </w:r>
      <w:r>
        <w:fldChar w:fldCharType="begin"/>
      </w:r>
      <w:r>
        <w:instrText xml:space="preserve"> PAGEREF _Toc22707 \h </w:instrText>
      </w:r>
      <w:r>
        <w:fldChar w:fldCharType="separate"/>
      </w:r>
      <w:r>
        <w:t>100</w:t>
      </w:r>
      <w:r>
        <w:fldChar w:fldCharType="end"/>
      </w:r>
      <w:r>
        <w:rPr>
          <w:rFonts w:ascii="Times New Roman" w:hAnsi="Times New Roman" w:cs="Times New Roman"/>
          <w:bCs/>
          <w:color w:val="auto"/>
          <w:szCs w:val="24"/>
        </w:rPr>
        <w:fldChar w:fldCharType="end"/>
      </w:r>
    </w:p>
    <w:p w14:paraId="6842E8A6">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_Toc24307 </w:instrText>
      </w:r>
      <w:r>
        <w:rPr>
          <w:rFonts w:ascii="Times New Roman" w:hAnsi="Times New Roman" w:cs="Times New Roman"/>
          <w:bCs/>
          <w:szCs w:val="24"/>
        </w:rPr>
        <w:fldChar w:fldCharType="separate"/>
      </w:r>
      <w:r>
        <w:rPr>
          <w:rFonts w:hint="eastAsia" w:ascii="宋体" w:hAnsi="宋体"/>
          <w:szCs w:val="32"/>
        </w:rPr>
        <w:t>附件</w:t>
      </w:r>
      <w:r>
        <w:tab/>
      </w:r>
      <w:r>
        <w:fldChar w:fldCharType="begin"/>
      </w:r>
      <w:r>
        <w:instrText xml:space="preserve"> PAGEREF _Toc24307 \h </w:instrText>
      </w:r>
      <w:r>
        <w:fldChar w:fldCharType="separate"/>
      </w:r>
      <w:r>
        <w:t>102</w:t>
      </w:r>
      <w: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兴国石油分公司枫边加油站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5D55AE2C">
      <w:pPr>
        <w:pStyle w:val="2"/>
        <w:pageBreakBefore w:val="0"/>
        <w:kinsoku/>
        <w:wordWrap/>
        <w:overflowPunct/>
        <w:topLinePunct w:val="0"/>
        <w:autoSpaceDE/>
        <w:autoSpaceDN/>
        <w:bidi w:val="0"/>
        <w:spacing w:line="580" w:lineRule="exact"/>
        <w:textAlignment w:val="auto"/>
        <w:rPr>
          <w:color w:val="auto"/>
          <w:sz w:val="32"/>
          <w:szCs w:val="32"/>
        </w:rPr>
      </w:pPr>
      <w:bookmarkStart w:id="0" w:name="_Toc32148"/>
      <w:bookmarkStart w:id="1" w:name="_Toc16878"/>
    </w:p>
    <w:p w14:paraId="77DDBEFE">
      <w:pPr>
        <w:pStyle w:val="2"/>
        <w:pageBreakBefore w:val="0"/>
        <w:kinsoku/>
        <w:wordWrap/>
        <w:overflowPunct/>
        <w:topLinePunct w:val="0"/>
        <w:autoSpaceDE/>
        <w:autoSpaceDN/>
        <w:bidi w:val="0"/>
        <w:spacing w:line="580" w:lineRule="exact"/>
        <w:textAlignment w:val="auto"/>
        <w:rPr>
          <w:color w:val="auto"/>
          <w:sz w:val="32"/>
          <w:szCs w:val="32"/>
        </w:rPr>
      </w:pPr>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343692239"/>
      <w:bookmarkStart w:id="3" w:name="_Toc3953"/>
      <w:bookmarkStart w:id="4" w:name="_Toc20305"/>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343692240"/>
      <w:bookmarkStart w:id="8" w:name="_Toc4713"/>
      <w:bookmarkStart w:id="9" w:name="_Toc26059"/>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生产安全事故应急预案管理办法</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6845328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z w:val="28"/>
          <w:szCs w:val="28"/>
        </w:rPr>
        <w:t>《</w:t>
      </w: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0FBE0F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24838"/>
      <w:bookmarkStart w:id="14" w:name="_Toc29244"/>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兴国枫边加油站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343692242"/>
      <w:bookmarkStart w:id="18" w:name="_Toc11027"/>
      <w:bookmarkStart w:id="19" w:name="_Toc790"/>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3"/>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rPr>
      </w:pPr>
    </w:p>
    <w:p w14:paraId="4B41B4EE">
      <w:pPr>
        <w:pStyle w:val="33"/>
        <w:rPr>
          <w:rFonts w:cs="Times New Roman"/>
          <w:color w:val="auto"/>
        </w:rPr>
      </w:pPr>
    </w:p>
    <w:p w14:paraId="00A736DC">
      <w:pPr>
        <w:pStyle w:val="33"/>
        <w:rPr>
          <w:rFonts w:cs="Times New Roman"/>
          <w:color w:val="auto"/>
        </w:rPr>
      </w:pPr>
    </w:p>
    <w:p w14:paraId="145D5834">
      <w:pPr>
        <w:pStyle w:val="33"/>
        <w:rPr>
          <w:rFonts w:cs="Times New Roman"/>
          <w:color w:val="auto"/>
        </w:rPr>
      </w:pPr>
    </w:p>
    <w:p w14:paraId="4D890F11">
      <w:pPr>
        <w:pStyle w:val="33"/>
        <w:rPr>
          <w:rFonts w:cs="Times New Roman"/>
          <w:color w:val="auto"/>
        </w:rPr>
      </w:pPr>
    </w:p>
    <w:p w14:paraId="7B08B412">
      <w:pPr>
        <w:pStyle w:val="33"/>
        <w:rPr>
          <w:rFonts w:cs="Times New Roman"/>
          <w:color w:val="auto"/>
        </w:rPr>
      </w:pPr>
    </w:p>
    <w:p w14:paraId="078600A9">
      <w:pPr>
        <w:pStyle w:val="33"/>
        <w:rPr>
          <w:rFonts w:cs="Times New Roman"/>
          <w:color w:val="auto"/>
        </w:rPr>
      </w:pPr>
    </w:p>
    <w:p w14:paraId="561DD7E9">
      <w:pPr>
        <w:pStyle w:val="33"/>
        <w:rPr>
          <w:rFonts w:cs="Times New Roman"/>
          <w:color w:val="auto"/>
        </w:rPr>
      </w:pPr>
    </w:p>
    <w:p w14:paraId="0A669B41">
      <w:pPr>
        <w:pStyle w:val="33"/>
        <w:rPr>
          <w:rFonts w:cs="Times New Roman"/>
          <w:color w:val="auto"/>
        </w:rPr>
      </w:pPr>
    </w:p>
    <w:p w14:paraId="40AB3319">
      <w:pPr>
        <w:pStyle w:val="33"/>
        <w:rPr>
          <w:rFonts w:cs="Times New Roman"/>
          <w:color w:val="auto"/>
        </w:rPr>
      </w:pPr>
    </w:p>
    <w:p w14:paraId="33AE0939">
      <w:pPr>
        <w:pStyle w:val="33"/>
        <w:rPr>
          <w:rFonts w:cs="Times New Roman"/>
          <w:color w:val="auto"/>
        </w:rPr>
      </w:pPr>
    </w:p>
    <w:p w14:paraId="44199675">
      <w:pPr>
        <w:pStyle w:val="33"/>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ind w:firstLine="0"/>
        <w:outlineLvl w:val="0"/>
        <w:rPr>
          <w:rStyle w:val="35"/>
          <w:color w:val="auto"/>
        </w:rPr>
      </w:pPr>
      <w:bookmarkStart w:id="20" w:name="_Toc22287"/>
      <w:bookmarkStart w:id="21" w:name="_Toc3289"/>
      <w:bookmarkStart w:id="22" w:name="_Toc343692243"/>
      <w:r>
        <w:rPr>
          <w:rStyle w:val="35"/>
          <w:color w:val="auto"/>
        </w:rPr>
        <w:br w:type="page"/>
      </w:r>
      <w:bookmarkStart w:id="23" w:name="_Toc13809"/>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31282"/>
      <w:bookmarkStart w:id="25" w:name="_Toc343692244"/>
      <w:bookmarkStart w:id="26" w:name="_Toc14502"/>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77C573F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兴国石油分公司枫边加油站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兴国枫边加油站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07</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01</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江西省赣州市兴国县枫边乡枫边圩</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17</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(赣)3607321320230001</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5</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446B83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兴国石油分公司枫边加油站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兴国石油分公司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兴国枫边加油站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19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5"/>
        <w:gridCol w:w="431"/>
        <w:gridCol w:w="720"/>
        <w:gridCol w:w="509"/>
        <w:gridCol w:w="276"/>
        <w:gridCol w:w="200"/>
        <w:gridCol w:w="789"/>
        <w:gridCol w:w="431"/>
        <w:gridCol w:w="646"/>
        <w:gridCol w:w="212"/>
        <w:gridCol w:w="650"/>
        <w:gridCol w:w="110"/>
        <w:gridCol w:w="108"/>
        <w:gridCol w:w="536"/>
        <w:gridCol w:w="321"/>
        <w:gridCol w:w="547"/>
        <w:gridCol w:w="420"/>
        <w:gridCol w:w="1328"/>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396"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803"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兴国石油分公司枫边加油站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96"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803"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江西省赣州市兴国县枫边乡枫边圩</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96"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705"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20"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26" w:type="dxa"/>
            <w:gridSpan w:val="5"/>
            <w:vAlign w:val="center"/>
          </w:tcPr>
          <w:p w14:paraId="20224B41">
            <w:pPr>
              <w:spacing w:line="260" w:lineRule="exact"/>
              <w:jc w:val="center"/>
              <w:rPr>
                <w:rFonts w:ascii="Times New Roman" w:hAnsi="Times New Roman" w:cs="宋体"/>
                <w:color w:val="auto"/>
              </w:rPr>
            </w:pPr>
          </w:p>
        </w:tc>
        <w:tc>
          <w:tcPr>
            <w:tcW w:w="1404"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48"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96"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803"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96"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803"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96"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803"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96"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803"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96"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25" w:type="dxa"/>
            <w:gridSpan w:val="6"/>
            <w:vAlign w:val="center"/>
          </w:tcPr>
          <w:p w14:paraId="293EFE2D">
            <w:pPr>
              <w:spacing w:line="260" w:lineRule="exact"/>
              <w:jc w:val="center"/>
              <w:rPr>
                <w:rFonts w:hint="eastAsia" w:ascii="Times New Roman" w:hAnsi="Times New Roman" w:eastAsia="宋体" w:cs="宋体"/>
                <w:color w:val="auto"/>
                <w:lang w:eastAsia="zh-CN"/>
              </w:rPr>
            </w:pPr>
          </w:p>
        </w:tc>
        <w:tc>
          <w:tcPr>
            <w:tcW w:w="1508"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70" w:type="dxa"/>
            <w:gridSpan w:val="7"/>
            <w:vAlign w:val="center"/>
          </w:tcPr>
          <w:p w14:paraId="535ECC0E">
            <w:pPr>
              <w:spacing w:line="260" w:lineRule="exact"/>
              <w:jc w:val="center"/>
              <w:rPr>
                <w:rFonts w:hint="eastAsia" w:ascii="Times New Roman" w:hAnsi="Times New Roman" w:eastAsia="宋体" w:cs="宋体"/>
                <w:color w:val="auto"/>
                <w:lang w:eastAsia="zh-CN"/>
              </w:rPr>
            </w:pP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96"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29"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74"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江西省赣州市兴国县枫边乡枫边圩</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96" w:type="dxa"/>
            <w:gridSpan w:val="2"/>
            <w:vMerge w:val="continue"/>
            <w:vAlign w:val="center"/>
          </w:tcPr>
          <w:p w14:paraId="27B519DF">
            <w:pPr>
              <w:spacing w:line="260" w:lineRule="exact"/>
              <w:jc w:val="center"/>
              <w:rPr>
                <w:rFonts w:ascii="Times New Roman" w:hAnsi="Times New Roman" w:cs="宋体"/>
                <w:color w:val="auto"/>
              </w:rPr>
            </w:pPr>
          </w:p>
        </w:tc>
        <w:tc>
          <w:tcPr>
            <w:tcW w:w="1229"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74"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96"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29"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74"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兴国枫边加油站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96" w:type="dxa"/>
            <w:gridSpan w:val="2"/>
            <w:vMerge w:val="continue"/>
            <w:vAlign w:val="center"/>
          </w:tcPr>
          <w:p w14:paraId="1C883813">
            <w:pPr>
              <w:spacing w:line="260" w:lineRule="exact"/>
              <w:jc w:val="center"/>
              <w:rPr>
                <w:rFonts w:ascii="Times New Roman" w:hAnsi="Times New Roman" w:cs="宋体"/>
                <w:color w:val="auto"/>
              </w:rPr>
            </w:pPr>
          </w:p>
        </w:tc>
        <w:tc>
          <w:tcPr>
            <w:tcW w:w="1229"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54"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404"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16"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6</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4</w:t>
            </w:r>
            <w:r>
              <w:rPr>
                <w:rFonts w:hint="eastAsia" w:ascii="Times New Roman" w:hAnsi="Times New Roman" w:cs="宋体"/>
                <w:color w:val="auto"/>
              </w:rPr>
              <w:t>5m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396" w:type="dxa"/>
            <w:gridSpan w:val="2"/>
            <w:vMerge w:val="continue"/>
            <w:vAlign w:val="center"/>
          </w:tcPr>
          <w:p w14:paraId="6FE49949">
            <w:pPr>
              <w:spacing w:line="260" w:lineRule="exact"/>
              <w:jc w:val="center"/>
              <w:rPr>
                <w:rFonts w:ascii="Times New Roman" w:hAnsi="Times New Roman" w:cs="宋体"/>
                <w:color w:val="auto"/>
              </w:rPr>
            </w:pPr>
          </w:p>
        </w:tc>
        <w:tc>
          <w:tcPr>
            <w:tcW w:w="1229"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74"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919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901"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38"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60"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65"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51"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5"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89"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77"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72"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65"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67"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28"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65" w:type="dxa"/>
            <w:vAlign w:val="center"/>
          </w:tcPr>
          <w:p w14:paraId="6A2D74E5">
            <w:pPr>
              <w:spacing w:line="260" w:lineRule="exact"/>
              <w:jc w:val="center"/>
              <w:rPr>
                <w:rFonts w:ascii="Times New Roman" w:hAnsi="Times New Roman" w:cs="宋体"/>
                <w:color w:val="auto"/>
              </w:rPr>
            </w:pPr>
          </w:p>
        </w:tc>
        <w:tc>
          <w:tcPr>
            <w:tcW w:w="1151" w:type="dxa"/>
            <w:gridSpan w:val="2"/>
            <w:vAlign w:val="center"/>
          </w:tcPr>
          <w:p w14:paraId="6CB4BFAE">
            <w:pPr>
              <w:spacing w:line="260" w:lineRule="exact"/>
              <w:jc w:val="center"/>
              <w:rPr>
                <w:rFonts w:ascii="Times New Roman" w:hAnsi="Times New Roman" w:cs="宋体"/>
                <w:color w:val="auto"/>
              </w:rPr>
            </w:pPr>
          </w:p>
        </w:tc>
        <w:tc>
          <w:tcPr>
            <w:tcW w:w="785" w:type="dxa"/>
            <w:gridSpan w:val="2"/>
            <w:vAlign w:val="center"/>
          </w:tcPr>
          <w:p w14:paraId="309C1C94">
            <w:pPr>
              <w:spacing w:line="260" w:lineRule="exact"/>
              <w:jc w:val="center"/>
              <w:rPr>
                <w:rFonts w:ascii="Times New Roman" w:hAnsi="Times New Roman" w:cs="宋体"/>
                <w:color w:val="auto"/>
              </w:rPr>
            </w:pPr>
          </w:p>
        </w:tc>
        <w:tc>
          <w:tcPr>
            <w:tcW w:w="989"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77"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2"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5" w:type="dxa"/>
            <w:gridSpan w:val="3"/>
            <w:vAlign w:val="center"/>
          </w:tcPr>
          <w:p w14:paraId="4CC05A04">
            <w:pPr>
              <w:spacing w:line="260" w:lineRule="exact"/>
              <w:jc w:val="center"/>
              <w:rPr>
                <w:rFonts w:ascii="Times New Roman" w:hAnsi="Times New Roman" w:cs="宋体"/>
                <w:color w:val="auto"/>
              </w:rPr>
            </w:pPr>
          </w:p>
        </w:tc>
        <w:tc>
          <w:tcPr>
            <w:tcW w:w="967" w:type="dxa"/>
            <w:gridSpan w:val="2"/>
            <w:vAlign w:val="center"/>
          </w:tcPr>
          <w:p w14:paraId="5C7C732F">
            <w:pPr>
              <w:spacing w:line="260" w:lineRule="exact"/>
              <w:jc w:val="center"/>
              <w:rPr>
                <w:rFonts w:ascii="Times New Roman" w:hAnsi="Times New Roman" w:cs="宋体"/>
                <w:color w:val="auto"/>
              </w:rPr>
            </w:pPr>
          </w:p>
        </w:tc>
        <w:tc>
          <w:tcPr>
            <w:tcW w:w="1328"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65" w:type="dxa"/>
            <w:vAlign w:val="center"/>
          </w:tcPr>
          <w:p w14:paraId="410C521F">
            <w:pPr>
              <w:spacing w:line="260" w:lineRule="exact"/>
              <w:jc w:val="center"/>
              <w:rPr>
                <w:rFonts w:ascii="Times New Roman" w:hAnsi="Times New Roman" w:cs="宋体"/>
                <w:color w:val="auto"/>
              </w:rPr>
            </w:pPr>
          </w:p>
        </w:tc>
        <w:tc>
          <w:tcPr>
            <w:tcW w:w="1151" w:type="dxa"/>
            <w:gridSpan w:val="2"/>
            <w:vAlign w:val="center"/>
          </w:tcPr>
          <w:p w14:paraId="362F30AC">
            <w:pPr>
              <w:spacing w:line="260" w:lineRule="exact"/>
              <w:jc w:val="center"/>
              <w:rPr>
                <w:rFonts w:ascii="Times New Roman" w:hAnsi="Times New Roman" w:cs="宋体"/>
                <w:color w:val="auto"/>
              </w:rPr>
            </w:pPr>
          </w:p>
        </w:tc>
        <w:tc>
          <w:tcPr>
            <w:tcW w:w="785" w:type="dxa"/>
            <w:gridSpan w:val="2"/>
            <w:vAlign w:val="center"/>
          </w:tcPr>
          <w:p w14:paraId="722DDC89">
            <w:pPr>
              <w:spacing w:line="260" w:lineRule="exact"/>
              <w:jc w:val="center"/>
              <w:rPr>
                <w:rFonts w:ascii="Times New Roman" w:hAnsi="Times New Roman" w:cs="宋体"/>
                <w:color w:val="auto"/>
              </w:rPr>
            </w:pPr>
          </w:p>
        </w:tc>
        <w:tc>
          <w:tcPr>
            <w:tcW w:w="989"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77"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2"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5" w:type="dxa"/>
            <w:gridSpan w:val="3"/>
            <w:vAlign w:val="center"/>
          </w:tcPr>
          <w:p w14:paraId="56D8FB21">
            <w:pPr>
              <w:spacing w:line="260" w:lineRule="exact"/>
              <w:jc w:val="center"/>
              <w:rPr>
                <w:rFonts w:ascii="Times New Roman" w:hAnsi="Times New Roman" w:cs="宋体"/>
                <w:color w:val="auto"/>
              </w:rPr>
            </w:pPr>
          </w:p>
        </w:tc>
        <w:tc>
          <w:tcPr>
            <w:tcW w:w="967" w:type="dxa"/>
            <w:gridSpan w:val="2"/>
            <w:vAlign w:val="center"/>
          </w:tcPr>
          <w:p w14:paraId="0F153FA9">
            <w:pPr>
              <w:spacing w:line="260" w:lineRule="exact"/>
              <w:jc w:val="center"/>
              <w:rPr>
                <w:rFonts w:ascii="Times New Roman" w:hAnsi="Times New Roman" w:cs="宋体"/>
                <w:color w:val="auto"/>
              </w:rPr>
            </w:pPr>
          </w:p>
        </w:tc>
        <w:tc>
          <w:tcPr>
            <w:tcW w:w="1328" w:type="dxa"/>
            <w:vAlign w:val="center"/>
          </w:tcPr>
          <w:p w14:paraId="154DA748">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116"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083"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116"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083"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1</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兴国石油分公司枫边加油站</w:t>
      </w:r>
      <w:r>
        <w:rPr>
          <w:rFonts w:hint="eastAsia" w:ascii="Times New Roman" w:hAnsi="Times New Roman" w:cs="宋体"/>
          <w:color w:val="auto"/>
          <w:spacing w:val="-6"/>
          <w:sz w:val="28"/>
          <w:szCs w:val="28"/>
        </w:rPr>
        <w:t>安全设施符合性诊断及整改设计》，并通过专家审查。</w:t>
      </w:r>
    </w:p>
    <w:p w14:paraId="651FAA7E">
      <w:pPr>
        <w:pStyle w:val="33"/>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6"/>
          <w:color w:val="auto"/>
        </w:rPr>
      </w:pPr>
      <w:bookmarkStart w:id="28" w:name="_Toc24338"/>
      <w:r>
        <w:rPr>
          <w:rStyle w:val="36"/>
          <w:color w:val="auto"/>
        </w:rPr>
        <w:t xml:space="preserve">2.2 </w:t>
      </w:r>
      <w:r>
        <w:rPr>
          <w:rStyle w:val="36"/>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255A0A0A">
      <w:pPr>
        <w:spacing w:line="360" w:lineRule="auto"/>
        <w:ind w:firstLine="560"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Times New Roman"/>
          <w:color w:val="auto"/>
          <w:sz w:val="28"/>
          <w:szCs w:val="28"/>
        </w:rPr>
        <w:t>加油站地处兴国县枫边乡，位于枫边圩Y630乡道东侧，加油站出入口与 Y630 乡道连接</w:t>
      </w:r>
      <w:r>
        <w:rPr>
          <w:rFonts w:hint="eastAsia" w:ascii="Times New Roman" w:hAnsi="Times New Roman" w:cs="Times New Roman"/>
          <w:color w:val="auto"/>
          <w:sz w:val="28"/>
          <w:szCs w:val="28"/>
          <w:lang w:eastAsia="zh-CN"/>
        </w:rPr>
        <w:t>；</w:t>
      </w:r>
    </w:p>
    <w:p w14:paraId="751F47A9">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南侧为民房(三类保护物)，架空电力线（有绝缘层，H=4m）</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便道</w:t>
      </w:r>
      <w:r>
        <w:rPr>
          <w:rFonts w:hint="eastAsia" w:ascii="Times New Roman" w:hAnsi="Times New Roman" w:cs="Times New Roman"/>
          <w:color w:val="auto"/>
          <w:sz w:val="28"/>
          <w:szCs w:val="28"/>
        </w:rPr>
        <w:t>；</w:t>
      </w:r>
    </w:p>
    <w:p w14:paraId="3CBCBB8D">
      <w:pPr>
        <w:spacing w:line="360" w:lineRule="auto"/>
        <w:ind w:firstLine="560" w:firstLineChars="200"/>
        <w:jc w:val="left"/>
        <w:rPr>
          <w:rFonts w:hint="eastAsia" w:ascii="Times New Roman" w:hAnsi="Times New Roman" w:cs="Times New Roman"/>
          <w:color w:val="auto"/>
          <w:sz w:val="28"/>
          <w:szCs w:val="28"/>
          <w:lang w:eastAsia="zh-CN"/>
        </w:rPr>
      </w:pPr>
      <w:r>
        <w:rPr>
          <w:rFonts w:hint="eastAsia" w:ascii="Times New Roman" w:hAnsi="Times New Roman" w:cs="Times New Roman"/>
          <w:color w:val="auto"/>
          <w:sz w:val="28"/>
          <w:szCs w:val="28"/>
        </w:rPr>
        <w:t>东北侧为枫边派出所(三类保护物)</w:t>
      </w:r>
      <w:r>
        <w:rPr>
          <w:rFonts w:hint="eastAsia" w:ascii="Times New Roman" w:hAnsi="Times New Roman" w:cs="Times New Roman"/>
          <w:color w:val="auto"/>
          <w:sz w:val="28"/>
          <w:szCs w:val="28"/>
          <w:lang w:eastAsia="zh-CN"/>
        </w:rPr>
        <w:t>；</w:t>
      </w:r>
    </w:p>
    <w:p w14:paraId="0294E650">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东侧为空地。</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1"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08"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1" w:type="dxa"/>
            <w:shd w:val="clear" w:color="auto" w:fill="auto"/>
            <w:vAlign w:val="center"/>
          </w:tcPr>
          <w:p w14:paraId="29F5502D">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lang w:eastAsia="zh-CN"/>
              </w:rPr>
              <w:t>侧</w:t>
            </w:r>
          </w:p>
        </w:tc>
        <w:tc>
          <w:tcPr>
            <w:tcW w:w="4108" w:type="dxa"/>
            <w:shd w:val="clear" w:color="auto" w:fill="auto"/>
            <w:vAlign w:val="center"/>
          </w:tcPr>
          <w:p w14:paraId="6A6C6792">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Y630 乡道</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16.5/9.4</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65B0E06">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南侧</w:t>
            </w:r>
          </w:p>
        </w:tc>
        <w:tc>
          <w:tcPr>
            <w:tcW w:w="4108" w:type="dxa"/>
            <w:shd w:val="clear" w:color="auto" w:fill="auto"/>
            <w:vAlign w:val="center"/>
          </w:tcPr>
          <w:p w14:paraId="21B79107">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民房(三类保护物)</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28.9/29.3</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0C8FD4">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南侧</w:t>
            </w:r>
          </w:p>
        </w:tc>
        <w:tc>
          <w:tcPr>
            <w:tcW w:w="4108" w:type="dxa"/>
            <w:shd w:val="clear" w:color="auto" w:fill="auto"/>
            <w:vAlign w:val="center"/>
          </w:tcPr>
          <w:p w14:paraId="3492C104">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架空电力线（有绝缘层，H=4m）</w:t>
            </w:r>
          </w:p>
        </w:tc>
        <w:tc>
          <w:tcPr>
            <w:tcW w:w="1766"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19.4/19.9</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463B5F">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5C86D44A">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东北侧</w:t>
            </w:r>
          </w:p>
        </w:tc>
        <w:tc>
          <w:tcPr>
            <w:tcW w:w="4108" w:type="dxa"/>
            <w:shd w:val="clear" w:color="auto" w:fill="auto"/>
            <w:vAlign w:val="center"/>
          </w:tcPr>
          <w:p w14:paraId="6AE9C414">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枫边派出所(三类保护物)</w:t>
            </w:r>
          </w:p>
        </w:tc>
        <w:tc>
          <w:tcPr>
            <w:tcW w:w="1766"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7.6/9.7</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1" w:type="dxa"/>
            <w:shd w:val="clear" w:color="auto" w:fill="auto"/>
            <w:vAlign w:val="center"/>
          </w:tcPr>
          <w:p w14:paraId="41BEB26C">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lang w:eastAsia="zh-CN"/>
              </w:rPr>
              <w:t>侧</w:t>
            </w:r>
          </w:p>
        </w:tc>
        <w:tc>
          <w:tcPr>
            <w:tcW w:w="4108" w:type="dxa"/>
            <w:shd w:val="clear" w:color="auto" w:fill="auto"/>
            <w:vAlign w:val="center"/>
          </w:tcPr>
          <w:p w14:paraId="579F926E">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Y630 乡道</w:t>
            </w:r>
          </w:p>
        </w:tc>
        <w:tc>
          <w:tcPr>
            <w:tcW w:w="1766"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5/5</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B70D19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南侧</w:t>
            </w:r>
          </w:p>
        </w:tc>
        <w:tc>
          <w:tcPr>
            <w:tcW w:w="4108" w:type="dxa"/>
            <w:shd w:val="clear" w:color="auto" w:fill="auto"/>
            <w:vAlign w:val="center"/>
          </w:tcPr>
          <w:p w14:paraId="2BBA18E2">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1766"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25.2/25.2</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83A4C5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南侧</w:t>
            </w:r>
          </w:p>
        </w:tc>
        <w:tc>
          <w:tcPr>
            <w:tcW w:w="4108" w:type="dxa"/>
            <w:shd w:val="clear" w:color="auto" w:fill="auto"/>
            <w:vAlign w:val="center"/>
          </w:tcPr>
          <w:p w14:paraId="417BD428">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架空电力线（有绝缘层，H=4m）</w:t>
            </w:r>
          </w:p>
        </w:tc>
        <w:tc>
          <w:tcPr>
            <w:tcW w:w="1766"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18.9/18.9</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D40961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49AB111">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东北侧</w:t>
            </w:r>
          </w:p>
        </w:tc>
        <w:tc>
          <w:tcPr>
            <w:tcW w:w="4108" w:type="dxa"/>
            <w:shd w:val="clear" w:color="auto" w:fill="auto"/>
            <w:vAlign w:val="center"/>
          </w:tcPr>
          <w:p w14:paraId="2843946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枫边派出所(三类保护物)</w:t>
            </w:r>
          </w:p>
        </w:tc>
        <w:tc>
          <w:tcPr>
            <w:tcW w:w="1766"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21.4/21.4</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1" w:type="dxa"/>
            <w:shd w:val="clear" w:color="auto" w:fill="auto"/>
            <w:vAlign w:val="center"/>
          </w:tcPr>
          <w:p w14:paraId="0B03ADE3">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lang w:eastAsia="zh-CN"/>
              </w:rPr>
              <w:t>侧</w:t>
            </w:r>
          </w:p>
        </w:tc>
        <w:tc>
          <w:tcPr>
            <w:tcW w:w="4108" w:type="dxa"/>
            <w:shd w:val="clear" w:color="auto" w:fill="auto"/>
            <w:vAlign w:val="center"/>
          </w:tcPr>
          <w:p w14:paraId="7E73B51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Y630 乡道</w:t>
            </w:r>
          </w:p>
        </w:tc>
        <w:tc>
          <w:tcPr>
            <w:tcW w:w="1766"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5.1/5.4</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A7E2FB3">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南侧</w:t>
            </w:r>
          </w:p>
        </w:tc>
        <w:tc>
          <w:tcPr>
            <w:tcW w:w="4108" w:type="dxa"/>
            <w:shd w:val="clear" w:color="auto" w:fill="auto"/>
            <w:vAlign w:val="center"/>
          </w:tcPr>
          <w:p w14:paraId="48F2012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1766"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18.5/23.4</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4D4BE1C8">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南侧</w:t>
            </w:r>
          </w:p>
        </w:tc>
        <w:tc>
          <w:tcPr>
            <w:tcW w:w="4108" w:type="dxa"/>
            <w:shd w:val="clear" w:color="auto" w:fill="auto"/>
            <w:vAlign w:val="center"/>
          </w:tcPr>
          <w:p w14:paraId="280A22EA">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架空电力线（有绝缘层，H=4m）</w:t>
            </w:r>
          </w:p>
        </w:tc>
        <w:tc>
          <w:tcPr>
            <w:tcW w:w="1766"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14.5/17.5</w:t>
            </w:r>
          </w:p>
        </w:tc>
      </w:tr>
      <w:tr w14:paraId="0D0C4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F38D9BB">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78F22A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东北侧</w:t>
            </w:r>
          </w:p>
        </w:tc>
        <w:tc>
          <w:tcPr>
            <w:tcW w:w="4108" w:type="dxa"/>
            <w:shd w:val="clear" w:color="auto" w:fill="auto"/>
            <w:vAlign w:val="center"/>
          </w:tcPr>
          <w:p w14:paraId="684EB990">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枫边派出所(三类保护物)</w:t>
            </w:r>
          </w:p>
        </w:tc>
        <w:tc>
          <w:tcPr>
            <w:tcW w:w="1766" w:type="dxa"/>
            <w:vAlign w:val="center"/>
          </w:tcPr>
          <w:p w14:paraId="0912A8B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26./23</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加油站总平面布置按功能划分为加油区、站房、油罐区（承重）、密闭卸油口、隔油池等。</w:t>
      </w:r>
    </w:p>
    <w:p w14:paraId="17C2E07D">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加油站区内地势平坦，坡向道路，地面坡度&lt;2%。站内混凝土路面与Y630乡道相连，进口、出口分开设置。加油站除出入口外，站后北侧、南侧及东侧现设有高2.2m的实体围墙。</w:t>
      </w:r>
    </w:p>
    <w:p w14:paraId="78175118">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位于站区中部，为一层建筑，砖混结构，砼地面，占地面积</w:t>
      </w:r>
      <w:r>
        <w:rPr>
          <w:rFonts w:hint="eastAsia" w:ascii="Times New Roman" w:hAnsi="Times New Roman" w:cs="Times New Roman"/>
          <w:color w:val="auto"/>
          <w:sz w:val="28"/>
          <w:szCs w:val="28"/>
          <w:lang w:val="en-US" w:eastAsia="zh-CN"/>
        </w:rPr>
        <w:t>81.62</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w:t>
      </w:r>
      <w:r>
        <w:rPr>
          <w:rFonts w:hint="eastAsia" w:ascii="Times New Roman" w:hAnsi="Times New Roman" w:cs="Times New Roman"/>
          <w:color w:val="auto"/>
          <w:sz w:val="28"/>
          <w:szCs w:val="28"/>
          <w:lang w:val="en-US" w:eastAsia="zh-CN"/>
        </w:rPr>
        <w:t>配电间</w:t>
      </w:r>
      <w:r>
        <w:rPr>
          <w:rFonts w:hint="eastAsia" w:ascii="Times New Roman" w:hAnsi="Times New Roman" w:cs="Times New Roman"/>
          <w:color w:val="auto"/>
          <w:sz w:val="28"/>
          <w:szCs w:val="28"/>
        </w:rPr>
        <w:t>、卫生间等。</w:t>
      </w:r>
    </w:p>
    <w:p w14:paraId="5AC37D3C">
      <w:pPr>
        <w:spacing w:line="360" w:lineRule="auto"/>
        <w:ind w:firstLine="538"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pacing w:val="-6"/>
          <w:sz w:val="28"/>
          <w:szCs w:val="28"/>
          <w:lang w:val="zh-CN"/>
        </w:rPr>
        <w:t>加油区：</w:t>
      </w:r>
      <w:r>
        <w:rPr>
          <w:rFonts w:hint="eastAsia" w:ascii="Times New Roman" w:hAnsi="Times New Roman" w:cs="Times New Roman"/>
          <w:color w:val="auto"/>
          <w:spacing w:val="-6"/>
          <w:sz w:val="28"/>
          <w:szCs w:val="28"/>
        </w:rPr>
        <w:t>位于站区西侧，罩棚高</w:t>
      </w:r>
      <w:r>
        <w:rPr>
          <w:rFonts w:hint="eastAsia" w:ascii="Times New Roman" w:hAnsi="Times New Roman" w:cs="Times New Roman"/>
          <w:color w:val="auto"/>
          <w:spacing w:val="-6"/>
          <w:sz w:val="28"/>
          <w:szCs w:val="28"/>
          <w:lang w:val="en-US" w:eastAsia="zh-CN"/>
        </w:rPr>
        <w:t>6.0</w:t>
      </w:r>
      <w:r>
        <w:rPr>
          <w:rFonts w:hint="eastAsia" w:ascii="Times New Roman" w:hAnsi="Times New Roman" w:cs="Times New Roman"/>
          <w:color w:val="auto"/>
          <w:spacing w:val="-6"/>
          <w:sz w:val="28"/>
          <w:szCs w:val="28"/>
        </w:rPr>
        <w:t>m，罩棚边缘突出加油机</w:t>
      </w:r>
      <w:r>
        <w:rPr>
          <w:rFonts w:hint="eastAsia" w:ascii="Times New Roman" w:hAnsi="Times New Roman" w:cs="Times New Roman"/>
          <w:color w:val="auto"/>
          <w:spacing w:val="-6"/>
          <w:sz w:val="28"/>
          <w:szCs w:val="28"/>
          <w:lang w:val="en-US" w:eastAsia="zh-CN"/>
        </w:rPr>
        <w:t>2.0</w:t>
      </w:r>
      <w:r>
        <w:rPr>
          <w:rFonts w:hint="eastAsia" w:ascii="Times New Roman" w:hAnsi="Times New Roman" w:cs="Times New Roman"/>
          <w:color w:val="auto"/>
          <w:spacing w:val="-6"/>
          <w:sz w:val="28"/>
          <w:szCs w:val="28"/>
        </w:rPr>
        <w:t>m，罩棚共</w:t>
      </w:r>
      <w:r>
        <w:rPr>
          <w:rFonts w:hint="eastAsia" w:ascii="Times New Roman" w:hAnsi="Times New Roman" w:cs="Times New Roman"/>
          <w:color w:val="auto"/>
          <w:spacing w:val="-6"/>
          <w:sz w:val="28"/>
          <w:szCs w:val="28"/>
          <w:lang w:val="en-US" w:eastAsia="zh-CN"/>
        </w:rPr>
        <w:t>2</w:t>
      </w:r>
      <w:r>
        <w:rPr>
          <w:rFonts w:hint="eastAsia" w:ascii="Times New Roman" w:hAnsi="Times New Roman" w:cs="Times New Roman"/>
          <w:color w:val="auto"/>
          <w:spacing w:val="-6"/>
          <w:sz w:val="28"/>
          <w:szCs w:val="28"/>
        </w:rPr>
        <w:t>根现浇钢筋混凝土立柱，罩棚顶为</w:t>
      </w:r>
      <w:r>
        <w:rPr>
          <w:rFonts w:hint="eastAsia" w:ascii="Times New Roman" w:hAnsi="Times New Roman" w:cs="Times New Roman"/>
          <w:color w:val="auto"/>
          <w:spacing w:val="-6"/>
          <w:sz w:val="28"/>
          <w:szCs w:val="28"/>
          <w:lang w:val="en-US" w:eastAsia="zh-CN"/>
        </w:rPr>
        <w:t>钢架结构</w:t>
      </w:r>
      <w:r>
        <w:rPr>
          <w:rFonts w:hint="eastAsia" w:ascii="Times New Roman" w:hAnsi="Times New Roman" w:cs="Times New Roman"/>
          <w:color w:val="auto"/>
          <w:spacing w:val="-6"/>
          <w:sz w:val="28"/>
          <w:szCs w:val="28"/>
        </w:rPr>
        <w:t>，占地面积</w:t>
      </w:r>
      <w:r>
        <w:rPr>
          <w:rFonts w:hint="eastAsia" w:ascii="Times New Roman" w:hAnsi="Times New Roman" w:cs="Times New Roman"/>
          <w:color w:val="auto"/>
          <w:spacing w:val="-6"/>
          <w:sz w:val="28"/>
          <w:szCs w:val="28"/>
          <w:lang w:val="en-US" w:eastAsia="zh-CN"/>
        </w:rPr>
        <w:t>115.5</w:t>
      </w:r>
      <w:r>
        <w:rPr>
          <w:rFonts w:hint="eastAsia" w:ascii="Times New Roman" w:hAnsi="Times New Roman" w:cs="Times New Roman"/>
          <w:color w:val="auto"/>
          <w:spacing w:val="-6"/>
          <w:sz w:val="28"/>
          <w:szCs w:val="28"/>
        </w:rPr>
        <w:t>m</w:t>
      </w:r>
      <w:r>
        <w:rPr>
          <w:rFonts w:hint="eastAsia" w:ascii="Times New Roman" w:hAnsi="Times New Roman" w:cs="Times New Roman"/>
          <w:color w:val="auto"/>
          <w:spacing w:val="-6"/>
          <w:sz w:val="28"/>
          <w:szCs w:val="28"/>
          <w:vertAlign w:val="superscript"/>
        </w:rPr>
        <w:t>2</w:t>
      </w:r>
      <w:r>
        <w:rPr>
          <w:rFonts w:hint="eastAsia" w:ascii="Times New Roman" w:hAnsi="Times New Roman" w:cs="Times New Roman"/>
          <w:color w:val="auto"/>
          <w:spacing w:val="-6"/>
          <w:sz w:val="28"/>
          <w:szCs w:val="28"/>
        </w:rPr>
        <w:t>，内设有1座通长加油岛，高0.2m，宽1.2m，长</w:t>
      </w:r>
      <w:r>
        <w:rPr>
          <w:rFonts w:hint="eastAsia" w:ascii="Times New Roman" w:hAnsi="Times New Roman" w:cs="Times New Roman"/>
          <w:color w:val="auto"/>
          <w:spacing w:val="-6"/>
          <w:sz w:val="28"/>
          <w:szCs w:val="28"/>
          <w:lang w:val="en-US" w:eastAsia="zh-CN"/>
        </w:rPr>
        <w:t>8.5</w:t>
      </w:r>
      <w:r>
        <w:rPr>
          <w:rFonts w:hint="eastAsia" w:ascii="Times New Roman" w:hAnsi="Times New Roman" w:cs="Times New Roman"/>
          <w:color w:val="auto"/>
          <w:spacing w:val="-6"/>
          <w:sz w:val="28"/>
          <w:szCs w:val="28"/>
        </w:rPr>
        <w:t>m，加油岛上罩棚支柱距岛端部为0.6m，加油岛为1 台92#、92#</w:t>
      </w:r>
      <w:r>
        <w:rPr>
          <w:rFonts w:hint="eastAsia" w:ascii="Times New Roman" w:hAnsi="Times New Roman" w:cs="Times New Roman"/>
          <w:color w:val="auto"/>
          <w:spacing w:val="-6"/>
          <w:sz w:val="28"/>
          <w:szCs w:val="28"/>
          <w:lang w:val="en-US" w:eastAsia="zh-CN"/>
        </w:rPr>
        <w:t>双</w:t>
      </w:r>
      <w:r>
        <w:rPr>
          <w:rFonts w:hint="eastAsia" w:ascii="Times New Roman" w:hAnsi="Times New Roman" w:cs="Times New Roman"/>
          <w:color w:val="auto"/>
          <w:spacing w:val="-6"/>
          <w:sz w:val="28"/>
          <w:szCs w:val="28"/>
        </w:rPr>
        <w:t>枪加油机和1 台0#、0#双枪加油机。</w:t>
      </w:r>
    </w:p>
    <w:p w14:paraId="2EA354A5">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位于站区</w:t>
      </w:r>
      <w:r>
        <w:rPr>
          <w:rFonts w:hint="eastAsia" w:ascii="Times New Roman" w:hAnsi="Times New Roman" w:cs="宋体"/>
          <w:color w:val="auto"/>
          <w:sz w:val="28"/>
          <w:szCs w:val="28"/>
          <w:lang w:val="en-US" w:eastAsia="zh-CN"/>
        </w:rPr>
        <w:t>东北</w:t>
      </w:r>
      <w:r>
        <w:rPr>
          <w:rFonts w:hint="eastAsia" w:ascii="Times New Roman" w:hAnsi="Times New Roman" w:cs="宋体"/>
          <w:color w:val="auto"/>
          <w:sz w:val="28"/>
          <w:szCs w:val="28"/>
          <w:lang w:val="zh-CN"/>
        </w:rPr>
        <w:t>侧，属承重罐区，</w:t>
      </w:r>
      <w:r>
        <w:rPr>
          <w:rFonts w:hint="eastAsia" w:ascii="Times New Roman" w:hAnsi="Times New Roman" w:cs="宋体"/>
          <w:color w:val="auto"/>
          <w:sz w:val="28"/>
          <w:szCs w:val="28"/>
          <w:lang w:val="en-US" w:eastAsia="zh-CN"/>
        </w:rPr>
        <w:t>2</w:t>
      </w:r>
      <w:r>
        <w:rPr>
          <w:rFonts w:hint="eastAsia" w:ascii="Times New Roman" w:hAnsi="Times New Roman" w:cs="宋体"/>
          <w:color w:val="auto"/>
          <w:sz w:val="28"/>
          <w:szCs w:val="28"/>
          <w:lang w:val="zh-CN"/>
        </w:rPr>
        <w:t>个卧式埋地SF油罐由</w:t>
      </w:r>
      <w:r>
        <w:rPr>
          <w:rFonts w:hint="eastAsia" w:ascii="Times New Roman" w:hAnsi="Times New Roman" w:cs="宋体"/>
          <w:color w:val="auto"/>
          <w:sz w:val="28"/>
          <w:szCs w:val="28"/>
          <w:lang w:val="en-US" w:eastAsia="zh-CN"/>
        </w:rPr>
        <w:t>西</w:t>
      </w:r>
      <w:r>
        <w:rPr>
          <w:rFonts w:hint="eastAsia" w:ascii="Times New Roman" w:hAnsi="Times New Roman" w:cs="宋体"/>
          <w:color w:val="auto"/>
          <w:sz w:val="28"/>
          <w:szCs w:val="28"/>
          <w:lang w:val="zh-CN"/>
        </w:rPr>
        <w:t>向</w:t>
      </w:r>
      <w:r>
        <w:rPr>
          <w:rFonts w:hint="eastAsia" w:ascii="Times New Roman" w:hAnsi="Times New Roman" w:cs="宋体"/>
          <w:color w:val="auto"/>
          <w:sz w:val="28"/>
          <w:szCs w:val="28"/>
          <w:lang w:val="en-US" w:eastAsia="zh-CN"/>
        </w:rPr>
        <w:t>东</w:t>
      </w:r>
      <w:r>
        <w:rPr>
          <w:rFonts w:hint="eastAsia" w:ascii="Times New Roman" w:hAnsi="Times New Roman" w:cs="宋体"/>
          <w:color w:val="auto"/>
          <w:sz w:val="28"/>
          <w:szCs w:val="28"/>
          <w:lang w:val="zh-CN"/>
        </w:rPr>
        <w:t>呈单排设置，分别为容量为30m3的0#柴油储罐1个，容量为30m3 的92#汽油储罐1个。柴油通气管、汽油通气管设置于罩棚立柱内，为DN50 的无缝钢管，通气管高出罩棚2m。</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位于罐区</w:t>
      </w:r>
      <w:r>
        <w:rPr>
          <w:rFonts w:hint="eastAsia" w:ascii="Times New Roman" w:hAnsi="Times New Roman" w:cs="宋体"/>
          <w:color w:val="auto"/>
          <w:sz w:val="28"/>
          <w:szCs w:val="28"/>
          <w:lang w:val="en-US" w:eastAsia="zh-CN"/>
        </w:rPr>
        <w:t>北</w:t>
      </w:r>
      <w:r>
        <w:rPr>
          <w:rFonts w:hint="eastAsia" w:ascii="Times New Roman" w:hAnsi="Times New Roman" w:cs="宋体"/>
          <w:color w:val="auto"/>
          <w:sz w:val="28"/>
          <w:szCs w:val="28"/>
          <w:lang w:val="zh-CN"/>
        </w:rPr>
        <w:t>侧，设置1 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 xml:space="preserve"> 消防沙池，1 个消防器材箱，1个计量组合柜。</w:t>
      </w:r>
    </w:p>
    <w:p w14:paraId="67FB596C">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w:t>
      </w:r>
      <w:r>
        <w:rPr>
          <w:rFonts w:hint="eastAsia" w:ascii="Times New Roman" w:hAnsi="Times New Roman" w:cs="宋体"/>
          <w:color w:val="auto"/>
          <w:sz w:val="28"/>
          <w:szCs w:val="28"/>
          <w:lang w:val="en-US" w:eastAsia="zh-CN"/>
        </w:rPr>
        <w:t>入</w:t>
      </w:r>
      <w:r>
        <w:rPr>
          <w:rFonts w:hint="eastAsia" w:ascii="Times New Roman" w:hAnsi="Times New Roman" w:cs="宋体"/>
          <w:color w:val="auto"/>
          <w:sz w:val="28"/>
          <w:szCs w:val="28"/>
          <w:lang w:val="zh-CN"/>
        </w:rPr>
        <w:t>口附近。</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35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4"/>
        <w:gridCol w:w="2400"/>
        <w:gridCol w:w="3447"/>
        <w:gridCol w:w="1866"/>
        <w:gridCol w:w="1585"/>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33"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230"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766"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95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12"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766"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95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812"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766"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812"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4.1</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766"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812"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4.4</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766"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2.9</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230"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766"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4.0</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6"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12"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6"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12"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6"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5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12"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13.7</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6"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5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12"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13.7</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6"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12.5</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766"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95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812"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12.5</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766"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812"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233"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766"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812"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766"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95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812"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10.5</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766"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12"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766"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12"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15.6</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3"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766"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12"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23.4</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3"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230"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766"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95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12"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11.4</w:t>
            </w:r>
          </w:p>
        </w:tc>
      </w:tr>
    </w:tbl>
    <w:p w14:paraId="719FD588">
      <w:pPr>
        <w:pStyle w:val="4"/>
        <w:rPr>
          <w:rFonts w:cs="Times New Roman"/>
          <w:color w:val="auto"/>
        </w:rPr>
      </w:pPr>
      <w:r>
        <w:rPr>
          <w:color w:val="auto"/>
        </w:rPr>
        <w:t xml:space="preserve">2.2.2 </w:t>
      </w:r>
      <w:r>
        <w:rPr>
          <w:rFonts w:hint="eastAsia" w:cs="宋体"/>
          <w:color w:val="auto"/>
        </w:rPr>
        <w:t>气象条件</w:t>
      </w:r>
    </w:p>
    <w:p w14:paraId="203DAACA">
      <w:pPr>
        <w:pStyle w:val="33"/>
        <w:ind w:firstLine="536" w:firstLineChars="200"/>
        <w:rPr>
          <w:rFonts w:hint="eastAsia" w:ascii="Times New Roman" w:cs="Times New Roman"/>
          <w:color w:val="auto"/>
          <w:spacing w:val="-6"/>
          <w:sz w:val="28"/>
          <w:szCs w:val="28"/>
        </w:rPr>
      </w:pPr>
      <w:r>
        <w:rPr>
          <w:rFonts w:hint="eastAsia" w:ascii="Times New Roman" w:cs="Times New Roman"/>
          <w:color w:val="auto"/>
          <w:spacing w:val="-6"/>
          <w:sz w:val="28"/>
          <w:szCs w:val="28"/>
        </w:rPr>
        <w:t>兴国县系亚热带季风湿润气候。气候温和，雨量充沛，光照充足，四季分明，无霜期长。年平均气温为18.8℃，日照1926.5小时，降雨量1560 毫米，年平均降雨量为1515.6 毫米，年平均无霜期284 天，适宜各种农作物生长。</w:t>
      </w:r>
    </w:p>
    <w:p w14:paraId="464E8AFC">
      <w:pPr>
        <w:pStyle w:val="33"/>
        <w:ind w:firstLine="560" w:firstLineChars="200"/>
        <w:rPr>
          <w:rFonts w:hint="eastAsia" w:ascii="Times New Roman" w:eastAsia="宋体" w:cs="Times New Roman"/>
          <w:color w:val="auto"/>
          <w:sz w:val="28"/>
          <w:szCs w:val="28"/>
          <w:lang w:val="en-US" w:eastAsia="zh-CN"/>
        </w:rPr>
      </w:pPr>
      <w:r>
        <w:rPr>
          <w:rFonts w:hint="eastAsia" w:ascii="Times New Roman" w:cs="Times New Roman"/>
          <w:color w:val="auto"/>
          <w:sz w:val="28"/>
          <w:szCs w:val="28"/>
        </w:rPr>
        <w:t>该项目在雷电易发区，年平均地闪密度5.97，雷电活动频繁，无历史雷电害灾</w:t>
      </w:r>
      <w:r>
        <w:rPr>
          <w:rFonts w:hint="eastAsia" w:ascii="Times New Roman" w:cs="Times New Roman"/>
          <w:color w:val="auto"/>
          <w:sz w:val="28"/>
          <w:szCs w:val="28"/>
          <w:lang w:val="en-US" w:eastAsia="zh-CN"/>
        </w:rPr>
        <w:t>。</w:t>
      </w:r>
    </w:p>
    <w:p w14:paraId="1458ACC0">
      <w:pPr>
        <w:pStyle w:val="3"/>
        <w:spacing w:line="580" w:lineRule="exact"/>
        <w:rPr>
          <w:color w:val="auto"/>
        </w:rPr>
      </w:pPr>
      <w:bookmarkStart w:id="31" w:name="_Toc19009"/>
      <w:bookmarkStart w:id="32" w:name="_Toc15102"/>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61"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611"/>
        <w:gridCol w:w="1902"/>
        <w:gridCol w:w="692"/>
        <w:gridCol w:w="692"/>
        <w:gridCol w:w="1611"/>
        <w:gridCol w:w="2018"/>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74"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4"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4"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p>
        </w:tc>
        <w:tc>
          <w:tcPr>
            <w:tcW w:w="1031" w:type="pct"/>
            <w:shd w:val="clear" w:color="auto" w:fill="auto"/>
            <w:vAlign w:val="center"/>
          </w:tcPr>
          <w:p w14:paraId="580982D5">
            <w:pPr>
              <w:spacing w:line="260" w:lineRule="exact"/>
              <w:jc w:val="center"/>
              <w:rPr>
                <w:bCs/>
                <w:color w:val="auto"/>
              </w:rPr>
            </w:pPr>
          </w:p>
        </w:tc>
        <w:tc>
          <w:tcPr>
            <w:tcW w:w="375" w:type="pct"/>
            <w:shd w:val="clear" w:color="auto" w:fill="auto"/>
            <w:vAlign w:val="center"/>
          </w:tcPr>
          <w:p w14:paraId="140C5233">
            <w:pPr>
              <w:spacing w:line="260" w:lineRule="exact"/>
              <w:jc w:val="center"/>
              <w:rPr>
                <w:bCs/>
                <w:color w:val="auto"/>
              </w:rPr>
            </w:pPr>
          </w:p>
        </w:tc>
        <w:tc>
          <w:tcPr>
            <w:tcW w:w="375" w:type="pct"/>
            <w:shd w:val="clear" w:color="auto" w:fill="auto"/>
            <w:vAlign w:val="center"/>
          </w:tcPr>
          <w:p w14:paraId="5F9A3C79">
            <w:pPr>
              <w:spacing w:line="260" w:lineRule="exact"/>
              <w:jc w:val="center"/>
              <w:rPr>
                <w:rFonts w:hint="eastAsia" w:eastAsia="宋体"/>
                <w:bCs/>
                <w:color w:val="auto"/>
                <w:lang w:eastAsia="zh-CN"/>
              </w:rPr>
            </w:pPr>
          </w:p>
        </w:tc>
        <w:tc>
          <w:tcPr>
            <w:tcW w:w="873" w:type="pct"/>
            <w:shd w:val="clear" w:color="auto" w:fill="auto"/>
            <w:vAlign w:val="center"/>
          </w:tcPr>
          <w:p w14:paraId="2378C459">
            <w:pPr>
              <w:spacing w:line="260" w:lineRule="exact"/>
              <w:jc w:val="center"/>
              <w:rPr>
                <w:bCs/>
                <w:color w:val="auto"/>
              </w:rPr>
            </w:pPr>
          </w:p>
        </w:tc>
        <w:tc>
          <w:tcPr>
            <w:tcW w:w="1094" w:type="pct"/>
            <w:shd w:val="clear" w:color="auto" w:fill="auto"/>
            <w:vAlign w:val="center"/>
          </w:tcPr>
          <w:p w14:paraId="5C7D2A47">
            <w:pPr>
              <w:spacing w:line="260" w:lineRule="exact"/>
              <w:jc w:val="center"/>
              <w:rPr>
                <w:bCs/>
                <w:color w:val="auto"/>
              </w:rPr>
            </w:pP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4"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p>
        </w:tc>
        <w:tc>
          <w:tcPr>
            <w:tcW w:w="1031" w:type="pct"/>
            <w:shd w:val="clear" w:color="auto" w:fill="auto"/>
            <w:vAlign w:val="center"/>
          </w:tcPr>
          <w:p w14:paraId="3589C42B">
            <w:pPr>
              <w:spacing w:line="260" w:lineRule="exact"/>
              <w:jc w:val="center"/>
              <w:rPr>
                <w:bCs/>
                <w:color w:val="auto"/>
              </w:rPr>
            </w:pPr>
          </w:p>
        </w:tc>
        <w:tc>
          <w:tcPr>
            <w:tcW w:w="375" w:type="pct"/>
            <w:shd w:val="clear" w:color="auto" w:fill="auto"/>
            <w:vAlign w:val="center"/>
          </w:tcPr>
          <w:p w14:paraId="781EEEA3">
            <w:pPr>
              <w:spacing w:line="260" w:lineRule="exact"/>
              <w:jc w:val="center"/>
              <w:rPr>
                <w:bCs/>
                <w:color w:val="auto"/>
              </w:rPr>
            </w:pPr>
          </w:p>
        </w:tc>
        <w:tc>
          <w:tcPr>
            <w:tcW w:w="375" w:type="pct"/>
            <w:shd w:val="clear" w:color="auto" w:fill="auto"/>
            <w:vAlign w:val="center"/>
          </w:tcPr>
          <w:p w14:paraId="1642EF81">
            <w:pPr>
              <w:spacing w:line="260" w:lineRule="exact"/>
              <w:jc w:val="center"/>
              <w:rPr>
                <w:bCs/>
                <w:color w:val="auto"/>
              </w:rPr>
            </w:pPr>
          </w:p>
        </w:tc>
        <w:tc>
          <w:tcPr>
            <w:tcW w:w="873" w:type="pct"/>
            <w:shd w:val="clear" w:color="auto" w:fill="auto"/>
            <w:vAlign w:val="center"/>
          </w:tcPr>
          <w:p w14:paraId="0AB70744">
            <w:pPr>
              <w:spacing w:line="260" w:lineRule="exact"/>
              <w:jc w:val="center"/>
              <w:rPr>
                <w:bCs/>
                <w:color w:val="auto"/>
              </w:rPr>
            </w:pPr>
          </w:p>
        </w:tc>
        <w:tc>
          <w:tcPr>
            <w:tcW w:w="1094" w:type="pct"/>
            <w:shd w:val="clear" w:color="auto" w:fill="auto"/>
            <w:vAlign w:val="center"/>
          </w:tcPr>
          <w:p w14:paraId="0AF29216">
            <w:pPr>
              <w:spacing w:line="260" w:lineRule="exact"/>
              <w:jc w:val="center"/>
              <w:rPr>
                <w:bCs/>
                <w:color w:val="auto"/>
              </w:rPr>
            </w:pP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4"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3</w:t>
            </w:r>
          </w:p>
        </w:tc>
        <w:tc>
          <w:tcPr>
            <w:tcW w:w="873" w:type="pct"/>
            <w:vAlign w:val="center"/>
          </w:tcPr>
          <w:p w14:paraId="38FF651D">
            <w:pPr>
              <w:spacing w:line="260" w:lineRule="exact"/>
              <w:jc w:val="center"/>
              <w:rPr>
                <w:bCs/>
                <w:color w:val="auto"/>
              </w:rPr>
            </w:pPr>
          </w:p>
        </w:tc>
        <w:tc>
          <w:tcPr>
            <w:tcW w:w="1031" w:type="pct"/>
            <w:vAlign w:val="center"/>
          </w:tcPr>
          <w:p w14:paraId="64008698">
            <w:pPr>
              <w:spacing w:line="260" w:lineRule="exact"/>
              <w:rPr>
                <w:bCs/>
                <w:color w:val="auto"/>
              </w:rPr>
            </w:pPr>
          </w:p>
        </w:tc>
        <w:tc>
          <w:tcPr>
            <w:tcW w:w="375" w:type="pct"/>
            <w:vAlign w:val="center"/>
          </w:tcPr>
          <w:p w14:paraId="2CC071DE">
            <w:pPr>
              <w:spacing w:line="260" w:lineRule="exact"/>
              <w:jc w:val="center"/>
              <w:rPr>
                <w:bCs/>
                <w:color w:val="auto"/>
              </w:rPr>
            </w:pPr>
          </w:p>
        </w:tc>
        <w:tc>
          <w:tcPr>
            <w:tcW w:w="375" w:type="pct"/>
            <w:vAlign w:val="center"/>
          </w:tcPr>
          <w:p w14:paraId="19757907">
            <w:pPr>
              <w:spacing w:line="260" w:lineRule="exact"/>
              <w:jc w:val="center"/>
              <w:rPr>
                <w:rFonts w:hint="eastAsia" w:eastAsia="宋体"/>
                <w:bCs/>
                <w:color w:val="auto"/>
                <w:lang w:eastAsia="zh-CN"/>
              </w:rPr>
            </w:pPr>
          </w:p>
        </w:tc>
        <w:tc>
          <w:tcPr>
            <w:tcW w:w="873" w:type="pct"/>
            <w:vAlign w:val="center"/>
          </w:tcPr>
          <w:p w14:paraId="2908A827">
            <w:pPr>
              <w:spacing w:line="260" w:lineRule="exact"/>
              <w:jc w:val="center"/>
              <w:rPr>
                <w:bCs/>
                <w:color w:val="auto"/>
              </w:rPr>
            </w:pPr>
          </w:p>
        </w:tc>
        <w:tc>
          <w:tcPr>
            <w:tcW w:w="1094" w:type="pct"/>
            <w:vAlign w:val="center"/>
          </w:tcPr>
          <w:p w14:paraId="29C1063F">
            <w:pPr>
              <w:spacing w:line="260" w:lineRule="exact"/>
              <w:jc w:val="center"/>
              <w:rPr>
                <w:rFonts w:ascii="宋体" w:hAnsi="宋体"/>
                <w:bCs/>
                <w:color w:val="auto"/>
              </w:rPr>
            </w:pP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4"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B5F1E0E">
            <w:pPr>
              <w:spacing w:line="260" w:lineRule="exact"/>
              <w:jc w:val="center"/>
              <w:rPr>
                <w:bCs/>
                <w:color w:val="auto"/>
              </w:rPr>
            </w:pPr>
          </w:p>
        </w:tc>
        <w:tc>
          <w:tcPr>
            <w:tcW w:w="1031" w:type="pct"/>
            <w:vAlign w:val="center"/>
          </w:tcPr>
          <w:p w14:paraId="685A10D4">
            <w:pPr>
              <w:spacing w:line="260" w:lineRule="exact"/>
              <w:jc w:val="center"/>
              <w:rPr>
                <w:bCs/>
                <w:color w:val="auto"/>
              </w:rPr>
            </w:pPr>
          </w:p>
        </w:tc>
        <w:tc>
          <w:tcPr>
            <w:tcW w:w="375" w:type="pct"/>
            <w:vAlign w:val="center"/>
          </w:tcPr>
          <w:p w14:paraId="13C81D46">
            <w:pPr>
              <w:spacing w:line="260" w:lineRule="exact"/>
              <w:jc w:val="center"/>
              <w:rPr>
                <w:bCs/>
                <w:color w:val="auto"/>
              </w:rPr>
            </w:pPr>
          </w:p>
        </w:tc>
        <w:tc>
          <w:tcPr>
            <w:tcW w:w="375" w:type="pct"/>
            <w:vAlign w:val="center"/>
          </w:tcPr>
          <w:p w14:paraId="7EC95CB2">
            <w:pPr>
              <w:spacing w:line="260" w:lineRule="exact"/>
              <w:jc w:val="center"/>
              <w:rPr>
                <w:bCs/>
                <w:color w:val="auto"/>
              </w:rPr>
            </w:pPr>
          </w:p>
        </w:tc>
        <w:tc>
          <w:tcPr>
            <w:tcW w:w="873" w:type="pct"/>
            <w:vAlign w:val="center"/>
          </w:tcPr>
          <w:p w14:paraId="409E3EA3">
            <w:pPr>
              <w:spacing w:line="260" w:lineRule="exact"/>
              <w:jc w:val="center"/>
              <w:rPr>
                <w:bCs/>
                <w:color w:val="auto"/>
              </w:rPr>
            </w:pPr>
          </w:p>
        </w:tc>
        <w:tc>
          <w:tcPr>
            <w:tcW w:w="1094" w:type="pct"/>
            <w:vAlign w:val="center"/>
          </w:tcPr>
          <w:p w14:paraId="2C7CA1E4">
            <w:pPr>
              <w:spacing w:line="260" w:lineRule="exact"/>
              <w:jc w:val="center"/>
              <w:rPr>
                <w:rFonts w:ascii="宋体" w:hAnsi="宋体" w:cs="宋体"/>
                <w:bCs/>
                <w:color w:val="auto"/>
              </w:rPr>
            </w:pP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4" w:type="pct"/>
            <w:shd w:val="clear" w:color="auto" w:fill="auto"/>
            <w:vAlign w:val="center"/>
          </w:tcPr>
          <w:p w14:paraId="7DE83CC0">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56279505">
            <w:pPr>
              <w:spacing w:line="260" w:lineRule="exact"/>
              <w:jc w:val="center"/>
              <w:rPr>
                <w:bCs/>
                <w:color w:val="auto"/>
              </w:rPr>
            </w:pPr>
          </w:p>
        </w:tc>
        <w:tc>
          <w:tcPr>
            <w:tcW w:w="1031" w:type="pct"/>
            <w:vAlign w:val="center"/>
          </w:tcPr>
          <w:p w14:paraId="17113ADF">
            <w:pPr>
              <w:spacing w:line="260" w:lineRule="exact"/>
              <w:jc w:val="center"/>
              <w:rPr>
                <w:bCs/>
                <w:color w:val="auto"/>
              </w:rPr>
            </w:pPr>
          </w:p>
        </w:tc>
        <w:tc>
          <w:tcPr>
            <w:tcW w:w="375" w:type="pct"/>
            <w:vAlign w:val="center"/>
          </w:tcPr>
          <w:p w14:paraId="0FEAEC55">
            <w:pPr>
              <w:spacing w:line="260" w:lineRule="exact"/>
              <w:jc w:val="center"/>
              <w:rPr>
                <w:bCs/>
                <w:color w:val="auto"/>
              </w:rPr>
            </w:pPr>
          </w:p>
        </w:tc>
        <w:tc>
          <w:tcPr>
            <w:tcW w:w="375" w:type="pct"/>
            <w:vAlign w:val="center"/>
          </w:tcPr>
          <w:p w14:paraId="0DBD6027">
            <w:pPr>
              <w:spacing w:line="260" w:lineRule="exact"/>
              <w:jc w:val="center"/>
              <w:rPr>
                <w:bCs/>
                <w:color w:val="auto"/>
              </w:rPr>
            </w:pPr>
          </w:p>
        </w:tc>
        <w:tc>
          <w:tcPr>
            <w:tcW w:w="873" w:type="pct"/>
            <w:vAlign w:val="center"/>
          </w:tcPr>
          <w:p w14:paraId="35B6FDB2">
            <w:pPr>
              <w:spacing w:line="260" w:lineRule="exact"/>
              <w:jc w:val="center"/>
              <w:rPr>
                <w:bCs/>
                <w:color w:val="auto"/>
              </w:rPr>
            </w:pPr>
          </w:p>
        </w:tc>
        <w:tc>
          <w:tcPr>
            <w:tcW w:w="1094" w:type="pct"/>
            <w:vAlign w:val="center"/>
          </w:tcPr>
          <w:p w14:paraId="6030DE3A">
            <w:pPr>
              <w:spacing w:line="260" w:lineRule="exact"/>
              <w:jc w:val="center"/>
              <w:rPr>
                <w:bCs/>
                <w:color w:val="auto"/>
              </w:rPr>
            </w:pP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74" w:type="pct"/>
            <w:shd w:val="clear" w:color="auto" w:fill="auto"/>
            <w:vAlign w:val="center"/>
          </w:tcPr>
          <w:p w14:paraId="46B5504E">
            <w:pPr>
              <w:spacing w:line="260" w:lineRule="exact"/>
              <w:jc w:val="center"/>
              <w:rPr>
                <w:rFonts w:hint="eastAsia" w:eastAsia="宋体"/>
                <w:bCs/>
                <w:color w:val="auto"/>
                <w:lang w:val="en-US" w:eastAsia="zh-CN"/>
              </w:rPr>
            </w:pPr>
            <w:r>
              <w:rPr>
                <w:rFonts w:hint="eastAsia"/>
                <w:bCs/>
                <w:color w:val="auto"/>
              </w:rPr>
              <w:t>6</w:t>
            </w:r>
          </w:p>
        </w:tc>
        <w:tc>
          <w:tcPr>
            <w:tcW w:w="873" w:type="pct"/>
            <w:vAlign w:val="center"/>
          </w:tcPr>
          <w:p w14:paraId="686B8C77">
            <w:pPr>
              <w:spacing w:line="260" w:lineRule="exact"/>
              <w:jc w:val="center"/>
              <w:rPr>
                <w:bCs/>
                <w:color w:val="auto"/>
              </w:rPr>
            </w:pPr>
          </w:p>
        </w:tc>
        <w:tc>
          <w:tcPr>
            <w:tcW w:w="1031" w:type="pct"/>
            <w:vAlign w:val="center"/>
          </w:tcPr>
          <w:p w14:paraId="27FDFD1D">
            <w:pPr>
              <w:spacing w:line="260" w:lineRule="exact"/>
              <w:jc w:val="center"/>
              <w:rPr>
                <w:bCs/>
                <w:color w:val="auto"/>
              </w:rPr>
            </w:pPr>
          </w:p>
        </w:tc>
        <w:tc>
          <w:tcPr>
            <w:tcW w:w="375" w:type="pct"/>
            <w:vAlign w:val="center"/>
          </w:tcPr>
          <w:p w14:paraId="73F64BB6">
            <w:pPr>
              <w:spacing w:line="260" w:lineRule="exact"/>
              <w:jc w:val="center"/>
              <w:rPr>
                <w:bCs/>
                <w:color w:val="auto"/>
              </w:rPr>
            </w:pPr>
          </w:p>
        </w:tc>
        <w:tc>
          <w:tcPr>
            <w:tcW w:w="375" w:type="pct"/>
            <w:vAlign w:val="center"/>
          </w:tcPr>
          <w:p w14:paraId="6BAD6ECD">
            <w:pPr>
              <w:spacing w:line="260" w:lineRule="exact"/>
              <w:jc w:val="center"/>
              <w:rPr>
                <w:bCs/>
                <w:color w:val="auto"/>
              </w:rPr>
            </w:pPr>
          </w:p>
        </w:tc>
        <w:tc>
          <w:tcPr>
            <w:tcW w:w="873" w:type="pct"/>
            <w:vAlign w:val="center"/>
          </w:tcPr>
          <w:p w14:paraId="199BBCD5">
            <w:pPr>
              <w:spacing w:line="260" w:lineRule="exact"/>
              <w:jc w:val="center"/>
              <w:rPr>
                <w:bCs/>
                <w:color w:val="auto"/>
              </w:rPr>
            </w:pPr>
          </w:p>
        </w:tc>
        <w:tc>
          <w:tcPr>
            <w:tcW w:w="1094" w:type="pct"/>
            <w:vAlign w:val="center"/>
          </w:tcPr>
          <w:p w14:paraId="46442572">
            <w:pPr>
              <w:spacing w:line="260" w:lineRule="exact"/>
              <w:jc w:val="center"/>
              <w:rPr>
                <w:bCs/>
                <w:color w:val="auto"/>
              </w:rPr>
            </w:pP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600"/>
        <w:gridCol w:w="707"/>
        <w:gridCol w:w="1087"/>
        <w:gridCol w:w="1234"/>
        <w:gridCol w:w="1747"/>
        <w:gridCol w:w="1882"/>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3" w:hRule="exact"/>
          <w:jc w:val="center"/>
        </w:trPr>
        <w:tc>
          <w:tcPr>
            <w:tcW w:w="679" w:type="dxa"/>
            <w:vAlign w:val="center"/>
          </w:tcPr>
          <w:p w14:paraId="3B51431C">
            <w:pPr>
              <w:jc w:val="center"/>
              <w:rPr>
                <w:b/>
                <w:color w:val="auto"/>
              </w:rPr>
            </w:pPr>
            <w:r>
              <w:rPr>
                <w:rFonts w:hint="eastAsia"/>
                <w:b/>
                <w:color w:val="auto"/>
              </w:rPr>
              <w:t>序号</w:t>
            </w:r>
          </w:p>
        </w:tc>
        <w:tc>
          <w:tcPr>
            <w:tcW w:w="1600" w:type="dxa"/>
            <w:vAlign w:val="center"/>
          </w:tcPr>
          <w:p w14:paraId="6A0D1A1E">
            <w:pPr>
              <w:jc w:val="center"/>
              <w:rPr>
                <w:b/>
                <w:color w:val="auto"/>
              </w:rPr>
            </w:pPr>
            <w:r>
              <w:rPr>
                <w:rFonts w:hint="eastAsia"/>
                <w:b/>
                <w:color w:val="auto"/>
              </w:rPr>
              <w:t>名称</w:t>
            </w:r>
          </w:p>
        </w:tc>
        <w:tc>
          <w:tcPr>
            <w:tcW w:w="707" w:type="dxa"/>
            <w:vAlign w:val="center"/>
          </w:tcPr>
          <w:p w14:paraId="083D95C5">
            <w:pPr>
              <w:jc w:val="center"/>
              <w:rPr>
                <w:b/>
                <w:color w:val="auto"/>
              </w:rPr>
            </w:pPr>
            <w:r>
              <w:rPr>
                <w:rFonts w:hint="eastAsia"/>
                <w:b/>
                <w:color w:val="auto"/>
              </w:rPr>
              <w:t>数量</w:t>
            </w:r>
          </w:p>
        </w:tc>
        <w:tc>
          <w:tcPr>
            <w:tcW w:w="1087" w:type="dxa"/>
            <w:vAlign w:val="center"/>
          </w:tcPr>
          <w:p w14:paraId="175DD9A4">
            <w:pPr>
              <w:jc w:val="center"/>
              <w:rPr>
                <w:b/>
                <w:color w:val="auto"/>
              </w:rPr>
            </w:pPr>
            <w:r>
              <w:rPr>
                <w:rFonts w:hint="eastAsia"/>
                <w:b/>
                <w:color w:val="auto"/>
              </w:rPr>
              <w:t>占地面积</w:t>
            </w:r>
          </w:p>
        </w:tc>
        <w:tc>
          <w:tcPr>
            <w:tcW w:w="1234" w:type="dxa"/>
            <w:vAlign w:val="center"/>
          </w:tcPr>
          <w:p w14:paraId="428F297A">
            <w:pPr>
              <w:jc w:val="center"/>
              <w:rPr>
                <w:b/>
                <w:color w:val="auto"/>
              </w:rPr>
            </w:pPr>
            <w:r>
              <w:rPr>
                <w:rFonts w:hint="eastAsia"/>
                <w:b/>
                <w:color w:val="auto"/>
              </w:rPr>
              <w:t>耐火等级</w:t>
            </w:r>
          </w:p>
        </w:tc>
        <w:tc>
          <w:tcPr>
            <w:tcW w:w="1747" w:type="dxa"/>
            <w:vAlign w:val="center"/>
          </w:tcPr>
          <w:p w14:paraId="2EC47E2E">
            <w:pPr>
              <w:jc w:val="center"/>
              <w:rPr>
                <w:b/>
                <w:color w:val="auto"/>
              </w:rPr>
            </w:pPr>
            <w:r>
              <w:rPr>
                <w:rFonts w:hint="eastAsia"/>
                <w:b/>
                <w:color w:val="auto"/>
              </w:rPr>
              <w:t>结构类型</w:t>
            </w:r>
          </w:p>
        </w:tc>
        <w:tc>
          <w:tcPr>
            <w:tcW w:w="1882"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3" w:hRule="exact"/>
          <w:jc w:val="center"/>
        </w:trPr>
        <w:tc>
          <w:tcPr>
            <w:tcW w:w="679" w:type="dxa"/>
            <w:vAlign w:val="center"/>
          </w:tcPr>
          <w:p w14:paraId="6B6F14C9">
            <w:pPr>
              <w:jc w:val="center"/>
              <w:rPr>
                <w:bCs/>
                <w:color w:val="auto"/>
              </w:rPr>
            </w:pPr>
            <w:r>
              <w:rPr>
                <w:bCs/>
                <w:color w:val="auto"/>
              </w:rPr>
              <w:t>1</w:t>
            </w:r>
          </w:p>
        </w:tc>
        <w:tc>
          <w:tcPr>
            <w:tcW w:w="1600" w:type="dxa"/>
            <w:vAlign w:val="center"/>
          </w:tcPr>
          <w:p w14:paraId="2F344382">
            <w:pPr>
              <w:jc w:val="center"/>
              <w:rPr>
                <w:bCs/>
                <w:color w:val="auto"/>
              </w:rPr>
            </w:pPr>
            <w:bookmarkStart w:id="278" w:name="_GoBack"/>
            <w:bookmarkEnd w:id="278"/>
          </w:p>
        </w:tc>
        <w:tc>
          <w:tcPr>
            <w:tcW w:w="707" w:type="dxa"/>
            <w:vAlign w:val="center"/>
          </w:tcPr>
          <w:p w14:paraId="5CAE8C9E">
            <w:pPr>
              <w:jc w:val="center"/>
              <w:rPr>
                <w:color w:val="auto"/>
              </w:rPr>
            </w:pPr>
          </w:p>
        </w:tc>
        <w:tc>
          <w:tcPr>
            <w:tcW w:w="1087" w:type="dxa"/>
            <w:vAlign w:val="center"/>
          </w:tcPr>
          <w:p w14:paraId="1C62B322">
            <w:pPr>
              <w:jc w:val="center"/>
              <w:rPr>
                <w:bCs/>
                <w:color w:val="auto"/>
              </w:rPr>
            </w:pPr>
          </w:p>
        </w:tc>
        <w:tc>
          <w:tcPr>
            <w:tcW w:w="1234" w:type="dxa"/>
            <w:vAlign w:val="center"/>
          </w:tcPr>
          <w:p w14:paraId="059C6B94">
            <w:pPr>
              <w:jc w:val="center"/>
              <w:rPr>
                <w:bCs/>
                <w:color w:val="auto"/>
              </w:rPr>
            </w:pPr>
          </w:p>
        </w:tc>
        <w:tc>
          <w:tcPr>
            <w:tcW w:w="1747" w:type="dxa"/>
            <w:vAlign w:val="center"/>
          </w:tcPr>
          <w:p w14:paraId="2D4B0A76">
            <w:pPr>
              <w:jc w:val="center"/>
              <w:rPr>
                <w:rFonts w:hint="eastAsia" w:eastAsia="宋体"/>
                <w:bCs/>
                <w:color w:val="auto"/>
                <w:lang w:eastAsia="zh-CN"/>
              </w:rPr>
            </w:pPr>
          </w:p>
        </w:tc>
        <w:tc>
          <w:tcPr>
            <w:tcW w:w="1882"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3" w:hRule="exact"/>
          <w:jc w:val="center"/>
        </w:trPr>
        <w:tc>
          <w:tcPr>
            <w:tcW w:w="679" w:type="dxa"/>
            <w:shd w:val="clear" w:color="auto" w:fill="auto"/>
            <w:vAlign w:val="center"/>
          </w:tcPr>
          <w:p w14:paraId="1F1F385C">
            <w:pPr>
              <w:jc w:val="center"/>
              <w:rPr>
                <w:bCs/>
                <w:color w:val="auto"/>
              </w:rPr>
            </w:pPr>
            <w:r>
              <w:rPr>
                <w:rFonts w:hint="eastAsia"/>
                <w:bCs/>
                <w:color w:val="auto"/>
              </w:rPr>
              <w:t>2</w:t>
            </w:r>
          </w:p>
        </w:tc>
        <w:tc>
          <w:tcPr>
            <w:tcW w:w="1600" w:type="dxa"/>
            <w:vAlign w:val="center"/>
          </w:tcPr>
          <w:p w14:paraId="506AC7DB">
            <w:pPr>
              <w:jc w:val="center"/>
              <w:rPr>
                <w:bCs/>
                <w:color w:val="auto"/>
              </w:rPr>
            </w:pPr>
          </w:p>
        </w:tc>
        <w:tc>
          <w:tcPr>
            <w:tcW w:w="707" w:type="dxa"/>
            <w:vAlign w:val="center"/>
          </w:tcPr>
          <w:p w14:paraId="1FD7E647">
            <w:pPr>
              <w:jc w:val="center"/>
              <w:rPr>
                <w:bCs/>
                <w:color w:val="auto"/>
              </w:rPr>
            </w:pPr>
          </w:p>
        </w:tc>
        <w:tc>
          <w:tcPr>
            <w:tcW w:w="1087" w:type="dxa"/>
            <w:vAlign w:val="center"/>
          </w:tcPr>
          <w:p w14:paraId="6D7524ED">
            <w:pPr>
              <w:jc w:val="center"/>
              <w:rPr>
                <w:bCs/>
                <w:color w:val="auto"/>
              </w:rPr>
            </w:pPr>
          </w:p>
        </w:tc>
        <w:tc>
          <w:tcPr>
            <w:tcW w:w="1234" w:type="dxa"/>
            <w:vAlign w:val="center"/>
          </w:tcPr>
          <w:p w14:paraId="7F8CB4BD">
            <w:pPr>
              <w:jc w:val="center"/>
              <w:rPr>
                <w:bCs/>
                <w:color w:val="auto"/>
              </w:rPr>
            </w:pPr>
          </w:p>
        </w:tc>
        <w:tc>
          <w:tcPr>
            <w:tcW w:w="1747" w:type="dxa"/>
            <w:vAlign w:val="center"/>
          </w:tcPr>
          <w:p w14:paraId="18777D8D">
            <w:pPr>
              <w:jc w:val="center"/>
              <w:rPr>
                <w:bCs/>
                <w:color w:val="auto"/>
              </w:rPr>
            </w:pPr>
          </w:p>
        </w:tc>
        <w:tc>
          <w:tcPr>
            <w:tcW w:w="1882" w:type="dxa"/>
            <w:vAlign w:val="center"/>
          </w:tcPr>
          <w:p w14:paraId="2DD227D4">
            <w:pPr>
              <w:jc w:val="center"/>
              <w:rPr>
                <w:bCs/>
                <w:color w:val="auto"/>
              </w:rPr>
            </w:pP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3" w:hRule="exact"/>
          <w:jc w:val="center"/>
        </w:trPr>
        <w:tc>
          <w:tcPr>
            <w:tcW w:w="679" w:type="dxa"/>
            <w:shd w:val="clear" w:color="auto" w:fill="auto"/>
            <w:vAlign w:val="center"/>
          </w:tcPr>
          <w:p w14:paraId="6BEA1FCE">
            <w:pPr>
              <w:jc w:val="center"/>
              <w:rPr>
                <w:bCs/>
                <w:color w:val="auto"/>
              </w:rPr>
            </w:pPr>
            <w:r>
              <w:rPr>
                <w:rFonts w:hint="eastAsia"/>
                <w:bCs/>
                <w:color w:val="auto"/>
              </w:rPr>
              <w:t>3</w:t>
            </w:r>
          </w:p>
        </w:tc>
        <w:tc>
          <w:tcPr>
            <w:tcW w:w="1600" w:type="dxa"/>
            <w:vAlign w:val="center"/>
          </w:tcPr>
          <w:p w14:paraId="009EA450">
            <w:pPr>
              <w:jc w:val="center"/>
              <w:rPr>
                <w:bCs/>
                <w:color w:val="auto"/>
              </w:rPr>
            </w:pPr>
          </w:p>
        </w:tc>
        <w:tc>
          <w:tcPr>
            <w:tcW w:w="707" w:type="dxa"/>
            <w:vAlign w:val="center"/>
          </w:tcPr>
          <w:p w14:paraId="19C95E2B">
            <w:pPr>
              <w:jc w:val="center"/>
              <w:rPr>
                <w:bCs/>
                <w:color w:val="auto"/>
              </w:rPr>
            </w:pPr>
          </w:p>
        </w:tc>
        <w:tc>
          <w:tcPr>
            <w:tcW w:w="1087" w:type="dxa"/>
            <w:vAlign w:val="center"/>
          </w:tcPr>
          <w:p w14:paraId="261D4DD4">
            <w:pPr>
              <w:jc w:val="center"/>
              <w:rPr>
                <w:rFonts w:hint="eastAsia" w:eastAsia="宋体"/>
                <w:bCs/>
                <w:color w:val="auto"/>
                <w:lang w:eastAsia="zh-CN"/>
              </w:rPr>
            </w:pPr>
          </w:p>
        </w:tc>
        <w:tc>
          <w:tcPr>
            <w:tcW w:w="1234" w:type="dxa"/>
            <w:vAlign w:val="center"/>
          </w:tcPr>
          <w:p w14:paraId="634FB456">
            <w:pPr>
              <w:jc w:val="center"/>
              <w:rPr>
                <w:bCs/>
                <w:color w:val="auto"/>
              </w:rPr>
            </w:pPr>
          </w:p>
        </w:tc>
        <w:tc>
          <w:tcPr>
            <w:tcW w:w="1747" w:type="dxa"/>
            <w:vAlign w:val="center"/>
          </w:tcPr>
          <w:p w14:paraId="4E89FCD2">
            <w:pPr>
              <w:jc w:val="center"/>
              <w:rPr>
                <w:bCs/>
                <w:color w:val="auto"/>
              </w:rPr>
            </w:pPr>
          </w:p>
        </w:tc>
        <w:tc>
          <w:tcPr>
            <w:tcW w:w="1882" w:type="dxa"/>
            <w:vAlign w:val="center"/>
          </w:tcPr>
          <w:p w14:paraId="4ADF93F0">
            <w:pPr>
              <w:jc w:val="center"/>
              <w:rPr>
                <w:bCs/>
                <w:color w:val="auto"/>
              </w:rPr>
            </w:pP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exact"/>
          <w:jc w:val="center"/>
        </w:trPr>
        <w:tc>
          <w:tcPr>
            <w:tcW w:w="679" w:type="dxa"/>
            <w:shd w:val="clear" w:color="auto" w:fill="auto"/>
            <w:vAlign w:val="center"/>
          </w:tcPr>
          <w:p w14:paraId="7CDC71B3">
            <w:pPr>
              <w:jc w:val="center"/>
              <w:rPr>
                <w:bCs/>
                <w:color w:val="auto"/>
              </w:rPr>
            </w:pPr>
            <w:r>
              <w:rPr>
                <w:rFonts w:hint="eastAsia"/>
                <w:bCs/>
                <w:color w:val="auto"/>
              </w:rPr>
              <w:t>4</w:t>
            </w:r>
          </w:p>
        </w:tc>
        <w:tc>
          <w:tcPr>
            <w:tcW w:w="1600" w:type="dxa"/>
            <w:vAlign w:val="center"/>
          </w:tcPr>
          <w:p w14:paraId="33D54701">
            <w:pPr>
              <w:jc w:val="center"/>
              <w:rPr>
                <w:bCs/>
                <w:color w:val="auto"/>
              </w:rPr>
            </w:pPr>
          </w:p>
        </w:tc>
        <w:tc>
          <w:tcPr>
            <w:tcW w:w="707" w:type="dxa"/>
            <w:vAlign w:val="center"/>
          </w:tcPr>
          <w:p w14:paraId="5EAD8CB8">
            <w:pPr>
              <w:jc w:val="center"/>
              <w:rPr>
                <w:bCs/>
                <w:color w:val="auto"/>
              </w:rPr>
            </w:pPr>
          </w:p>
        </w:tc>
        <w:tc>
          <w:tcPr>
            <w:tcW w:w="1087" w:type="dxa"/>
            <w:vAlign w:val="center"/>
          </w:tcPr>
          <w:p w14:paraId="6519AF4B">
            <w:pPr>
              <w:jc w:val="center"/>
              <w:rPr>
                <w:bCs/>
                <w:color w:val="auto"/>
              </w:rPr>
            </w:pPr>
          </w:p>
        </w:tc>
        <w:tc>
          <w:tcPr>
            <w:tcW w:w="1234" w:type="dxa"/>
            <w:vAlign w:val="center"/>
          </w:tcPr>
          <w:p w14:paraId="6E7590C8">
            <w:pPr>
              <w:jc w:val="center"/>
              <w:rPr>
                <w:bCs/>
                <w:color w:val="auto"/>
              </w:rPr>
            </w:pPr>
          </w:p>
        </w:tc>
        <w:tc>
          <w:tcPr>
            <w:tcW w:w="1747" w:type="dxa"/>
            <w:vAlign w:val="center"/>
          </w:tcPr>
          <w:p w14:paraId="64A96C9F">
            <w:pPr>
              <w:jc w:val="center"/>
              <w:rPr>
                <w:bCs/>
                <w:color w:val="auto"/>
              </w:rPr>
            </w:pPr>
          </w:p>
        </w:tc>
        <w:tc>
          <w:tcPr>
            <w:tcW w:w="1882"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0461"/>
      <w:bookmarkStart w:id="39" w:name="_Toc27343"/>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26946"/>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加油站用电由市政供电电网统一供电，供电电源380V</w:t>
      </w:r>
      <w:r>
        <w:rPr>
          <w:rFonts w:hint="eastAsia" w:ascii="Times New Roman" w:hAnsi="Times New Roman" w:cs="Times New Roman"/>
          <w:color w:val="auto"/>
          <w:sz w:val="28"/>
          <w:szCs w:val="28"/>
          <w:lang w:val="en-US" w:eastAsia="zh-CN"/>
        </w:rPr>
        <w:t>/</w:t>
      </w:r>
      <w:r>
        <w:rPr>
          <w:rFonts w:hint="eastAsia" w:ascii="Times New Roman" w:hAnsi="Times New Roman" w:cs="Times New Roman"/>
          <w:color w:val="auto"/>
          <w:sz w:val="28"/>
          <w:szCs w:val="28"/>
        </w:rPr>
        <w:t>220V 采用铠装电缆引至配电间对站内各用电设备和场所进行供电，设独立的计量装置。通过埋地填沙电缆沟敷设到加油机，照明使用220V交流电压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398F6405">
      <w:pPr>
        <w:tabs>
          <w:tab w:val="left" w:pos="3465"/>
        </w:tabs>
        <w:spacing w:line="600" w:lineRule="exact"/>
        <w:ind w:firstLine="560" w:firstLineChars="200"/>
        <w:rPr>
          <w:color w:val="auto"/>
          <w:sz w:val="28"/>
          <w:szCs w:val="28"/>
        </w:rPr>
      </w:pPr>
      <w:r>
        <w:rPr>
          <w:rFonts w:hint="eastAsia"/>
          <w:color w:val="auto"/>
          <w:sz w:val="28"/>
          <w:szCs w:val="28"/>
        </w:rPr>
        <w:t>站房属于</w:t>
      </w:r>
      <w:r>
        <w:rPr>
          <w:rFonts w:hint="eastAsia"/>
          <w:color w:val="auto"/>
          <w:sz w:val="28"/>
          <w:szCs w:val="28"/>
          <w:lang w:val="en-US" w:eastAsia="zh-CN"/>
        </w:rPr>
        <w:t>二</w:t>
      </w:r>
      <w:r>
        <w:rPr>
          <w:rFonts w:hint="eastAsia"/>
          <w:color w:val="auto"/>
          <w:sz w:val="28"/>
          <w:szCs w:val="28"/>
        </w:rPr>
        <w:t>类防雷建筑物，沿屋面四周采用</w:t>
      </w:r>
      <w:r>
        <w:rPr>
          <w:rFonts w:ascii="Times New Roman" w:hAnsi="Times New Roman" w:cs="Times New Roman"/>
          <w:color w:val="auto"/>
          <w:sz w:val="28"/>
          <w:szCs w:val="28"/>
        </w:rPr>
        <w:t>φ</w:t>
      </w:r>
      <w:r>
        <w:rPr>
          <w:rFonts w:hint="eastAsia"/>
          <w:color w:val="auto"/>
          <w:sz w:val="28"/>
          <w:szCs w:val="28"/>
        </w:rPr>
        <w:t>1</w:t>
      </w:r>
      <w:r>
        <w:rPr>
          <w:rFonts w:hint="eastAsia"/>
          <w:color w:val="auto"/>
          <w:sz w:val="28"/>
          <w:szCs w:val="28"/>
          <w:lang w:val="en-US" w:eastAsia="zh-CN"/>
        </w:rPr>
        <w:t>0</w:t>
      </w:r>
      <w:r>
        <w:rPr>
          <w:rFonts w:hint="eastAsia"/>
          <w:color w:val="auto"/>
          <w:sz w:val="28"/>
          <w:szCs w:val="28"/>
        </w:rPr>
        <w:t>的镀锌圆钢做接闪带，利用柱内钢筋（不小于</w:t>
      </w:r>
      <w:r>
        <w:rPr>
          <w:rFonts w:ascii="Times New Roman" w:hAnsi="Times New Roman" w:cs="Times New Roman"/>
          <w:color w:val="auto"/>
          <w:sz w:val="28"/>
          <w:szCs w:val="28"/>
        </w:rPr>
        <w:t>Ф</w:t>
      </w:r>
      <w:r>
        <w:rPr>
          <w:rFonts w:hint="eastAsia"/>
          <w:color w:val="auto"/>
          <w:sz w:val="28"/>
          <w:szCs w:val="28"/>
        </w:rPr>
        <w:t>10）作引下线，屋面接闪带网格</w:t>
      </w:r>
      <w:r>
        <w:rPr>
          <w:rFonts w:hint="eastAsia"/>
          <w:color w:val="auto"/>
          <w:sz w:val="28"/>
          <w:szCs w:val="28"/>
          <w:lang w:val="en-US" w:eastAsia="zh-CN"/>
        </w:rPr>
        <w:t>5.3</w:t>
      </w:r>
      <w:r>
        <w:rPr>
          <w:rFonts w:hint="eastAsia"/>
          <w:color w:val="auto"/>
          <w:sz w:val="28"/>
          <w:szCs w:val="28"/>
        </w:rPr>
        <w:t>×</w:t>
      </w:r>
      <w:r>
        <w:rPr>
          <w:rFonts w:hint="eastAsia"/>
          <w:color w:val="auto"/>
          <w:sz w:val="28"/>
          <w:szCs w:val="28"/>
          <w:lang w:val="en-US" w:eastAsia="zh-CN"/>
        </w:rPr>
        <w:t>15.3</w:t>
      </w:r>
      <w:r>
        <w:rPr>
          <w:rFonts w:hint="eastAsia"/>
          <w:color w:val="auto"/>
          <w:sz w:val="28"/>
          <w:szCs w:val="28"/>
        </w:rPr>
        <w:t>（m）。通气管与接地网焊接成可靠的电气线路。</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加油区罩棚按二类防雷建筑物，利用其金属屋面作防雷接闪器，利用檩条、屋架及柱子可靠接地作为防雷装置，利用混凝土钢筋柱作为引下线，经过断接卡与加油站人工接地系统可靠连接。</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江西赣象防雷检测中心</w:t>
      </w:r>
      <w:r>
        <w:rPr>
          <w:rFonts w:hint="eastAsia" w:ascii="Times New Roman" w:hAnsi="Times New Roman" w:cs="Times New Roman"/>
          <w:color w:val="auto"/>
          <w:sz w:val="28"/>
          <w:szCs w:val="28"/>
        </w:rPr>
        <w:t>有限公司</w:t>
      </w:r>
      <w:r>
        <w:rPr>
          <w:rFonts w:hint="eastAsia" w:ascii="Times New Roman" w:hAnsi="Times New Roman" w:cs="Times New Roman"/>
          <w:color w:val="auto"/>
          <w:sz w:val="28"/>
          <w:szCs w:val="28"/>
          <w:lang w:val="en-US" w:eastAsia="zh-CN"/>
        </w:rPr>
        <w:t>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172F182D">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w:t>
      </w:r>
      <w:r>
        <w:rPr>
          <w:rFonts w:hint="eastAsia" w:ascii="Times New Roman" w:hAnsi="Times New Roman" w:cs="Times New Roman"/>
          <w:color w:val="auto"/>
          <w:sz w:val="28"/>
          <w:szCs w:val="28"/>
          <w:lang w:val="en-US" w:eastAsia="zh-CN"/>
        </w:rPr>
        <w:t>湖北雷特防雷检测</w:t>
      </w:r>
      <w:r>
        <w:rPr>
          <w:rFonts w:hint="eastAsia" w:ascii="Times New Roman" w:hAnsi="Times New Roman" w:cs="Times New Roman"/>
          <w:color w:val="auto"/>
          <w:sz w:val="28"/>
          <w:szCs w:val="28"/>
        </w:rPr>
        <w:t>有限公司进行检测，检测结论为合格，有效期至2026年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22</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hint="default" w:ascii="Times New Roman" w:hAnsi="Times New Roman" w:eastAsia="宋体" w:cs="Times New Roman"/>
          <w:color w:val="auto"/>
          <w:sz w:val="28"/>
          <w:szCs w:val="24"/>
          <w:lang w:val="en-US" w:eastAsia="zh-CN"/>
        </w:rPr>
      </w:pPr>
      <w:r>
        <w:rPr>
          <w:rFonts w:hint="eastAsia" w:ascii="Times New Roman" w:hAnsi="Times New Roman" w:cs="Times New Roman"/>
          <w:color w:val="auto"/>
          <w:sz w:val="28"/>
          <w:szCs w:val="24"/>
        </w:rPr>
        <w:t>加油站设置了视频监控系统，视频监控系统配UPS电源，容量为3kVA。系统中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UPS电源，UPS电源可供系统正常工作不小于60min，UPS容量为2kVA。现场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399D75FC">
      <w:pPr>
        <w:pStyle w:val="33"/>
        <w:spacing w:line="580" w:lineRule="exact"/>
        <w:ind w:firstLine="560" w:firstLineChars="200"/>
        <w:rPr>
          <w:rFonts w:hint="eastAsia"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2AA466EF">
      <w:pPr>
        <w:pStyle w:val="33"/>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p>
    <w:p w14:paraId="0A4F2C32">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13128"/>
      <w:bookmarkStart w:id="42" w:name="_Toc343692248"/>
      <w:bookmarkStart w:id="43" w:name="_Toc30410"/>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该站于200</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日取得</w:t>
      </w:r>
      <w:r>
        <w:rPr>
          <w:rFonts w:hint="eastAsia" w:ascii="Times New Roman" w:hAnsi="Times New Roman" w:cs="Times New Roman"/>
          <w:color w:val="auto"/>
          <w:sz w:val="28"/>
          <w:szCs w:val="28"/>
          <w:lang w:val="en-US" w:eastAsia="zh-CN"/>
        </w:rPr>
        <w:t>兴国县</w:t>
      </w:r>
      <w:r>
        <w:rPr>
          <w:rFonts w:hint="eastAsia" w:ascii="Times New Roman" w:hAnsi="Times New Roman" w:cs="Times New Roman"/>
          <w:color w:val="auto"/>
          <w:sz w:val="28"/>
          <w:szCs w:val="28"/>
        </w:rPr>
        <w:t>公安消防</w:t>
      </w:r>
      <w:r>
        <w:rPr>
          <w:rFonts w:hint="eastAsia" w:ascii="Times New Roman" w:hAnsi="Times New Roman" w:cs="Times New Roman"/>
          <w:color w:val="auto"/>
          <w:sz w:val="28"/>
          <w:szCs w:val="28"/>
          <w:lang w:val="en-US" w:eastAsia="zh-CN"/>
        </w:rPr>
        <w:t>大</w:t>
      </w:r>
      <w:r>
        <w:rPr>
          <w:rFonts w:hint="eastAsia" w:ascii="Times New Roman" w:hAnsi="Times New Roman" w:cs="Times New Roman"/>
          <w:color w:val="auto"/>
          <w:sz w:val="28"/>
          <w:szCs w:val="28"/>
        </w:rPr>
        <w:t>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053"/>
        <w:gridCol w:w="892"/>
        <w:gridCol w:w="1285"/>
        <w:gridCol w:w="3322"/>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826"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3"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2"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5"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22"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826"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3" w:type="dxa"/>
            <w:vAlign w:val="center"/>
          </w:tcPr>
          <w:p w14:paraId="169BF006">
            <w:pPr>
              <w:spacing w:line="280" w:lineRule="exact"/>
              <w:jc w:val="center"/>
              <w:rPr>
                <w:rFonts w:ascii="Times New Roman" w:hAnsi="Times New Roman" w:cs="宋体"/>
                <w:color w:val="auto"/>
              </w:rPr>
            </w:pPr>
          </w:p>
        </w:tc>
        <w:tc>
          <w:tcPr>
            <w:tcW w:w="892" w:type="dxa"/>
            <w:vAlign w:val="center"/>
          </w:tcPr>
          <w:p w14:paraId="46933D41">
            <w:pPr>
              <w:spacing w:line="280" w:lineRule="exact"/>
              <w:jc w:val="center"/>
              <w:rPr>
                <w:rFonts w:ascii="Times New Roman" w:hAnsi="Times New Roman" w:cs="宋体"/>
                <w:color w:val="auto"/>
              </w:rPr>
            </w:pPr>
          </w:p>
        </w:tc>
        <w:tc>
          <w:tcPr>
            <w:tcW w:w="1285" w:type="dxa"/>
            <w:vAlign w:val="center"/>
          </w:tcPr>
          <w:p w14:paraId="564DF1EA">
            <w:pPr>
              <w:spacing w:line="280" w:lineRule="exact"/>
              <w:jc w:val="center"/>
              <w:rPr>
                <w:rFonts w:ascii="Times New Roman" w:hAnsi="Times New Roman" w:cs="宋体"/>
                <w:color w:val="auto"/>
              </w:rPr>
            </w:pPr>
          </w:p>
        </w:tc>
        <w:tc>
          <w:tcPr>
            <w:tcW w:w="3322" w:type="dxa"/>
            <w:vAlign w:val="center"/>
          </w:tcPr>
          <w:p w14:paraId="43E35088">
            <w:pPr>
              <w:spacing w:line="280" w:lineRule="exact"/>
              <w:jc w:val="center"/>
              <w:rPr>
                <w:rFonts w:hint="default" w:ascii="Times New Roman" w:hAnsi="Times New Roman" w:eastAsia="宋体" w:cs="宋体"/>
                <w:color w:val="auto"/>
                <w:lang w:val="en-US" w:eastAsia="zh-CN"/>
              </w:rPr>
            </w:pP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826"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3" w:type="dxa"/>
            <w:vAlign w:val="center"/>
          </w:tcPr>
          <w:p w14:paraId="7F7B884D">
            <w:pPr>
              <w:spacing w:line="280" w:lineRule="exact"/>
              <w:jc w:val="center"/>
              <w:rPr>
                <w:rFonts w:ascii="Times New Roman" w:hAnsi="Times New Roman" w:cs="宋体"/>
                <w:color w:val="auto"/>
              </w:rPr>
            </w:pPr>
          </w:p>
        </w:tc>
        <w:tc>
          <w:tcPr>
            <w:tcW w:w="892" w:type="dxa"/>
            <w:vAlign w:val="center"/>
          </w:tcPr>
          <w:p w14:paraId="5CC3B2FF">
            <w:pPr>
              <w:spacing w:line="280" w:lineRule="exact"/>
              <w:jc w:val="center"/>
              <w:rPr>
                <w:rFonts w:ascii="Times New Roman" w:hAnsi="Times New Roman" w:cs="宋体"/>
                <w:color w:val="auto"/>
              </w:rPr>
            </w:pPr>
          </w:p>
        </w:tc>
        <w:tc>
          <w:tcPr>
            <w:tcW w:w="1285" w:type="dxa"/>
            <w:vAlign w:val="center"/>
          </w:tcPr>
          <w:p w14:paraId="198B7DBB">
            <w:pPr>
              <w:spacing w:line="280" w:lineRule="exact"/>
              <w:jc w:val="center"/>
              <w:rPr>
                <w:rFonts w:ascii="Times New Roman" w:hAnsi="Times New Roman" w:cs="宋体"/>
                <w:color w:val="auto"/>
              </w:rPr>
            </w:pPr>
          </w:p>
        </w:tc>
        <w:tc>
          <w:tcPr>
            <w:tcW w:w="3322" w:type="dxa"/>
            <w:vAlign w:val="center"/>
          </w:tcPr>
          <w:p w14:paraId="5C397C28">
            <w:pPr>
              <w:spacing w:line="280" w:lineRule="exact"/>
              <w:jc w:val="center"/>
              <w:rPr>
                <w:rFonts w:hint="default" w:ascii="Times New Roman" w:hAnsi="Times New Roman" w:eastAsia="宋体" w:cs="宋体"/>
                <w:color w:val="auto"/>
                <w:lang w:val="en-US" w:eastAsia="zh-CN"/>
              </w:rPr>
            </w:pPr>
          </w:p>
        </w:tc>
      </w:tr>
      <w:tr w14:paraId="75F03A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826" w:type="dxa"/>
            <w:vAlign w:val="center"/>
          </w:tcPr>
          <w:p w14:paraId="55E01C7A">
            <w:pPr>
              <w:spacing w:line="280" w:lineRule="exact"/>
              <w:jc w:val="center"/>
              <w:rPr>
                <w:rFonts w:hint="eastAsia" w:ascii="Times New Roman" w:hAnsi="Times New Roman" w:cs="宋体"/>
                <w:color w:val="auto"/>
              </w:rPr>
            </w:pPr>
            <w:r>
              <w:rPr>
                <w:rFonts w:hint="eastAsia" w:ascii="Times New Roman" w:hAnsi="Times New Roman" w:cs="宋体"/>
                <w:color w:val="auto"/>
              </w:rPr>
              <w:t>干粉灭火器</w:t>
            </w:r>
          </w:p>
        </w:tc>
        <w:tc>
          <w:tcPr>
            <w:tcW w:w="2053" w:type="dxa"/>
            <w:vAlign w:val="center"/>
          </w:tcPr>
          <w:p w14:paraId="34D06633">
            <w:pPr>
              <w:spacing w:line="280" w:lineRule="exact"/>
              <w:jc w:val="center"/>
              <w:rPr>
                <w:rFonts w:hint="eastAsia" w:ascii="Times New Roman" w:hAnsi="Times New Roman" w:cs="宋体"/>
                <w:color w:val="auto"/>
              </w:rPr>
            </w:pPr>
          </w:p>
        </w:tc>
        <w:tc>
          <w:tcPr>
            <w:tcW w:w="892" w:type="dxa"/>
            <w:vAlign w:val="center"/>
          </w:tcPr>
          <w:p w14:paraId="6E393A39">
            <w:pPr>
              <w:spacing w:line="280" w:lineRule="exact"/>
              <w:jc w:val="center"/>
              <w:rPr>
                <w:rFonts w:hint="eastAsia" w:ascii="Times New Roman" w:hAnsi="Times New Roman" w:cs="宋体"/>
                <w:color w:val="auto"/>
                <w:lang w:val="en-US" w:eastAsia="zh-CN"/>
              </w:rPr>
            </w:pPr>
          </w:p>
        </w:tc>
        <w:tc>
          <w:tcPr>
            <w:tcW w:w="1285" w:type="dxa"/>
            <w:vAlign w:val="center"/>
          </w:tcPr>
          <w:p w14:paraId="590211E4">
            <w:pPr>
              <w:spacing w:line="280" w:lineRule="exact"/>
              <w:jc w:val="center"/>
              <w:rPr>
                <w:rFonts w:hint="eastAsia" w:ascii="Times New Roman" w:hAnsi="Times New Roman" w:cs="宋体"/>
                <w:color w:val="auto"/>
              </w:rPr>
            </w:pPr>
          </w:p>
        </w:tc>
        <w:tc>
          <w:tcPr>
            <w:tcW w:w="3322" w:type="dxa"/>
            <w:vAlign w:val="center"/>
          </w:tcPr>
          <w:p w14:paraId="787808B3">
            <w:pPr>
              <w:spacing w:line="280" w:lineRule="exact"/>
              <w:jc w:val="center"/>
              <w:rPr>
                <w:rFonts w:hint="eastAsia" w:ascii="Times New Roman" w:hAnsi="Times New Roman" w:cs="宋体"/>
                <w:color w:val="auto"/>
              </w:rPr>
            </w:pP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826"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3" w:type="dxa"/>
            <w:vAlign w:val="center"/>
          </w:tcPr>
          <w:p w14:paraId="138CBA09">
            <w:pPr>
              <w:spacing w:line="280" w:lineRule="exact"/>
              <w:jc w:val="center"/>
              <w:rPr>
                <w:rFonts w:hint="eastAsia" w:ascii="Times New Roman" w:hAnsi="Times New Roman" w:eastAsia="宋体" w:cs="宋体"/>
                <w:color w:val="auto"/>
                <w:lang w:eastAsia="zh-CN"/>
              </w:rPr>
            </w:pPr>
          </w:p>
        </w:tc>
        <w:tc>
          <w:tcPr>
            <w:tcW w:w="892" w:type="dxa"/>
            <w:vAlign w:val="center"/>
          </w:tcPr>
          <w:p w14:paraId="4C11FCBA">
            <w:pPr>
              <w:spacing w:line="280" w:lineRule="exact"/>
              <w:jc w:val="center"/>
              <w:rPr>
                <w:rFonts w:ascii="Times New Roman" w:hAnsi="Times New Roman" w:cs="宋体"/>
                <w:color w:val="auto"/>
              </w:rPr>
            </w:pPr>
          </w:p>
        </w:tc>
        <w:tc>
          <w:tcPr>
            <w:tcW w:w="1285" w:type="dxa"/>
            <w:vAlign w:val="center"/>
          </w:tcPr>
          <w:p w14:paraId="679629DF">
            <w:pPr>
              <w:spacing w:line="280" w:lineRule="exact"/>
              <w:jc w:val="center"/>
              <w:rPr>
                <w:rFonts w:ascii="Times New Roman" w:hAnsi="Times New Roman" w:cs="宋体"/>
                <w:color w:val="auto"/>
              </w:rPr>
            </w:pPr>
          </w:p>
        </w:tc>
        <w:tc>
          <w:tcPr>
            <w:tcW w:w="3322" w:type="dxa"/>
            <w:vAlign w:val="center"/>
          </w:tcPr>
          <w:p w14:paraId="40D3E5DE">
            <w:pPr>
              <w:spacing w:line="280" w:lineRule="exact"/>
              <w:jc w:val="center"/>
              <w:rPr>
                <w:rFonts w:ascii="Times New Roman" w:hAnsi="Times New Roman" w:cs="宋体"/>
                <w:color w:val="auto"/>
              </w:rPr>
            </w:pP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826"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3" w:type="dxa"/>
            <w:vAlign w:val="center"/>
          </w:tcPr>
          <w:p w14:paraId="20320680">
            <w:pPr>
              <w:spacing w:line="280" w:lineRule="exact"/>
              <w:jc w:val="center"/>
              <w:rPr>
                <w:rFonts w:ascii="Times New Roman" w:hAnsi="Times New Roman" w:cs="宋体"/>
                <w:color w:val="auto"/>
              </w:rPr>
            </w:pPr>
          </w:p>
        </w:tc>
        <w:tc>
          <w:tcPr>
            <w:tcW w:w="892" w:type="dxa"/>
            <w:vAlign w:val="center"/>
          </w:tcPr>
          <w:p w14:paraId="4A21801F">
            <w:pPr>
              <w:spacing w:line="280" w:lineRule="exact"/>
              <w:jc w:val="center"/>
              <w:rPr>
                <w:rFonts w:ascii="Times New Roman" w:hAnsi="Times New Roman" w:cs="宋体"/>
                <w:color w:val="auto"/>
              </w:rPr>
            </w:pPr>
          </w:p>
        </w:tc>
        <w:tc>
          <w:tcPr>
            <w:tcW w:w="1285" w:type="dxa"/>
            <w:vAlign w:val="center"/>
          </w:tcPr>
          <w:p w14:paraId="543D47A8">
            <w:pPr>
              <w:spacing w:line="280" w:lineRule="exact"/>
              <w:jc w:val="center"/>
              <w:rPr>
                <w:rFonts w:ascii="Times New Roman" w:hAnsi="Times New Roman" w:cs="宋体"/>
                <w:color w:val="auto"/>
              </w:rPr>
            </w:pPr>
          </w:p>
        </w:tc>
        <w:tc>
          <w:tcPr>
            <w:tcW w:w="3322" w:type="dxa"/>
            <w:vAlign w:val="center"/>
          </w:tcPr>
          <w:p w14:paraId="5E8B77E6">
            <w:pPr>
              <w:spacing w:line="280" w:lineRule="exact"/>
              <w:jc w:val="center"/>
              <w:rPr>
                <w:rFonts w:ascii="Times New Roman" w:hAnsi="Times New Roman" w:cs="宋体"/>
                <w:color w:val="auto"/>
              </w:rPr>
            </w:pP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826"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3" w:type="dxa"/>
            <w:vAlign w:val="center"/>
          </w:tcPr>
          <w:p w14:paraId="5979DD80">
            <w:pPr>
              <w:spacing w:line="280" w:lineRule="exact"/>
              <w:jc w:val="center"/>
              <w:rPr>
                <w:rFonts w:ascii="Times New Roman" w:hAnsi="Times New Roman" w:cs="宋体"/>
                <w:color w:val="auto"/>
              </w:rPr>
            </w:pPr>
          </w:p>
        </w:tc>
        <w:tc>
          <w:tcPr>
            <w:tcW w:w="892" w:type="dxa"/>
            <w:vAlign w:val="center"/>
          </w:tcPr>
          <w:p w14:paraId="2AA9C34F">
            <w:pPr>
              <w:spacing w:line="280" w:lineRule="exact"/>
              <w:jc w:val="center"/>
              <w:rPr>
                <w:rFonts w:ascii="Times New Roman" w:hAnsi="Times New Roman" w:cs="宋体"/>
                <w:color w:val="auto"/>
              </w:rPr>
            </w:pPr>
          </w:p>
        </w:tc>
        <w:tc>
          <w:tcPr>
            <w:tcW w:w="1285" w:type="dxa"/>
            <w:vAlign w:val="center"/>
          </w:tcPr>
          <w:p w14:paraId="77C0C346">
            <w:pPr>
              <w:spacing w:line="280" w:lineRule="exact"/>
              <w:jc w:val="center"/>
              <w:rPr>
                <w:rFonts w:ascii="Times New Roman" w:hAnsi="Times New Roman" w:cs="宋体"/>
                <w:color w:val="auto"/>
              </w:rPr>
            </w:pPr>
          </w:p>
        </w:tc>
        <w:tc>
          <w:tcPr>
            <w:tcW w:w="3322" w:type="dxa"/>
            <w:vAlign w:val="center"/>
          </w:tcPr>
          <w:p w14:paraId="5D481D18">
            <w:pPr>
              <w:spacing w:line="280" w:lineRule="exact"/>
              <w:jc w:val="center"/>
              <w:rPr>
                <w:rFonts w:ascii="Times New Roman" w:hAnsi="Times New Roman" w:cs="宋体"/>
                <w:color w:val="auto"/>
              </w:rPr>
            </w:pP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826"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53" w:type="dxa"/>
            <w:vAlign w:val="center"/>
          </w:tcPr>
          <w:p w14:paraId="4AAA628A">
            <w:pPr>
              <w:spacing w:line="280" w:lineRule="exact"/>
              <w:jc w:val="center"/>
              <w:rPr>
                <w:rFonts w:ascii="Times New Roman" w:hAnsi="Times New Roman" w:cs="宋体"/>
                <w:color w:val="auto"/>
              </w:rPr>
            </w:pPr>
          </w:p>
        </w:tc>
        <w:tc>
          <w:tcPr>
            <w:tcW w:w="892" w:type="dxa"/>
            <w:vAlign w:val="center"/>
          </w:tcPr>
          <w:p w14:paraId="5BBB5F3B">
            <w:pPr>
              <w:spacing w:line="280" w:lineRule="exact"/>
              <w:jc w:val="center"/>
              <w:rPr>
                <w:rFonts w:ascii="Times New Roman" w:hAnsi="Times New Roman" w:cs="宋体"/>
                <w:color w:val="auto"/>
              </w:rPr>
            </w:pPr>
          </w:p>
        </w:tc>
        <w:tc>
          <w:tcPr>
            <w:tcW w:w="1285" w:type="dxa"/>
            <w:vAlign w:val="center"/>
          </w:tcPr>
          <w:p w14:paraId="04092DB4">
            <w:pPr>
              <w:spacing w:line="280" w:lineRule="exact"/>
              <w:jc w:val="center"/>
              <w:rPr>
                <w:rFonts w:ascii="Times New Roman" w:hAnsi="Times New Roman" w:cs="宋体"/>
                <w:color w:val="auto"/>
              </w:rPr>
            </w:pPr>
          </w:p>
        </w:tc>
        <w:tc>
          <w:tcPr>
            <w:tcW w:w="3322" w:type="dxa"/>
            <w:vAlign w:val="center"/>
          </w:tcPr>
          <w:p w14:paraId="1A89A860">
            <w:pPr>
              <w:spacing w:line="280" w:lineRule="exact"/>
              <w:jc w:val="center"/>
              <w:rPr>
                <w:rFonts w:ascii="Times New Roman" w:hAnsi="Times New Roman" w:cs="宋体"/>
                <w:color w:val="auto"/>
              </w:rPr>
            </w:pP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柴油通气管、汽油通气管设置于罩棚立柱内，为DN50 的无缝钢管，通气管高出罩棚2m。通气管管口设有阻火器。汽油罐通气管及油气回收管另加装呼吸阀。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兴国石油分公司枫边加油站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周林玲</w:t>
      </w:r>
      <w:r>
        <w:rPr>
          <w:rFonts w:hint="eastAsia" w:ascii="Times New Roman" w:hAnsi="Times New Roman" w:cs="宋体"/>
          <w:color w:val="auto"/>
          <w:sz w:val="28"/>
          <w:szCs w:val="28"/>
        </w:rPr>
        <w:t>和饶小英分别取得危险化学品经营单位主要负责人、安全生产管理人员考核合格证，详见附件。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646"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12"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93"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38"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205"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63"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646"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12" w:type="dxa"/>
            <w:vAlign w:val="center"/>
          </w:tcPr>
          <w:p w14:paraId="613E2222">
            <w:pPr>
              <w:spacing w:line="240" w:lineRule="exact"/>
              <w:jc w:val="center"/>
              <w:rPr>
                <w:rFonts w:hint="eastAsia" w:ascii="Times New Roman" w:hAnsi="Times New Roman" w:eastAsia="宋体" w:cs="Times New Roman"/>
                <w:color w:val="auto"/>
                <w:lang w:eastAsia="zh-CN"/>
              </w:rPr>
            </w:pPr>
          </w:p>
        </w:tc>
        <w:tc>
          <w:tcPr>
            <w:tcW w:w="1293" w:type="dxa"/>
            <w:vAlign w:val="center"/>
          </w:tcPr>
          <w:p w14:paraId="16BE0585">
            <w:pPr>
              <w:spacing w:line="240" w:lineRule="exact"/>
              <w:jc w:val="center"/>
              <w:rPr>
                <w:rFonts w:ascii="Times New Roman" w:hAnsi="Times New Roman" w:cs="Times New Roman"/>
                <w:color w:val="auto"/>
              </w:rPr>
            </w:pPr>
          </w:p>
        </w:tc>
        <w:tc>
          <w:tcPr>
            <w:tcW w:w="2138" w:type="dxa"/>
            <w:vAlign w:val="center"/>
          </w:tcPr>
          <w:p w14:paraId="55C2EA68">
            <w:pPr>
              <w:spacing w:line="240" w:lineRule="exact"/>
              <w:jc w:val="center"/>
              <w:rPr>
                <w:rFonts w:ascii="Times New Roman" w:hAnsi="Times New Roman" w:cs="Times New Roman"/>
                <w:color w:val="auto"/>
              </w:rPr>
            </w:pPr>
          </w:p>
        </w:tc>
        <w:tc>
          <w:tcPr>
            <w:tcW w:w="2205" w:type="dxa"/>
            <w:vAlign w:val="center"/>
          </w:tcPr>
          <w:p w14:paraId="650F6E01">
            <w:pPr>
              <w:spacing w:line="240" w:lineRule="exact"/>
              <w:jc w:val="center"/>
              <w:rPr>
                <w:rFonts w:ascii="Times New Roman" w:hAnsi="Times New Roman" w:cs="Times New Roman"/>
                <w:color w:val="auto"/>
              </w:rPr>
            </w:pPr>
          </w:p>
        </w:tc>
        <w:tc>
          <w:tcPr>
            <w:tcW w:w="2163" w:type="dxa"/>
            <w:vAlign w:val="center"/>
          </w:tcPr>
          <w:p w14:paraId="35D60086">
            <w:pPr>
              <w:spacing w:line="240" w:lineRule="exact"/>
              <w:jc w:val="center"/>
              <w:rPr>
                <w:rFonts w:ascii="Times New Roman" w:hAnsi="Times New Roman" w:cs="Times New Roman"/>
                <w:color w:val="auto"/>
              </w:rPr>
            </w:pP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12" w:type="dxa"/>
            <w:vAlign w:val="center"/>
          </w:tcPr>
          <w:p w14:paraId="0DF335F9">
            <w:pPr>
              <w:spacing w:line="240" w:lineRule="exact"/>
              <w:jc w:val="center"/>
              <w:rPr>
                <w:rFonts w:ascii="Times New Roman" w:hAnsi="Times New Roman" w:cs="Times New Roman"/>
                <w:color w:val="auto"/>
              </w:rPr>
            </w:pPr>
          </w:p>
        </w:tc>
        <w:tc>
          <w:tcPr>
            <w:tcW w:w="1293" w:type="dxa"/>
            <w:vAlign w:val="center"/>
          </w:tcPr>
          <w:p w14:paraId="74F4141E">
            <w:pPr>
              <w:spacing w:line="240" w:lineRule="exact"/>
              <w:jc w:val="center"/>
              <w:rPr>
                <w:rFonts w:ascii="Times New Roman" w:hAnsi="Times New Roman" w:cs="Times New Roman"/>
                <w:color w:val="auto"/>
              </w:rPr>
            </w:pPr>
          </w:p>
        </w:tc>
        <w:tc>
          <w:tcPr>
            <w:tcW w:w="2138" w:type="dxa"/>
            <w:vAlign w:val="center"/>
          </w:tcPr>
          <w:p w14:paraId="6EE6D12A">
            <w:pPr>
              <w:spacing w:line="240" w:lineRule="exact"/>
              <w:jc w:val="center"/>
              <w:rPr>
                <w:rFonts w:ascii="Times New Roman" w:hAnsi="Times New Roman" w:cs="Times New Roman"/>
                <w:color w:val="auto"/>
              </w:rPr>
            </w:pPr>
          </w:p>
        </w:tc>
        <w:tc>
          <w:tcPr>
            <w:tcW w:w="2205" w:type="dxa"/>
            <w:vAlign w:val="center"/>
          </w:tcPr>
          <w:p w14:paraId="7BA1306C">
            <w:pPr>
              <w:spacing w:line="240" w:lineRule="exact"/>
              <w:jc w:val="center"/>
              <w:rPr>
                <w:rFonts w:hint="default" w:ascii="Times New Roman" w:hAnsi="Times New Roman" w:eastAsia="宋体" w:cs="Times New Roman"/>
                <w:color w:val="auto"/>
                <w:lang w:val="en-US" w:eastAsia="zh-CN"/>
              </w:rPr>
            </w:pPr>
          </w:p>
        </w:tc>
        <w:tc>
          <w:tcPr>
            <w:tcW w:w="2163" w:type="dxa"/>
            <w:vAlign w:val="center"/>
          </w:tcPr>
          <w:p w14:paraId="2D86F018">
            <w:pPr>
              <w:spacing w:line="240" w:lineRule="exact"/>
              <w:jc w:val="center"/>
              <w:rPr>
                <w:rFonts w:ascii="Times New Roman" w:hAnsi="Times New Roman" w:cs="Times New Roman"/>
                <w:color w:val="auto"/>
              </w:rPr>
            </w:pP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该站制定了各种安全管理制度，包括：全员安全生产责任制度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安全生产教育培训教育制度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加油站值班制度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安全检查和隐患整改管理制度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安全检维修管理制度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安全作业管理制度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危险化学品购销管理制度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生产设施安全管理制度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安全生产费用投入保障制度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安全生产奖惩制度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劳动防护用品(具)发放管理制度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事故管理制度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职业卫生管理制度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加油站加油区及储油罐区安全监控制度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安全生产会议制度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防火、防爆、防中毒、防泄漏管理制度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消防管理制度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法律、法规、标准及其他要求管理制度、“三同时”管理制度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监视和测量设备管理制度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设施安全拆除和报废制度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承包商管理制度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供应商管理制度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变更管理制度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应急管理制度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隐患排查治理管理制度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外来人员安全管理制度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站内道路交通管理制度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文件档案管理制度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禁火、禁烟管理制度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兴国石油分公司枫边加油站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11</w:t>
      </w:r>
      <w:r>
        <w:rPr>
          <w:rFonts w:hint="eastAsia" w:ascii="Times New Roman" w:hAnsi="Times New Roman" w:cs="Times New Roman"/>
          <w:color w:val="auto"/>
          <w:spacing w:val="-6"/>
          <w:sz w:val="28"/>
          <w:szCs w:val="28"/>
        </w:rPr>
        <w:t>月30日在</w:t>
      </w:r>
      <w:r>
        <w:rPr>
          <w:rFonts w:hint="eastAsia" w:ascii="Times New Roman" w:hAnsi="Times New Roman" w:cs="Times New Roman"/>
          <w:color w:val="auto"/>
          <w:spacing w:val="-6"/>
          <w:sz w:val="28"/>
          <w:szCs w:val="28"/>
          <w:lang w:val="en-US" w:eastAsia="zh-CN"/>
        </w:rPr>
        <w:t>兴国</w:t>
      </w:r>
      <w:r>
        <w:rPr>
          <w:rFonts w:hint="eastAsia" w:ascii="Times New Roman" w:hAnsi="Times New Roman" w:cs="Times New Roman"/>
          <w:color w:val="auto"/>
          <w:spacing w:val="-6"/>
          <w:sz w:val="28"/>
          <w:szCs w:val="28"/>
        </w:rPr>
        <w:t>县应急管理局备案。加油站定期进行应急演练，演练记录详见附件。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17905"/>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343692251"/>
      <w:bookmarkStart w:id="47" w:name="_Toc2209"/>
      <w:bookmarkStart w:id="48" w:name="_Toc11834"/>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2C24A1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612BB7BC">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49" w:name="_Toc32071"/>
      <w:bookmarkStart w:id="50" w:name="_Toc15326"/>
      <w:bookmarkStart w:id="51" w:name="_Toc10889"/>
      <w:bookmarkStart w:id="52" w:name="_Toc17924"/>
      <w:bookmarkStart w:id="53" w:name="_Toc343692252"/>
      <w:r>
        <w:rPr>
          <w:color w:val="auto"/>
        </w:rPr>
        <w:t>3.2</w:t>
      </w:r>
      <w:r>
        <w:rPr>
          <w:rFonts w:hint="eastAsia" w:cs="宋体"/>
          <w:color w:val="auto"/>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4" w:name="_Toc32340"/>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9706"/>
      <w:bookmarkStart w:id="56" w:name="_Toc32342"/>
      <w:bookmarkStart w:id="57" w:name="_Toc343692253"/>
      <w:bookmarkStart w:id="58" w:name="_Toc28936"/>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32D32A49">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761"/>
      <w:bookmarkStart w:id="60" w:name="_Toc15806"/>
      <w:bookmarkStart w:id="61" w:name="_Toc23823"/>
      <w:bookmarkStart w:id="62" w:name="_Toc19249"/>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22.5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25.5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09</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lang w:val="en-US" w:eastAsia="zh-CN"/>
              </w:rPr>
              <w:t>0.1125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lang w:val="en-US" w:eastAsia="zh-CN"/>
              </w:rPr>
              <w:t>0.0051</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1176</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09</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045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0.0000</w:t>
            </w:r>
            <w:r>
              <w:rPr>
                <w:rFonts w:hint="eastAsia" w:ascii="Times New Roman" w:hAnsi="Times New Roman" w:cs="Times New Roman"/>
                <w:b/>
                <w:bCs/>
                <w:color w:val="auto"/>
                <w:lang w:val="en-US" w:eastAsia="zh-CN"/>
              </w:rPr>
              <w:t>34</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0484</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24252"/>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20706"/>
      <w:bookmarkStart w:id="65" w:name="_Toc16859"/>
      <w:bookmarkStart w:id="66" w:name="_Toc18505"/>
      <w:bookmarkStart w:id="67" w:name="_Toc17404"/>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16" w:firstLineChars="200"/>
        <w:rPr>
          <w:rFonts w:ascii="Times New Roman" w:hAnsi="Times New Roman" w:cs="Times New Roman"/>
          <w:color w:val="auto"/>
          <w:spacing w:val="-8"/>
          <w:sz w:val="28"/>
          <w:szCs w:val="28"/>
        </w:rPr>
      </w:pPr>
      <w:r>
        <w:rPr>
          <w:rFonts w:hint="eastAsia" w:ascii="Times New Roman" w:hAnsi="Times New Roman" w:cs="宋体"/>
          <w:color w:val="auto"/>
          <w:spacing w:val="-11"/>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11"/>
          <w:sz w:val="28"/>
          <w:szCs w:val="28"/>
        </w:rPr>
        <w:t>GB6441-</w:t>
      </w:r>
      <w:r>
        <w:rPr>
          <w:rFonts w:hint="eastAsia" w:ascii="Times New Roman" w:hAnsi="Times New Roman" w:cs="Times New Roman"/>
          <w:color w:val="auto"/>
          <w:spacing w:val="-11"/>
          <w:sz w:val="28"/>
          <w:szCs w:val="28"/>
          <w:lang w:val="en-US" w:eastAsia="zh-CN"/>
        </w:rPr>
        <w:t>2025</w:t>
      </w:r>
      <w:r>
        <w:rPr>
          <w:rFonts w:hint="eastAsia" w:ascii="Times New Roman" w:hAnsi="Times New Roman" w:cs="宋体"/>
          <w:color w:val="auto"/>
          <w:spacing w:val="-11"/>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9570"/>
      <w:bookmarkStart w:id="69" w:name="_Toc12873"/>
      <w:bookmarkStart w:id="70" w:name="_Toc16083"/>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5F89C65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4F21AD4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5A447A8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3AF64AC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3505B62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5977855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02BD108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6EF92B4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1F93619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w:t>
      </w:r>
      <w:r>
        <w:rPr>
          <w:rFonts w:hint="eastAsia" w:ascii="Times New Roman" w:hAnsi="Times New Roman" w:cs="宋体"/>
          <w:color w:val="auto"/>
          <w:spacing w:val="-11"/>
          <w:sz w:val="28"/>
          <w:szCs w:val="28"/>
        </w:rPr>
        <w:t>品油运输装卸过程由于违规或管理缺陷、使用不当有可能发生运输交通事</w:t>
      </w:r>
      <w:r>
        <w:rPr>
          <w:rFonts w:hint="eastAsia" w:ascii="Times New Roman" w:hAnsi="Times New Roman" w:cs="宋体"/>
          <w:color w:val="auto"/>
          <w:sz w:val="28"/>
          <w:szCs w:val="28"/>
        </w:rPr>
        <w:t>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283512C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26550AA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7C9006E2">
      <w:pPr>
        <w:keepNext/>
        <w:keepLines/>
        <w:spacing w:line="600" w:lineRule="exact"/>
        <w:outlineLvl w:val="1"/>
        <w:rPr>
          <w:rFonts w:ascii="Times New Roman" w:hAnsi="Times New Roman" w:cs="Times New Roman"/>
          <w:b/>
          <w:bCs/>
          <w:color w:val="auto"/>
          <w:sz w:val="28"/>
          <w:szCs w:val="28"/>
        </w:rPr>
      </w:pPr>
      <w:bookmarkStart w:id="71" w:name="_Toc3570"/>
      <w:bookmarkStart w:id="72" w:name="_Toc24976"/>
      <w:bookmarkStart w:id="73" w:name="_Toc2821"/>
      <w:bookmarkStart w:id="74" w:name="_Toc258"/>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10194"/>
      <w:bookmarkStart w:id="76" w:name="_Toc313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03E4B9D">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049EA00C">
      <w:pPr>
        <w:keepNext/>
        <w:keepLines/>
        <w:spacing w:line="600" w:lineRule="exact"/>
        <w:outlineLvl w:val="1"/>
        <w:rPr>
          <w:rFonts w:ascii="Times New Roman" w:hAnsi="Times New Roman" w:cs="Times New Roman"/>
          <w:b/>
          <w:bCs/>
          <w:color w:val="auto"/>
          <w:sz w:val="28"/>
          <w:szCs w:val="28"/>
        </w:rPr>
      </w:pPr>
      <w:bookmarkStart w:id="77" w:name="_Toc9623"/>
      <w:bookmarkStart w:id="78" w:name="_Toc5009"/>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14090"/>
      <w:bookmarkStart w:id="80" w:name="_Toc28615"/>
      <w:bookmarkStart w:id="81" w:name="_Toc1420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5946"/>
      <w:bookmarkStart w:id="83" w:name="_Toc13751"/>
      <w:bookmarkStart w:id="84" w:name="_Toc19293"/>
      <w:bookmarkStart w:id="85" w:name="_Toc20651"/>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31633"/>
      <w:bookmarkStart w:id="87" w:name="_Toc19137"/>
      <w:bookmarkStart w:id="88" w:name="_Toc8607"/>
      <w:bookmarkStart w:id="89" w:name="_Toc18812"/>
      <w:bookmarkStart w:id="90" w:name="_Toc343692256"/>
      <w:bookmarkStart w:id="91"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903"/>
        <w:gridCol w:w="2529"/>
        <w:gridCol w:w="3959"/>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7"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903"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29"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59"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47"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903"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29"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59"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47"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903"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29"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59"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7"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903"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29"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59"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7"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903"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29"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59"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7"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903"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29"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59"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7"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903"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29"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59"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7"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903"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29"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59"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7"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903"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29"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59"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47"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7354"/>
            <w:bookmarkStart w:id="93" w:name="_Toc30431"/>
            <w:bookmarkStart w:id="94" w:name="_Toc28553"/>
            <w:bookmarkStart w:id="95" w:name="_Toc30502"/>
            <w:bookmarkStart w:id="96" w:name="_Toc1204"/>
            <w:r>
              <w:rPr>
                <w:rFonts w:hint="eastAsia" w:ascii="Times New Roman" w:hAnsi="Times New Roman" w:cs="Times New Roman"/>
                <w:color w:val="auto"/>
                <w:lang w:val="en-US" w:eastAsia="zh-CN"/>
              </w:rPr>
              <w:t>9</w:t>
            </w:r>
          </w:p>
        </w:tc>
        <w:tc>
          <w:tcPr>
            <w:tcW w:w="1903"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29"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59"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47"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903"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29"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59"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47"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903"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29"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59"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47"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903"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29"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59"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47"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903"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29"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59"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78E0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47" w:type="dxa"/>
            <w:shd w:val="clear" w:color="auto" w:fill="auto"/>
            <w:vAlign w:val="center"/>
          </w:tcPr>
          <w:p w14:paraId="695CBB49">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903" w:type="dxa"/>
            <w:shd w:val="clear" w:color="auto" w:fill="auto"/>
            <w:vAlign w:val="center"/>
          </w:tcPr>
          <w:p w14:paraId="3B798834">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29" w:type="dxa"/>
            <w:shd w:val="clear" w:color="auto" w:fill="auto"/>
            <w:vAlign w:val="center"/>
          </w:tcPr>
          <w:p w14:paraId="4911740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59" w:type="dxa"/>
            <w:shd w:val="clear" w:color="auto" w:fill="auto"/>
            <w:vAlign w:val="center"/>
          </w:tcPr>
          <w:p w14:paraId="465CC27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7" w:name="_Toc25875"/>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1" o:title=""/>
                  <o:lock v:ext="edit" aspectratio="t"/>
                  <w10:wrap type="topAndBottom"/>
                </v:shape>
                <o:OLEObject Type="Embed" ProgID="Msxml2.SAXXMLReader.5.0" ShapeID="Picture 66" DrawAspect="Content" ObjectID="_1468075725" r:id="rId10">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2"/>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3"/>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32599"/>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8100"/>
      <w:bookmarkStart w:id="100" w:name="_Toc10015"/>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8397"/>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23345"/>
      <w:bookmarkStart w:id="104" w:name="_Toc20468418"/>
      <w:bookmarkStart w:id="105" w:name="_Toc18672"/>
      <w:bookmarkStart w:id="106" w:name="_Toc1174"/>
      <w:bookmarkStart w:id="107" w:name="_Toc90566109"/>
      <w:bookmarkStart w:id="108" w:name="_Toc92712580"/>
      <w:bookmarkStart w:id="109" w:name="_Toc10199"/>
      <w:bookmarkStart w:id="110" w:name="_Toc11638"/>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24868"/>
      <w:bookmarkStart w:id="113" w:name="_Toc92712581"/>
      <w:bookmarkStart w:id="114" w:name="_Toc23527"/>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92712582"/>
      <w:bookmarkStart w:id="117" w:name="_Toc68180459"/>
      <w:bookmarkStart w:id="118" w:name="_Toc13417"/>
      <w:bookmarkStart w:id="119" w:name="_Toc25391"/>
      <w:bookmarkStart w:id="120" w:name="_Toc28161"/>
      <w:bookmarkStart w:id="121" w:name="_Toc20468420"/>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92712583"/>
      <w:bookmarkStart w:id="123"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72"/>
        <w:gridCol w:w="866"/>
        <w:gridCol w:w="364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7" w:hRule="atLeast"/>
          <w:tblHeader/>
          <w:jc w:val="center"/>
        </w:trPr>
        <w:tc>
          <w:tcPr>
            <w:tcW w:w="890" w:type="dxa"/>
            <w:vAlign w:val="center"/>
          </w:tcPr>
          <w:p w14:paraId="22E42498">
            <w:pPr>
              <w:jc w:val="center"/>
              <w:rPr>
                <w:rFonts w:ascii="宋体" w:hAnsi="宋体"/>
                <w:b/>
                <w:color w:val="auto"/>
              </w:rPr>
            </w:pPr>
            <w:r>
              <w:rPr>
                <w:rFonts w:hint="eastAsia" w:ascii="宋体" w:hAnsi="宋体"/>
                <w:b/>
                <w:color w:val="auto"/>
              </w:rPr>
              <w:t>分数值</w:t>
            </w:r>
          </w:p>
        </w:tc>
        <w:tc>
          <w:tcPr>
            <w:tcW w:w="367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49"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890" w:type="dxa"/>
            <w:vAlign w:val="center"/>
          </w:tcPr>
          <w:p w14:paraId="17CF6CCB">
            <w:pPr>
              <w:jc w:val="center"/>
              <w:rPr>
                <w:rFonts w:ascii="宋体" w:hAnsi="宋体"/>
                <w:color w:val="auto"/>
              </w:rPr>
            </w:pPr>
            <w:r>
              <w:rPr>
                <w:rFonts w:ascii="宋体" w:hAnsi="宋体"/>
                <w:color w:val="auto"/>
              </w:rPr>
              <w:t>100</w:t>
            </w:r>
          </w:p>
        </w:tc>
        <w:tc>
          <w:tcPr>
            <w:tcW w:w="3672"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49"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890" w:type="dxa"/>
            <w:vAlign w:val="center"/>
          </w:tcPr>
          <w:p w14:paraId="45979B93">
            <w:pPr>
              <w:jc w:val="center"/>
              <w:rPr>
                <w:rFonts w:ascii="宋体" w:hAnsi="宋体"/>
                <w:color w:val="auto"/>
              </w:rPr>
            </w:pPr>
            <w:r>
              <w:rPr>
                <w:rFonts w:ascii="宋体" w:hAnsi="宋体"/>
                <w:color w:val="auto"/>
              </w:rPr>
              <w:t>40</w:t>
            </w:r>
          </w:p>
        </w:tc>
        <w:tc>
          <w:tcPr>
            <w:tcW w:w="3672"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49"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2" w:hRule="atLeast"/>
          <w:jc w:val="center"/>
        </w:trPr>
        <w:tc>
          <w:tcPr>
            <w:tcW w:w="890" w:type="dxa"/>
            <w:vAlign w:val="center"/>
          </w:tcPr>
          <w:p w14:paraId="2BF3E93C">
            <w:pPr>
              <w:jc w:val="center"/>
              <w:rPr>
                <w:rFonts w:ascii="宋体" w:hAnsi="宋体"/>
                <w:color w:val="auto"/>
              </w:rPr>
            </w:pPr>
            <w:r>
              <w:rPr>
                <w:rFonts w:ascii="宋体" w:hAnsi="宋体"/>
                <w:color w:val="auto"/>
              </w:rPr>
              <w:t>15</w:t>
            </w:r>
          </w:p>
        </w:tc>
        <w:tc>
          <w:tcPr>
            <w:tcW w:w="3672"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49"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22797"/>
      <w:bookmarkStart w:id="125" w:name="_Toc5789"/>
      <w:bookmarkStart w:id="126" w:name="_Toc7145"/>
      <w:bookmarkStart w:id="127" w:name="_Toc20468421"/>
      <w:bookmarkStart w:id="128" w:name="_Toc92712584"/>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9" w:name="_Toc2146"/>
      <w:bookmarkStart w:id="130" w:name="_Toc20468422"/>
      <w:bookmarkStart w:id="131" w:name="_Toc92712585"/>
      <w:bookmarkStart w:id="132" w:name="_Toc483"/>
      <w:bookmarkStart w:id="133" w:name="_Toc90566112"/>
      <w:bookmarkStart w:id="134" w:name="_Toc2095"/>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24115"/>
      <w:bookmarkStart w:id="136" w:name="_Toc20468423"/>
      <w:bookmarkStart w:id="137" w:name="_Toc3486"/>
      <w:bookmarkStart w:id="138" w:name="_Toc343692262"/>
      <w:bookmarkStart w:id="139" w:name="_Toc4733"/>
      <w:bookmarkStart w:id="140" w:name="_Toc21479"/>
      <w:bookmarkStart w:id="141" w:name="_Toc92712586"/>
      <w:bookmarkStart w:id="142" w:name="_Toc12376"/>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22504"/>
      <w:bookmarkStart w:id="144" w:name="_Toc4861"/>
      <w:bookmarkStart w:id="145" w:name="_Toc20468424"/>
      <w:bookmarkStart w:id="146" w:name="_Toc92712587"/>
      <w:bookmarkStart w:id="147" w:name="_Toc25880"/>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8" w:name="_Toc32059"/>
      <w:bookmarkStart w:id="149" w:name="_Toc20468425"/>
      <w:bookmarkStart w:id="150" w:name="_Toc23097"/>
      <w:bookmarkStart w:id="151" w:name="_Toc92712588"/>
      <w:bookmarkStart w:id="152" w:name="_Toc9784"/>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rPr>
            </w:pPr>
            <w:r>
              <w:rPr>
                <w:rFonts w:ascii="宋体" w:hAnsi="宋体"/>
                <w:b/>
                <w:color w:val="auto"/>
              </w:rPr>
              <w:t>序号</w:t>
            </w:r>
          </w:p>
        </w:tc>
        <w:tc>
          <w:tcPr>
            <w:tcW w:w="1263" w:type="pct"/>
            <w:vAlign w:val="center"/>
          </w:tcPr>
          <w:p w14:paraId="2E83A4E5">
            <w:pPr>
              <w:jc w:val="center"/>
              <w:rPr>
                <w:rFonts w:ascii="宋体" w:hAnsi="宋体"/>
                <w:b/>
                <w:color w:val="auto"/>
              </w:rPr>
            </w:pPr>
            <w:r>
              <w:rPr>
                <w:rFonts w:ascii="宋体" w:hAnsi="宋体"/>
                <w:b/>
                <w:color w:val="auto"/>
              </w:rPr>
              <w:t>评价单元</w:t>
            </w:r>
          </w:p>
        </w:tc>
        <w:tc>
          <w:tcPr>
            <w:tcW w:w="1608" w:type="pct"/>
            <w:vAlign w:val="center"/>
          </w:tcPr>
          <w:p w14:paraId="3F5E314C">
            <w:pPr>
              <w:jc w:val="center"/>
              <w:rPr>
                <w:rFonts w:ascii="宋体" w:hAnsi="宋体"/>
                <w:b/>
                <w:color w:val="auto"/>
              </w:rPr>
            </w:pPr>
            <w:r>
              <w:rPr>
                <w:rFonts w:ascii="宋体" w:hAnsi="宋体"/>
                <w:b/>
                <w:color w:val="auto"/>
              </w:rPr>
              <w:t>危险类别</w:t>
            </w:r>
          </w:p>
        </w:tc>
        <w:tc>
          <w:tcPr>
            <w:tcW w:w="313" w:type="pct"/>
            <w:vAlign w:val="center"/>
          </w:tcPr>
          <w:p w14:paraId="76CE2032">
            <w:pPr>
              <w:jc w:val="center"/>
              <w:rPr>
                <w:rFonts w:ascii="宋体" w:hAnsi="宋体"/>
                <w:b/>
                <w:color w:val="auto"/>
              </w:rPr>
            </w:pPr>
            <w:r>
              <w:rPr>
                <w:rFonts w:ascii="宋体" w:hAnsi="宋体"/>
                <w:b/>
                <w:color w:val="auto"/>
              </w:rPr>
              <w:t>L</w:t>
            </w:r>
          </w:p>
        </w:tc>
        <w:tc>
          <w:tcPr>
            <w:tcW w:w="188"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5"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3"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08"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3"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5"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rPr>
            </w:pPr>
          </w:p>
        </w:tc>
        <w:tc>
          <w:tcPr>
            <w:tcW w:w="1263" w:type="pct"/>
            <w:vMerge w:val="continue"/>
            <w:shd w:val="clear" w:color="auto" w:fill="auto"/>
            <w:vAlign w:val="center"/>
          </w:tcPr>
          <w:p w14:paraId="78BAB5F5">
            <w:pPr>
              <w:jc w:val="center"/>
              <w:rPr>
                <w:rFonts w:ascii="宋体" w:hAnsi="宋体"/>
                <w:color w:val="auto"/>
              </w:rPr>
            </w:pPr>
          </w:p>
        </w:tc>
        <w:tc>
          <w:tcPr>
            <w:tcW w:w="1608"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5"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rPr>
            </w:pPr>
          </w:p>
        </w:tc>
        <w:tc>
          <w:tcPr>
            <w:tcW w:w="1263" w:type="pct"/>
            <w:vMerge w:val="continue"/>
            <w:shd w:val="clear" w:color="auto" w:fill="auto"/>
            <w:vAlign w:val="center"/>
          </w:tcPr>
          <w:p w14:paraId="0165DE72">
            <w:pPr>
              <w:jc w:val="center"/>
              <w:rPr>
                <w:rFonts w:ascii="宋体" w:hAnsi="宋体"/>
                <w:color w:val="auto"/>
              </w:rPr>
            </w:pPr>
          </w:p>
        </w:tc>
        <w:tc>
          <w:tcPr>
            <w:tcW w:w="1608"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3" w:type="pct"/>
            <w:shd w:val="clear" w:color="auto" w:fill="auto"/>
            <w:vAlign w:val="center"/>
          </w:tcPr>
          <w:p w14:paraId="5AAA972A">
            <w:pPr>
              <w:jc w:val="center"/>
              <w:rPr>
                <w:rFonts w:ascii="宋体" w:hAnsi="宋体"/>
                <w:color w:val="auto"/>
              </w:rPr>
            </w:pPr>
            <w:r>
              <w:rPr>
                <w:rFonts w:ascii="宋体" w:hAnsi="宋体"/>
                <w:color w:val="auto"/>
              </w:rPr>
              <w:t>0.5</w:t>
            </w:r>
          </w:p>
        </w:tc>
        <w:tc>
          <w:tcPr>
            <w:tcW w:w="188"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5"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rPr>
            </w:pPr>
          </w:p>
        </w:tc>
        <w:tc>
          <w:tcPr>
            <w:tcW w:w="1263" w:type="pct"/>
            <w:vMerge w:val="continue"/>
            <w:shd w:val="clear" w:color="auto" w:fill="auto"/>
            <w:vAlign w:val="center"/>
          </w:tcPr>
          <w:p w14:paraId="7E24B7B5">
            <w:pPr>
              <w:jc w:val="center"/>
              <w:rPr>
                <w:rFonts w:ascii="宋体" w:hAnsi="宋体"/>
                <w:color w:val="auto"/>
              </w:rPr>
            </w:pPr>
          </w:p>
        </w:tc>
        <w:tc>
          <w:tcPr>
            <w:tcW w:w="1608"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3" w:type="pct"/>
            <w:shd w:val="clear" w:color="auto" w:fill="auto"/>
            <w:vAlign w:val="center"/>
          </w:tcPr>
          <w:p w14:paraId="3CE3692E">
            <w:pPr>
              <w:jc w:val="center"/>
              <w:rPr>
                <w:rFonts w:ascii="宋体" w:hAnsi="宋体"/>
                <w:color w:val="auto"/>
              </w:rPr>
            </w:pPr>
            <w:r>
              <w:rPr>
                <w:rFonts w:ascii="宋体" w:hAnsi="宋体"/>
                <w:color w:val="auto"/>
              </w:rPr>
              <w:t>0.5</w:t>
            </w:r>
          </w:p>
        </w:tc>
        <w:tc>
          <w:tcPr>
            <w:tcW w:w="188"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5"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3"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08"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3"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5"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rPr>
            </w:pPr>
          </w:p>
        </w:tc>
        <w:tc>
          <w:tcPr>
            <w:tcW w:w="1263" w:type="pct"/>
            <w:vMerge w:val="continue"/>
            <w:shd w:val="clear" w:color="auto" w:fill="auto"/>
            <w:vAlign w:val="center"/>
          </w:tcPr>
          <w:p w14:paraId="23F2B14C">
            <w:pPr>
              <w:jc w:val="center"/>
              <w:rPr>
                <w:rFonts w:ascii="宋体" w:hAnsi="宋体"/>
                <w:color w:val="auto"/>
              </w:rPr>
            </w:pPr>
          </w:p>
        </w:tc>
        <w:tc>
          <w:tcPr>
            <w:tcW w:w="1608"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3" w:type="pct"/>
            <w:shd w:val="clear" w:color="auto" w:fill="auto"/>
            <w:vAlign w:val="center"/>
          </w:tcPr>
          <w:p w14:paraId="6439C605">
            <w:pPr>
              <w:jc w:val="center"/>
              <w:rPr>
                <w:rFonts w:ascii="宋体" w:hAnsi="宋体"/>
                <w:color w:val="auto"/>
              </w:rPr>
            </w:pPr>
            <w:r>
              <w:rPr>
                <w:rFonts w:ascii="宋体" w:hAnsi="宋体"/>
                <w:color w:val="auto"/>
              </w:rPr>
              <w:t>0.5</w:t>
            </w:r>
          </w:p>
        </w:tc>
        <w:tc>
          <w:tcPr>
            <w:tcW w:w="188"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5"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rPr>
            </w:pPr>
          </w:p>
        </w:tc>
        <w:tc>
          <w:tcPr>
            <w:tcW w:w="1263" w:type="pct"/>
            <w:vMerge w:val="continue"/>
            <w:shd w:val="clear" w:color="auto" w:fill="auto"/>
            <w:vAlign w:val="center"/>
          </w:tcPr>
          <w:p w14:paraId="299C8414">
            <w:pPr>
              <w:jc w:val="center"/>
              <w:rPr>
                <w:rFonts w:ascii="宋体" w:hAnsi="宋体"/>
                <w:color w:val="auto"/>
              </w:rPr>
            </w:pPr>
          </w:p>
        </w:tc>
        <w:tc>
          <w:tcPr>
            <w:tcW w:w="1608"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3"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5"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rPr>
            </w:pPr>
          </w:p>
        </w:tc>
        <w:tc>
          <w:tcPr>
            <w:tcW w:w="1263" w:type="pct"/>
            <w:vMerge w:val="continue"/>
            <w:shd w:val="clear" w:color="auto" w:fill="auto"/>
            <w:vAlign w:val="center"/>
          </w:tcPr>
          <w:p w14:paraId="72E43FA2">
            <w:pPr>
              <w:jc w:val="center"/>
              <w:rPr>
                <w:rFonts w:ascii="宋体" w:hAnsi="宋体"/>
                <w:color w:val="auto"/>
              </w:rPr>
            </w:pPr>
          </w:p>
        </w:tc>
        <w:tc>
          <w:tcPr>
            <w:tcW w:w="1608"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3" w:type="pct"/>
            <w:shd w:val="clear" w:color="auto" w:fill="auto"/>
            <w:vAlign w:val="center"/>
          </w:tcPr>
          <w:p w14:paraId="17F8F048">
            <w:pPr>
              <w:jc w:val="center"/>
              <w:rPr>
                <w:rFonts w:ascii="宋体" w:hAnsi="宋体"/>
                <w:color w:val="auto"/>
              </w:rPr>
            </w:pPr>
            <w:r>
              <w:rPr>
                <w:rFonts w:ascii="宋体" w:hAnsi="宋体"/>
                <w:color w:val="auto"/>
              </w:rPr>
              <w:t>1</w:t>
            </w:r>
          </w:p>
        </w:tc>
        <w:tc>
          <w:tcPr>
            <w:tcW w:w="188"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5"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rPr>
            </w:pPr>
          </w:p>
        </w:tc>
        <w:tc>
          <w:tcPr>
            <w:tcW w:w="1263" w:type="pct"/>
            <w:vMerge w:val="continue"/>
            <w:shd w:val="clear" w:color="auto" w:fill="auto"/>
            <w:vAlign w:val="center"/>
          </w:tcPr>
          <w:p w14:paraId="3D2859D5">
            <w:pPr>
              <w:jc w:val="center"/>
              <w:rPr>
                <w:rFonts w:ascii="宋体" w:hAnsi="宋体"/>
                <w:color w:val="auto"/>
              </w:rPr>
            </w:pPr>
          </w:p>
        </w:tc>
        <w:tc>
          <w:tcPr>
            <w:tcW w:w="1608"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3" w:type="pct"/>
            <w:shd w:val="clear" w:color="auto" w:fill="auto"/>
            <w:vAlign w:val="center"/>
          </w:tcPr>
          <w:p w14:paraId="54EF657A">
            <w:pPr>
              <w:jc w:val="center"/>
              <w:rPr>
                <w:rFonts w:ascii="宋体" w:hAnsi="宋体"/>
                <w:color w:val="auto"/>
              </w:rPr>
            </w:pPr>
            <w:r>
              <w:rPr>
                <w:rFonts w:ascii="宋体" w:hAnsi="宋体"/>
                <w:color w:val="auto"/>
              </w:rPr>
              <w:t>1</w:t>
            </w:r>
          </w:p>
        </w:tc>
        <w:tc>
          <w:tcPr>
            <w:tcW w:w="188"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5"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3"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08"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3"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5"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rPr>
            </w:pPr>
          </w:p>
        </w:tc>
        <w:tc>
          <w:tcPr>
            <w:tcW w:w="1263" w:type="pct"/>
            <w:vMerge w:val="continue"/>
            <w:shd w:val="clear" w:color="auto" w:fill="auto"/>
            <w:vAlign w:val="center"/>
          </w:tcPr>
          <w:p w14:paraId="031C303E">
            <w:pPr>
              <w:jc w:val="center"/>
              <w:rPr>
                <w:rFonts w:ascii="宋体" w:hAnsi="宋体"/>
                <w:color w:val="auto"/>
              </w:rPr>
            </w:pPr>
          </w:p>
        </w:tc>
        <w:tc>
          <w:tcPr>
            <w:tcW w:w="1608"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2E1F6426">
            <w:pPr>
              <w:jc w:val="center"/>
              <w:rPr>
                <w:rFonts w:ascii="宋体" w:hAnsi="宋体"/>
                <w:color w:val="auto"/>
              </w:rPr>
            </w:pPr>
            <w:r>
              <w:rPr>
                <w:rFonts w:ascii="宋体" w:hAnsi="宋体"/>
                <w:color w:val="auto"/>
              </w:rPr>
              <w:t>1</w:t>
            </w:r>
          </w:p>
        </w:tc>
        <w:tc>
          <w:tcPr>
            <w:tcW w:w="188"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5"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rPr>
            </w:pPr>
            <w:r>
              <w:rPr>
                <w:rFonts w:ascii="宋体" w:hAnsi="宋体"/>
                <w:color w:val="auto"/>
              </w:rPr>
              <w:t>4</w:t>
            </w:r>
          </w:p>
        </w:tc>
        <w:tc>
          <w:tcPr>
            <w:tcW w:w="1263"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08"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5D422290">
            <w:pPr>
              <w:jc w:val="center"/>
              <w:rPr>
                <w:rFonts w:ascii="宋体" w:hAnsi="宋体"/>
                <w:color w:val="auto"/>
              </w:rPr>
            </w:pPr>
            <w:r>
              <w:rPr>
                <w:rFonts w:ascii="宋体" w:hAnsi="宋体"/>
                <w:color w:val="auto"/>
              </w:rPr>
              <w:t>1</w:t>
            </w:r>
          </w:p>
        </w:tc>
        <w:tc>
          <w:tcPr>
            <w:tcW w:w="188"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5"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5652"/>
      <w:bookmarkStart w:id="154" w:name="_Toc92712589"/>
      <w:bookmarkStart w:id="155" w:name="_Toc2584"/>
      <w:bookmarkStart w:id="156" w:name="_Toc20206"/>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0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17"/>
        <w:gridCol w:w="2184"/>
        <w:gridCol w:w="866"/>
        <w:gridCol w:w="866"/>
        <w:gridCol w:w="866"/>
        <w:gridCol w:w="2577"/>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9" w:hRule="atLeast"/>
          <w:tblHeader/>
          <w:jc w:val="center"/>
        </w:trPr>
        <w:tc>
          <w:tcPr>
            <w:tcW w:w="1717"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184"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6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6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6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577"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0" w:hRule="atLeast"/>
          <w:tblHeader/>
          <w:jc w:val="center"/>
        </w:trPr>
        <w:tc>
          <w:tcPr>
            <w:tcW w:w="1717"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184"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6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3</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6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6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577"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0" w:hRule="atLeast"/>
          <w:jc w:val="center"/>
        </w:trPr>
        <w:tc>
          <w:tcPr>
            <w:tcW w:w="1717"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184"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6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2</w:t>
            </w:r>
          </w:p>
        </w:tc>
        <w:tc>
          <w:tcPr>
            <w:tcW w:w="86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6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577"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0" w:hRule="atLeast"/>
          <w:jc w:val="center"/>
        </w:trPr>
        <w:tc>
          <w:tcPr>
            <w:tcW w:w="1717"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7359"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lang w:val="en-US" w:eastAsia="zh-CN"/>
              </w:rPr>
              <w:t>9</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618" w:hRule="atLeast"/>
          <w:jc w:val="center"/>
        </w:trPr>
        <w:tc>
          <w:tcPr>
            <w:tcW w:w="1717"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7359"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eastAsia" w:ascii="Times New Roman" w:hAnsi="Times New Roman" w:cs="Times New Roman"/>
                <w:color w:val="auto"/>
                <w:lang w:val="en-US" w:eastAsia="zh-CN"/>
              </w:rPr>
              <w:t>Ⅲ</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9</w:t>
      </w:r>
      <w:r>
        <w:rPr>
          <w:rFonts w:ascii="宋体" w:hAnsi="宋体"/>
          <w:color w:val="auto"/>
          <w:sz w:val="28"/>
          <w:szCs w:val="28"/>
        </w:rPr>
        <w:t>分，为</w:t>
      </w:r>
      <w:r>
        <w:rPr>
          <w:rFonts w:hint="eastAsia" w:ascii="Times New Roman" w:hAnsi="Times New Roman" w:cs="Times New Roman"/>
          <w:color w:val="auto"/>
          <w:sz w:val="28"/>
          <w:szCs w:val="28"/>
          <w:lang w:val="en-US" w:eastAsia="zh-CN"/>
        </w:rPr>
        <w:t>Ⅲ</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低</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单层卧式储罐，密闭卸油，设置了液位、温度监测报警和切断设施，设置了油气泄漏检测报警设施，设置了符合标准要求的通气管，卸油作业设置了防拉脱措施，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4183"/>
      <w:bookmarkStart w:id="158" w:name="_Toc92712590"/>
      <w:bookmarkStart w:id="159" w:name="_Toc19007"/>
      <w:bookmarkStart w:id="160" w:name="_Toc10888"/>
      <w:bookmarkStart w:id="161" w:name="_Toc5053"/>
      <w:bookmarkStart w:id="162" w:name="_Toc3721"/>
      <w:bookmarkStart w:id="163" w:name="_Toc92712591"/>
      <w:bookmarkStart w:id="164" w:name="_Toc92712592"/>
      <w:bookmarkStart w:id="165" w:name="_Toc30385"/>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718335F9">
      <w:pPr>
        <w:rPr>
          <w:rFonts w:hint="eastAsia" w:ascii="宋体" w:hAnsi="宋体"/>
          <w:color w:val="auto"/>
          <w:sz w:val="28"/>
          <w:szCs w:val="28"/>
        </w:rPr>
      </w:pPr>
      <w:r>
        <w:rPr>
          <w:rFonts w:hint="eastAsia" w:ascii="宋体" w:hAnsi="宋体"/>
          <w:color w:val="auto"/>
          <w:sz w:val="28"/>
          <w:szCs w:val="28"/>
        </w:rPr>
        <w:br w:type="page"/>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90" w:hRule="atLeast"/>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313512B4">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18508"/>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三</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27D46B23">
      <w:pPr>
        <w:rPr>
          <w:rFonts w:hint="eastAsia" w:ascii="宋体" w:hAnsi="宋体"/>
          <w:color w:val="auto"/>
          <w:sz w:val="28"/>
          <w:szCs w:val="28"/>
        </w:rPr>
      </w:pPr>
      <w:r>
        <w:rPr>
          <w:rFonts w:hint="eastAsia" w:ascii="宋体" w:hAnsi="宋体"/>
          <w:color w:val="auto"/>
          <w:sz w:val="28"/>
          <w:szCs w:val="28"/>
        </w:rPr>
        <w:br w:type="page"/>
      </w:r>
    </w:p>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5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82"/>
        <w:gridCol w:w="991"/>
        <w:gridCol w:w="3022"/>
        <w:gridCol w:w="1593"/>
        <w:gridCol w:w="1017"/>
        <w:gridCol w:w="991"/>
      </w:tblGrid>
      <w:tr w14:paraId="667F5B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48" w:type="pct"/>
            <w:vAlign w:val="center"/>
          </w:tcPr>
          <w:p w14:paraId="29FCDD65">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27" w:type="pct"/>
            <w:vAlign w:val="center"/>
          </w:tcPr>
          <w:p w14:paraId="0670A03B">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607" w:type="pct"/>
            <w:vAlign w:val="center"/>
          </w:tcPr>
          <w:p w14:paraId="1ACED6C5">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47" w:type="pct"/>
            <w:vAlign w:val="center"/>
          </w:tcPr>
          <w:p w14:paraId="27EAB16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41" w:type="pct"/>
            <w:shd w:val="clear" w:color="auto" w:fill="auto"/>
            <w:vAlign w:val="center"/>
          </w:tcPr>
          <w:p w14:paraId="65BD10E4">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27" w:type="pct"/>
            <w:shd w:val="clear" w:color="auto" w:fill="auto"/>
            <w:vAlign w:val="center"/>
          </w:tcPr>
          <w:p w14:paraId="2D571240">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6E96D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48" w:type="pct"/>
            <w:vMerge w:val="restart"/>
            <w:vAlign w:val="center"/>
          </w:tcPr>
          <w:p w14:paraId="1808AB3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27" w:type="pct"/>
            <w:shd w:val="clear" w:color="auto" w:fill="auto"/>
            <w:vAlign w:val="center"/>
          </w:tcPr>
          <w:p w14:paraId="7A14335A">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lang w:eastAsia="zh-CN"/>
              </w:rPr>
              <w:t>侧</w:t>
            </w:r>
          </w:p>
        </w:tc>
        <w:tc>
          <w:tcPr>
            <w:tcW w:w="1607" w:type="pct"/>
            <w:shd w:val="clear" w:color="auto" w:fill="auto"/>
            <w:vAlign w:val="center"/>
          </w:tcPr>
          <w:p w14:paraId="6134F896">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Y630 乡道</w:t>
            </w:r>
          </w:p>
        </w:tc>
        <w:tc>
          <w:tcPr>
            <w:tcW w:w="847" w:type="pct"/>
            <w:vAlign w:val="center"/>
          </w:tcPr>
          <w:p w14:paraId="2401E571">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16.5/9.4</w:t>
            </w:r>
          </w:p>
        </w:tc>
        <w:tc>
          <w:tcPr>
            <w:tcW w:w="541" w:type="pct"/>
            <w:shd w:val="clear" w:color="auto" w:fill="auto"/>
            <w:vAlign w:val="center"/>
          </w:tcPr>
          <w:p w14:paraId="1F6703AA">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5.5/3</w:t>
            </w:r>
          </w:p>
        </w:tc>
        <w:tc>
          <w:tcPr>
            <w:tcW w:w="527" w:type="pct"/>
            <w:shd w:val="clear" w:color="auto" w:fill="auto"/>
            <w:vAlign w:val="center"/>
          </w:tcPr>
          <w:p w14:paraId="057DD4C6">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4E03E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48" w:type="pct"/>
            <w:vMerge w:val="continue"/>
            <w:vAlign w:val="center"/>
          </w:tcPr>
          <w:p w14:paraId="0037F6D5">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531E7F7A">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南侧</w:t>
            </w:r>
          </w:p>
        </w:tc>
        <w:tc>
          <w:tcPr>
            <w:tcW w:w="1607" w:type="pct"/>
            <w:shd w:val="clear" w:color="auto" w:fill="auto"/>
            <w:vAlign w:val="center"/>
          </w:tcPr>
          <w:p w14:paraId="4D9330A4">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民房(三类保护物)</w:t>
            </w:r>
          </w:p>
        </w:tc>
        <w:tc>
          <w:tcPr>
            <w:tcW w:w="847" w:type="pct"/>
            <w:vAlign w:val="center"/>
          </w:tcPr>
          <w:p w14:paraId="7EA185EC">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28.9/29.3</w:t>
            </w:r>
          </w:p>
        </w:tc>
        <w:tc>
          <w:tcPr>
            <w:tcW w:w="541" w:type="pct"/>
            <w:vAlign w:val="center"/>
          </w:tcPr>
          <w:p w14:paraId="275AE64A">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7/6</w:t>
            </w:r>
          </w:p>
        </w:tc>
        <w:tc>
          <w:tcPr>
            <w:tcW w:w="527" w:type="pct"/>
            <w:vAlign w:val="center"/>
          </w:tcPr>
          <w:p w14:paraId="77821CDA">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6EF588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48" w:type="pct"/>
            <w:vMerge w:val="continue"/>
            <w:vAlign w:val="center"/>
          </w:tcPr>
          <w:p w14:paraId="79F20754">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6D3D63D9">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南侧</w:t>
            </w:r>
          </w:p>
        </w:tc>
        <w:tc>
          <w:tcPr>
            <w:tcW w:w="1607" w:type="pct"/>
            <w:shd w:val="clear" w:color="auto" w:fill="auto"/>
            <w:vAlign w:val="center"/>
          </w:tcPr>
          <w:p w14:paraId="5DB3AA20">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架空电力线（有绝缘层，H=4m）</w:t>
            </w:r>
          </w:p>
        </w:tc>
        <w:tc>
          <w:tcPr>
            <w:tcW w:w="847" w:type="pct"/>
            <w:vAlign w:val="center"/>
          </w:tcPr>
          <w:p w14:paraId="3A339F2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19.4/19.9</w:t>
            </w:r>
          </w:p>
        </w:tc>
        <w:tc>
          <w:tcPr>
            <w:tcW w:w="541" w:type="pct"/>
            <w:vAlign w:val="center"/>
          </w:tcPr>
          <w:p w14:paraId="5053ED6C">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7" w:type="pct"/>
            <w:vAlign w:val="center"/>
          </w:tcPr>
          <w:p w14:paraId="3446A48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1400E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48" w:type="pct"/>
            <w:vMerge w:val="continue"/>
            <w:vAlign w:val="center"/>
          </w:tcPr>
          <w:p w14:paraId="36E677A1">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1F55283C">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东北侧</w:t>
            </w:r>
          </w:p>
        </w:tc>
        <w:tc>
          <w:tcPr>
            <w:tcW w:w="1607" w:type="pct"/>
            <w:shd w:val="clear" w:color="auto" w:fill="auto"/>
            <w:vAlign w:val="center"/>
          </w:tcPr>
          <w:p w14:paraId="59BF625F">
            <w:pPr>
              <w:spacing w:line="240" w:lineRule="exact"/>
              <w:jc w:val="center"/>
              <w:rPr>
                <w:rFonts w:hint="eastAsia" w:ascii="Times New Roman" w:hAnsi="Times New Roman" w:cs="Times New Roman"/>
                <w:bCs/>
                <w:color w:val="auto"/>
                <w:szCs w:val="24"/>
                <w:lang w:eastAsia="zh-CN"/>
              </w:rPr>
            </w:pPr>
            <w:r>
              <w:rPr>
                <w:rFonts w:hint="eastAsia" w:ascii="Times New Roman" w:hAnsi="Times New Roman" w:cs="Times New Roman"/>
                <w:bCs/>
                <w:color w:val="auto"/>
                <w:szCs w:val="24"/>
                <w:lang w:eastAsia="zh-CN"/>
              </w:rPr>
              <w:t>枫边派出所(三类保护物)</w:t>
            </w:r>
          </w:p>
        </w:tc>
        <w:tc>
          <w:tcPr>
            <w:tcW w:w="847" w:type="pct"/>
            <w:vAlign w:val="center"/>
          </w:tcPr>
          <w:p w14:paraId="5C3767E6">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7.6/9.7</w:t>
            </w:r>
          </w:p>
        </w:tc>
        <w:tc>
          <w:tcPr>
            <w:tcW w:w="541" w:type="pct"/>
            <w:vAlign w:val="center"/>
          </w:tcPr>
          <w:p w14:paraId="0F213F6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27" w:type="pct"/>
            <w:vAlign w:val="center"/>
          </w:tcPr>
          <w:p w14:paraId="63DD595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0F9A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48" w:type="pct"/>
            <w:vMerge w:val="restart"/>
            <w:vAlign w:val="center"/>
          </w:tcPr>
          <w:p w14:paraId="71409465">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27" w:type="pct"/>
            <w:shd w:val="clear" w:color="auto" w:fill="auto"/>
            <w:vAlign w:val="center"/>
          </w:tcPr>
          <w:p w14:paraId="2E065DFC">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lang w:eastAsia="zh-CN"/>
              </w:rPr>
              <w:t>侧</w:t>
            </w:r>
          </w:p>
        </w:tc>
        <w:tc>
          <w:tcPr>
            <w:tcW w:w="1607" w:type="pct"/>
            <w:shd w:val="clear" w:color="auto" w:fill="auto"/>
            <w:vAlign w:val="center"/>
          </w:tcPr>
          <w:p w14:paraId="2B419927">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Y630 乡道</w:t>
            </w:r>
          </w:p>
        </w:tc>
        <w:tc>
          <w:tcPr>
            <w:tcW w:w="847" w:type="pct"/>
            <w:vAlign w:val="center"/>
          </w:tcPr>
          <w:p w14:paraId="49EE776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5/5</w:t>
            </w:r>
          </w:p>
        </w:tc>
        <w:tc>
          <w:tcPr>
            <w:tcW w:w="541" w:type="pct"/>
            <w:shd w:val="clear" w:color="auto" w:fill="auto"/>
            <w:vAlign w:val="center"/>
          </w:tcPr>
          <w:p w14:paraId="50508E7D">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5/3</w:t>
            </w:r>
          </w:p>
        </w:tc>
        <w:tc>
          <w:tcPr>
            <w:tcW w:w="527" w:type="pct"/>
            <w:vAlign w:val="center"/>
          </w:tcPr>
          <w:p w14:paraId="24292E8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01003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48" w:type="pct"/>
            <w:vMerge w:val="continue"/>
            <w:vAlign w:val="center"/>
          </w:tcPr>
          <w:p w14:paraId="3AFE2DC0">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F4B5F43">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南侧</w:t>
            </w:r>
          </w:p>
        </w:tc>
        <w:tc>
          <w:tcPr>
            <w:tcW w:w="1607" w:type="pct"/>
            <w:shd w:val="clear" w:color="auto" w:fill="auto"/>
            <w:vAlign w:val="center"/>
          </w:tcPr>
          <w:p w14:paraId="2F8F563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847" w:type="pct"/>
            <w:vAlign w:val="center"/>
          </w:tcPr>
          <w:p w14:paraId="7EFB70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25.2/25.2</w:t>
            </w:r>
          </w:p>
        </w:tc>
        <w:tc>
          <w:tcPr>
            <w:tcW w:w="541" w:type="pct"/>
            <w:shd w:val="clear" w:color="auto" w:fill="auto"/>
            <w:vAlign w:val="center"/>
          </w:tcPr>
          <w:p w14:paraId="77C9374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527" w:type="pct"/>
            <w:vAlign w:val="center"/>
          </w:tcPr>
          <w:p w14:paraId="42CD9A1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ACFDD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48" w:type="pct"/>
            <w:vMerge w:val="continue"/>
            <w:vAlign w:val="center"/>
          </w:tcPr>
          <w:p w14:paraId="73A05E8B">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14924274">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南侧</w:t>
            </w:r>
          </w:p>
        </w:tc>
        <w:tc>
          <w:tcPr>
            <w:tcW w:w="1607" w:type="pct"/>
            <w:shd w:val="clear" w:color="auto" w:fill="auto"/>
            <w:vAlign w:val="center"/>
          </w:tcPr>
          <w:p w14:paraId="6843F973">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架空电力线（有绝缘层，H=4m）</w:t>
            </w:r>
          </w:p>
        </w:tc>
        <w:tc>
          <w:tcPr>
            <w:tcW w:w="847" w:type="pct"/>
            <w:vAlign w:val="center"/>
          </w:tcPr>
          <w:p w14:paraId="29AF1C9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18.9/18.9</w:t>
            </w:r>
          </w:p>
        </w:tc>
        <w:tc>
          <w:tcPr>
            <w:tcW w:w="541" w:type="pct"/>
            <w:shd w:val="clear" w:color="auto" w:fill="auto"/>
            <w:vAlign w:val="center"/>
          </w:tcPr>
          <w:p w14:paraId="6D7653B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7" w:type="pct"/>
            <w:vAlign w:val="center"/>
          </w:tcPr>
          <w:p w14:paraId="3C3A326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041C2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48" w:type="pct"/>
            <w:vMerge w:val="continue"/>
            <w:vAlign w:val="center"/>
          </w:tcPr>
          <w:p w14:paraId="14908E4D">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31A16D3">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东北侧</w:t>
            </w:r>
          </w:p>
        </w:tc>
        <w:tc>
          <w:tcPr>
            <w:tcW w:w="1607" w:type="pct"/>
            <w:shd w:val="clear" w:color="auto" w:fill="auto"/>
            <w:vAlign w:val="center"/>
          </w:tcPr>
          <w:p w14:paraId="57DBBD7D">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枫边派出所(三类保护物)</w:t>
            </w:r>
          </w:p>
        </w:tc>
        <w:tc>
          <w:tcPr>
            <w:tcW w:w="847" w:type="pct"/>
            <w:vAlign w:val="center"/>
          </w:tcPr>
          <w:p w14:paraId="2A057C6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21.4/21.4</w:t>
            </w:r>
          </w:p>
        </w:tc>
        <w:tc>
          <w:tcPr>
            <w:tcW w:w="541" w:type="pct"/>
            <w:shd w:val="clear" w:color="auto" w:fill="auto"/>
            <w:vAlign w:val="center"/>
          </w:tcPr>
          <w:p w14:paraId="27C592E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27" w:type="pct"/>
            <w:vAlign w:val="center"/>
          </w:tcPr>
          <w:p w14:paraId="11D6C52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1480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48" w:type="pct"/>
            <w:vMerge w:val="restart"/>
            <w:vAlign w:val="center"/>
          </w:tcPr>
          <w:p w14:paraId="7C0986D1">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27" w:type="pct"/>
            <w:shd w:val="clear" w:color="auto" w:fill="auto"/>
            <w:vAlign w:val="center"/>
          </w:tcPr>
          <w:p w14:paraId="625A01FF">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val="en-US" w:eastAsia="zh-CN"/>
              </w:rPr>
              <w:t>西</w:t>
            </w:r>
            <w:r>
              <w:rPr>
                <w:rFonts w:hint="eastAsia" w:ascii="Times New Roman" w:hAnsi="Times New Roman" w:cs="Times New Roman"/>
                <w:bCs/>
                <w:color w:val="auto"/>
                <w:szCs w:val="24"/>
                <w:lang w:eastAsia="zh-CN"/>
              </w:rPr>
              <w:t>侧</w:t>
            </w:r>
          </w:p>
        </w:tc>
        <w:tc>
          <w:tcPr>
            <w:tcW w:w="1607" w:type="pct"/>
            <w:shd w:val="clear" w:color="auto" w:fill="auto"/>
            <w:vAlign w:val="center"/>
          </w:tcPr>
          <w:p w14:paraId="37909A1F">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Y630 乡道</w:t>
            </w:r>
          </w:p>
        </w:tc>
        <w:tc>
          <w:tcPr>
            <w:tcW w:w="847" w:type="pct"/>
            <w:vAlign w:val="center"/>
          </w:tcPr>
          <w:p w14:paraId="25C9E0E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5.1/5.4</w:t>
            </w:r>
          </w:p>
        </w:tc>
        <w:tc>
          <w:tcPr>
            <w:tcW w:w="541" w:type="pct"/>
            <w:shd w:val="clear" w:color="auto" w:fill="auto"/>
            <w:vAlign w:val="center"/>
          </w:tcPr>
          <w:p w14:paraId="4F218AA2">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5/3</w:t>
            </w:r>
          </w:p>
        </w:tc>
        <w:tc>
          <w:tcPr>
            <w:tcW w:w="527" w:type="pct"/>
            <w:vAlign w:val="center"/>
          </w:tcPr>
          <w:p w14:paraId="29553CA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F92BB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48" w:type="pct"/>
            <w:vMerge w:val="continue"/>
            <w:vAlign w:val="center"/>
          </w:tcPr>
          <w:p w14:paraId="2D305DC6">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5955C8FC">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南侧</w:t>
            </w:r>
          </w:p>
        </w:tc>
        <w:tc>
          <w:tcPr>
            <w:tcW w:w="1607" w:type="pct"/>
            <w:shd w:val="clear" w:color="auto" w:fill="auto"/>
            <w:vAlign w:val="center"/>
          </w:tcPr>
          <w:p w14:paraId="3EE6B655">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民房(三类保护物)</w:t>
            </w:r>
          </w:p>
        </w:tc>
        <w:tc>
          <w:tcPr>
            <w:tcW w:w="847" w:type="pct"/>
            <w:vAlign w:val="center"/>
          </w:tcPr>
          <w:p w14:paraId="3324C2F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18.5/23.4</w:t>
            </w:r>
          </w:p>
        </w:tc>
        <w:tc>
          <w:tcPr>
            <w:tcW w:w="541" w:type="pct"/>
            <w:shd w:val="clear" w:color="auto" w:fill="auto"/>
            <w:vAlign w:val="center"/>
          </w:tcPr>
          <w:p w14:paraId="2E36D5B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527" w:type="pct"/>
            <w:vAlign w:val="center"/>
          </w:tcPr>
          <w:p w14:paraId="1A30FE4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67FA6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48" w:type="pct"/>
            <w:vMerge w:val="continue"/>
            <w:vAlign w:val="center"/>
          </w:tcPr>
          <w:p w14:paraId="64A53A7F">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6D3CCD6">
            <w:pPr>
              <w:spacing w:line="240" w:lineRule="exact"/>
              <w:jc w:val="center"/>
              <w:rPr>
                <w:rFonts w:ascii="Times New Roman" w:hAnsi="Times New Roman" w:cs="Times New Roman"/>
                <w:bCs/>
                <w:color w:val="auto"/>
                <w:szCs w:val="24"/>
              </w:rPr>
            </w:pPr>
            <w:r>
              <w:rPr>
                <w:rFonts w:hint="eastAsia" w:ascii="Times New Roman" w:hAnsi="Times New Roman" w:cs="Times New Roman"/>
                <w:bCs/>
                <w:color w:val="auto"/>
                <w:szCs w:val="24"/>
                <w:lang w:eastAsia="zh-CN"/>
              </w:rPr>
              <w:t>南侧</w:t>
            </w:r>
          </w:p>
        </w:tc>
        <w:tc>
          <w:tcPr>
            <w:tcW w:w="1607" w:type="pct"/>
            <w:shd w:val="clear" w:color="auto" w:fill="auto"/>
            <w:vAlign w:val="center"/>
          </w:tcPr>
          <w:p w14:paraId="0C4AB6A6">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架空电力线（有绝缘层，H=4m）</w:t>
            </w:r>
          </w:p>
        </w:tc>
        <w:tc>
          <w:tcPr>
            <w:tcW w:w="847" w:type="pct"/>
            <w:vAlign w:val="center"/>
          </w:tcPr>
          <w:p w14:paraId="526D34E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14.5/17.5</w:t>
            </w:r>
          </w:p>
        </w:tc>
        <w:tc>
          <w:tcPr>
            <w:tcW w:w="541" w:type="pct"/>
            <w:shd w:val="clear" w:color="auto" w:fill="auto"/>
            <w:vAlign w:val="center"/>
          </w:tcPr>
          <w:p w14:paraId="114814B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7" w:type="pct"/>
            <w:vAlign w:val="center"/>
          </w:tcPr>
          <w:p w14:paraId="2BA6F53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73A30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48" w:type="pct"/>
            <w:vMerge w:val="continue"/>
            <w:vAlign w:val="center"/>
          </w:tcPr>
          <w:p w14:paraId="016D9A77">
            <w:pPr>
              <w:spacing w:line="240" w:lineRule="exact"/>
              <w:jc w:val="center"/>
              <w:rPr>
                <w:rFonts w:ascii="Times New Roman" w:hAnsi="Times New Roman" w:cs="Times New Roman"/>
                <w:bCs/>
                <w:color w:val="auto"/>
                <w:szCs w:val="24"/>
              </w:rPr>
            </w:pPr>
          </w:p>
        </w:tc>
        <w:tc>
          <w:tcPr>
            <w:tcW w:w="527" w:type="pct"/>
            <w:shd w:val="clear" w:color="auto" w:fill="auto"/>
            <w:vAlign w:val="center"/>
          </w:tcPr>
          <w:p w14:paraId="7A6E6E0B">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东北侧</w:t>
            </w:r>
          </w:p>
        </w:tc>
        <w:tc>
          <w:tcPr>
            <w:tcW w:w="1607" w:type="pct"/>
            <w:shd w:val="clear" w:color="auto" w:fill="auto"/>
            <w:vAlign w:val="center"/>
          </w:tcPr>
          <w:p w14:paraId="7590D668">
            <w:pPr>
              <w:spacing w:line="240" w:lineRule="exact"/>
              <w:jc w:val="center"/>
              <w:rPr>
                <w:rFonts w:ascii="Times New Roman" w:hAnsi="Times New Roman" w:cs="Times New Roman"/>
                <w:color w:val="auto"/>
              </w:rPr>
            </w:pPr>
            <w:r>
              <w:rPr>
                <w:rFonts w:hint="eastAsia" w:ascii="Times New Roman" w:hAnsi="Times New Roman" w:cs="Times New Roman"/>
                <w:bCs/>
                <w:color w:val="auto"/>
                <w:szCs w:val="24"/>
                <w:lang w:eastAsia="zh-CN"/>
              </w:rPr>
              <w:t>枫边派出所(三类保护物)</w:t>
            </w:r>
          </w:p>
        </w:tc>
        <w:tc>
          <w:tcPr>
            <w:tcW w:w="847" w:type="pct"/>
            <w:vAlign w:val="center"/>
          </w:tcPr>
          <w:p w14:paraId="2D2B267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26./23</w:t>
            </w:r>
          </w:p>
        </w:tc>
        <w:tc>
          <w:tcPr>
            <w:tcW w:w="541" w:type="pct"/>
            <w:shd w:val="clear" w:color="auto" w:fill="auto"/>
            <w:vAlign w:val="center"/>
          </w:tcPr>
          <w:p w14:paraId="5E80FFF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27" w:type="pct"/>
            <w:vAlign w:val="center"/>
          </w:tcPr>
          <w:p w14:paraId="4FD3FE4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6353"/>
      <w:bookmarkStart w:id="168" w:name="_Toc13210"/>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rPr>
            </w:pPr>
            <w:r>
              <w:rPr>
                <w:rFonts w:ascii="宋体" w:hAnsi="宋体"/>
                <w:b/>
                <w:color w:val="auto"/>
              </w:rPr>
              <w:t>序号</w:t>
            </w:r>
          </w:p>
        </w:tc>
        <w:tc>
          <w:tcPr>
            <w:tcW w:w="2988" w:type="pct"/>
            <w:vAlign w:val="center"/>
          </w:tcPr>
          <w:p w14:paraId="7D2A3C6F">
            <w:pPr>
              <w:spacing w:line="240" w:lineRule="exact"/>
              <w:jc w:val="center"/>
              <w:rPr>
                <w:rFonts w:ascii="宋体" w:hAnsi="宋体"/>
                <w:b/>
                <w:color w:val="auto"/>
              </w:rPr>
            </w:pPr>
            <w:r>
              <w:rPr>
                <w:rFonts w:ascii="宋体" w:hAnsi="宋体"/>
                <w:b/>
                <w:color w:val="auto"/>
              </w:rPr>
              <w:t>检查内容</w:t>
            </w:r>
          </w:p>
        </w:tc>
        <w:tc>
          <w:tcPr>
            <w:tcW w:w="439" w:type="pct"/>
            <w:vAlign w:val="center"/>
          </w:tcPr>
          <w:p w14:paraId="2B218207">
            <w:pPr>
              <w:spacing w:line="240" w:lineRule="exact"/>
              <w:jc w:val="center"/>
              <w:rPr>
                <w:rFonts w:ascii="宋体" w:hAnsi="宋体"/>
                <w:b/>
                <w:color w:val="auto"/>
              </w:rPr>
            </w:pPr>
            <w:r>
              <w:rPr>
                <w:rFonts w:ascii="宋体" w:hAnsi="宋体"/>
                <w:b/>
                <w:color w:val="auto"/>
              </w:rPr>
              <w:t>标准条款</w:t>
            </w:r>
          </w:p>
        </w:tc>
        <w:tc>
          <w:tcPr>
            <w:tcW w:w="1125" w:type="pct"/>
            <w:vAlign w:val="center"/>
          </w:tcPr>
          <w:p w14:paraId="2ED57010">
            <w:pPr>
              <w:spacing w:line="240" w:lineRule="exact"/>
              <w:jc w:val="center"/>
              <w:rPr>
                <w:rFonts w:ascii="宋体" w:hAnsi="宋体"/>
                <w:b/>
                <w:color w:val="auto"/>
              </w:rPr>
            </w:pPr>
            <w:r>
              <w:rPr>
                <w:rFonts w:ascii="宋体" w:hAnsi="宋体"/>
                <w:b/>
                <w:color w:val="auto"/>
              </w:rPr>
              <w:t>检查记录</w:t>
            </w:r>
          </w:p>
        </w:tc>
        <w:tc>
          <w:tcPr>
            <w:tcW w:w="223" w:type="pct"/>
            <w:vAlign w:val="center"/>
          </w:tcPr>
          <w:p w14:paraId="62A01948">
            <w:pPr>
              <w:spacing w:line="240" w:lineRule="exact"/>
              <w:jc w:val="center"/>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rPr>
            </w:pPr>
            <w:r>
              <w:rPr>
                <w:rFonts w:ascii="宋体" w:hAnsi="宋体"/>
                <w:color w:val="auto"/>
              </w:rPr>
              <w:t>1</w:t>
            </w:r>
          </w:p>
        </w:tc>
        <w:tc>
          <w:tcPr>
            <w:tcW w:w="2988" w:type="pct"/>
            <w:vAlign w:val="center"/>
          </w:tcPr>
          <w:p w14:paraId="7E4B78F5">
            <w:pPr>
              <w:spacing w:line="240" w:lineRule="exact"/>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spacing w:line="240" w:lineRule="exact"/>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spacing w:line="240" w:lineRule="exact"/>
              <w:rPr>
                <w:rFonts w:ascii="宋体" w:hAnsi="宋体"/>
                <w:color w:val="auto"/>
              </w:rPr>
            </w:pPr>
            <w:r>
              <w:rPr>
                <w:rFonts w:ascii="宋体" w:hAnsi="宋体"/>
                <w:color w:val="auto"/>
              </w:rPr>
              <w:t>分开设置</w:t>
            </w:r>
          </w:p>
        </w:tc>
        <w:tc>
          <w:tcPr>
            <w:tcW w:w="223" w:type="pct"/>
            <w:vAlign w:val="center"/>
          </w:tcPr>
          <w:p w14:paraId="201840CE">
            <w:pPr>
              <w:spacing w:line="240" w:lineRule="exact"/>
              <w:jc w:val="center"/>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rPr>
            </w:pPr>
            <w:r>
              <w:rPr>
                <w:rFonts w:ascii="宋体" w:hAnsi="宋体"/>
                <w:color w:val="auto"/>
              </w:rPr>
              <w:t>2</w:t>
            </w:r>
          </w:p>
        </w:tc>
        <w:tc>
          <w:tcPr>
            <w:tcW w:w="2988" w:type="pct"/>
            <w:vAlign w:val="center"/>
          </w:tcPr>
          <w:p w14:paraId="5629E6EC">
            <w:pPr>
              <w:spacing w:line="240" w:lineRule="exact"/>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rPr>
            </w:pPr>
            <w:r>
              <w:rPr>
                <w:rFonts w:ascii="宋体" w:hAnsi="宋体"/>
                <w:color w:val="auto"/>
              </w:rPr>
              <w:t>5.0.2</w:t>
            </w:r>
          </w:p>
        </w:tc>
        <w:tc>
          <w:tcPr>
            <w:tcW w:w="1125" w:type="pct"/>
            <w:vAlign w:val="center"/>
          </w:tcPr>
          <w:p w14:paraId="1B5C429E">
            <w:pPr>
              <w:spacing w:line="240" w:lineRule="exact"/>
              <w:rPr>
                <w:rFonts w:ascii="宋体" w:hAnsi="宋体"/>
                <w:color w:val="auto"/>
              </w:rPr>
            </w:pPr>
            <w:r>
              <w:rPr>
                <w:rFonts w:ascii="宋体" w:hAnsi="宋体"/>
                <w:color w:val="auto"/>
              </w:rPr>
              <w:t>单车道宽度</w:t>
            </w:r>
            <w:r>
              <w:rPr>
                <w:rFonts w:hint="eastAsia" w:ascii="宋体" w:hAnsi="宋体"/>
                <w:color w:val="auto"/>
              </w:rPr>
              <w:t>9</w:t>
            </w:r>
            <w:r>
              <w:rPr>
                <w:rFonts w:ascii="宋体" w:hAnsi="宋体"/>
                <w:color w:val="auto"/>
              </w:rPr>
              <w:t>m</w:t>
            </w:r>
            <w:r>
              <w:rPr>
                <w:rFonts w:hint="eastAsia" w:ascii="宋体" w:hAnsi="宋体"/>
                <w:color w:val="auto"/>
              </w:rPr>
              <w:t>，</w:t>
            </w:r>
            <w:r>
              <w:rPr>
                <w:rFonts w:ascii="宋体" w:hAnsi="宋体"/>
                <w:color w:val="auto"/>
              </w:rPr>
              <w:t>双车道或双车停车位宽度</w:t>
            </w:r>
            <w:r>
              <w:rPr>
                <w:rFonts w:hint="eastAsia" w:ascii="宋体" w:hAnsi="宋体"/>
                <w:color w:val="auto"/>
              </w:rPr>
              <w:t>9</w:t>
            </w:r>
            <w:r>
              <w:rPr>
                <w:rFonts w:ascii="宋体" w:hAnsi="宋体"/>
                <w:color w:val="auto"/>
              </w:rPr>
              <w:t>m</w:t>
            </w:r>
          </w:p>
        </w:tc>
        <w:tc>
          <w:tcPr>
            <w:tcW w:w="223" w:type="pct"/>
            <w:vAlign w:val="center"/>
          </w:tcPr>
          <w:p w14:paraId="1F290A09">
            <w:pPr>
              <w:spacing w:line="240" w:lineRule="exact"/>
              <w:jc w:val="center"/>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rPr>
            </w:pPr>
            <w:r>
              <w:rPr>
                <w:rFonts w:ascii="宋体" w:hAnsi="宋体"/>
                <w:color w:val="auto"/>
              </w:rPr>
              <w:t>3</w:t>
            </w:r>
          </w:p>
        </w:tc>
        <w:tc>
          <w:tcPr>
            <w:tcW w:w="2988" w:type="pct"/>
            <w:vAlign w:val="center"/>
          </w:tcPr>
          <w:p w14:paraId="02A827D7">
            <w:pPr>
              <w:spacing w:line="240" w:lineRule="exact"/>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spacing w:line="240" w:lineRule="exact"/>
              <w:rPr>
                <w:rFonts w:ascii="宋体" w:hAnsi="宋体"/>
                <w:color w:val="auto"/>
              </w:rPr>
            </w:pPr>
          </w:p>
        </w:tc>
        <w:tc>
          <w:tcPr>
            <w:tcW w:w="1125" w:type="pct"/>
            <w:vAlign w:val="center"/>
          </w:tcPr>
          <w:p w14:paraId="667879F4">
            <w:pPr>
              <w:spacing w:line="240" w:lineRule="exact"/>
              <w:rPr>
                <w:rFonts w:ascii="宋体" w:hAnsi="宋体"/>
                <w:color w:val="auto"/>
              </w:rPr>
            </w:pPr>
            <w:r>
              <w:rPr>
                <w:rFonts w:ascii="宋体" w:hAnsi="宋体"/>
                <w:color w:val="auto"/>
              </w:rPr>
              <w:t>不小于9m</w:t>
            </w:r>
          </w:p>
        </w:tc>
        <w:tc>
          <w:tcPr>
            <w:tcW w:w="223" w:type="pct"/>
            <w:vAlign w:val="center"/>
          </w:tcPr>
          <w:p w14:paraId="5CD9FF0B">
            <w:pPr>
              <w:spacing w:line="240" w:lineRule="exact"/>
              <w:jc w:val="center"/>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rPr>
            </w:pPr>
            <w:r>
              <w:rPr>
                <w:rFonts w:ascii="宋体" w:hAnsi="宋体"/>
                <w:color w:val="auto"/>
              </w:rPr>
              <w:t>4</w:t>
            </w:r>
          </w:p>
        </w:tc>
        <w:tc>
          <w:tcPr>
            <w:tcW w:w="2988" w:type="pct"/>
            <w:vAlign w:val="center"/>
          </w:tcPr>
          <w:p w14:paraId="79C54CA8">
            <w:pPr>
              <w:spacing w:line="240" w:lineRule="exact"/>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rPr>
            </w:pPr>
          </w:p>
        </w:tc>
        <w:tc>
          <w:tcPr>
            <w:tcW w:w="1125" w:type="pct"/>
            <w:vAlign w:val="center"/>
          </w:tcPr>
          <w:p w14:paraId="57DDFC8E">
            <w:pPr>
              <w:spacing w:line="240" w:lineRule="exact"/>
              <w:rPr>
                <w:rFonts w:ascii="宋体" w:hAnsi="宋体"/>
                <w:color w:val="auto"/>
              </w:rPr>
            </w:pPr>
            <w:r>
              <w:rPr>
                <w:rFonts w:ascii="宋体" w:hAnsi="宋体"/>
                <w:color w:val="auto"/>
              </w:rPr>
              <w:t>站内停车位为平坡，道路坡度不大于8%</w:t>
            </w:r>
          </w:p>
        </w:tc>
        <w:tc>
          <w:tcPr>
            <w:tcW w:w="223" w:type="pct"/>
            <w:vAlign w:val="center"/>
          </w:tcPr>
          <w:p w14:paraId="42711302">
            <w:pPr>
              <w:spacing w:line="240" w:lineRule="exact"/>
              <w:jc w:val="center"/>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rPr>
            </w:pPr>
            <w:r>
              <w:rPr>
                <w:rFonts w:ascii="宋体" w:hAnsi="宋体"/>
                <w:color w:val="auto"/>
              </w:rPr>
              <w:t>5</w:t>
            </w:r>
          </w:p>
        </w:tc>
        <w:tc>
          <w:tcPr>
            <w:tcW w:w="2988" w:type="pct"/>
            <w:vAlign w:val="center"/>
          </w:tcPr>
          <w:p w14:paraId="47C32DFE">
            <w:pPr>
              <w:spacing w:line="240" w:lineRule="exact"/>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spacing w:line="240" w:lineRule="exact"/>
              <w:rPr>
                <w:rFonts w:ascii="宋体" w:hAnsi="宋体"/>
                <w:color w:val="auto"/>
              </w:rPr>
            </w:pPr>
          </w:p>
        </w:tc>
        <w:tc>
          <w:tcPr>
            <w:tcW w:w="1125" w:type="pct"/>
            <w:vAlign w:val="center"/>
          </w:tcPr>
          <w:p w14:paraId="316B0359">
            <w:pPr>
              <w:spacing w:line="240" w:lineRule="exact"/>
              <w:rPr>
                <w:rFonts w:ascii="宋体" w:hAnsi="宋体"/>
                <w:color w:val="auto"/>
              </w:rPr>
            </w:pPr>
            <w:r>
              <w:rPr>
                <w:rFonts w:ascii="宋体" w:hAnsi="宋体"/>
                <w:color w:val="auto"/>
              </w:rPr>
              <w:t>混凝土路面</w:t>
            </w:r>
          </w:p>
        </w:tc>
        <w:tc>
          <w:tcPr>
            <w:tcW w:w="223" w:type="pct"/>
            <w:vAlign w:val="center"/>
          </w:tcPr>
          <w:p w14:paraId="2F99538A">
            <w:pPr>
              <w:spacing w:line="240" w:lineRule="exact"/>
              <w:jc w:val="center"/>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rPr>
            </w:pPr>
            <w:r>
              <w:rPr>
                <w:rFonts w:hint="eastAsia" w:ascii="宋体" w:hAnsi="宋体"/>
                <w:color w:val="auto"/>
              </w:rPr>
              <w:t>6</w:t>
            </w:r>
          </w:p>
        </w:tc>
        <w:tc>
          <w:tcPr>
            <w:tcW w:w="2988" w:type="pct"/>
            <w:vAlign w:val="center"/>
          </w:tcPr>
          <w:p w14:paraId="5766B428">
            <w:pPr>
              <w:spacing w:line="240" w:lineRule="exact"/>
              <w:rPr>
                <w:rFonts w:ascii="宋体" w:hAnsi="宋体"/>
                <w:color w:val="auto"/>
              </w:rPr>
            </w:pPr>
            <w:r>
              <w:rPr>
                <w:rFonts w:ascii="宋体" w:hAnsi="宋体"/>
                <w:color w:val="auto"/>
              </w:rPr>
              <w:t>作业区与辅助服务区之间应有界线标识。</w:t>
            </w:r>
          </w:p>
        </w:tc>
        <w:tc>
          <w:tcPr>
            <w:tcW w:w="439" w:type="pct"/>
            <w:vAlign w:val="center"/>
          </w:tcPr>
          <w:p w14:paraId="2385A189">
            <w:pPr>
              <w:spacing w:line="240" w:lineRule="exact"/>
              <w:rPr>
                <w:rFonts w:ascii="宋体" w:hAnsi="宋体"/>
                <w:color w:val="auto"/>
              </w:rPr>
            </w:pPr>
            <w:r>
              <w:rPr>
                <w:rFonts w:hint="eastAsia" w:ascii="宋体" w:hAnsi="宋体"/>
                <w:color w:val="auto"/>
              </w:rPr>
              <w:t>5.0.3</w:t>
            </w:r>
          </w:p>
        </w:tc>
        <w:tc>
          <w:tcPr>
            <w:tcW w:w="1125" w:type="pct"/>
            <w:vAlign w:val="center"/>
          </w:tcPr>
          <w:p w14:paraId="553FEC0F">
            <w:pPr>
              <w:spacing w:line="240" w:lineRule="exact"/>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spacing w:line="240" w:lineRule="exact"/>
              <w:jc w:val="center"/>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rPr>
            </w:pPr>
            <w:r>
              <w:rPr>
                <w:rFonts w:hint="eastAsia" w:ascii="宋体" w:hAnsi="宋体"/>
                <w:color w:val="auto"/>
              </w:rPr>
              <w:t>7</w:t>
            </w:r>
          </w:p>
        </w:tc>
        <w:tc>
          <w:tcPr>
            <w:tcW w:w="2988" w:type="pct"/>
          </w:tcPr>
          <w:p w14:paraId="58C85DB1">
            <w:pPr>
              <w:spacing w:line="240" w:lineRule="exact"/>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spacing w:line="240" w:lineRule="exact"/>
              <w:rPr>
                <w:rFonts w:ascii="宋体" w:hAnsi="宋体"/>
                <w:color w:val="auto"/>
              </w:rPr>
            </w:pPr>
            <w:r>
              <w:rPr>
                <w:rFonts w:hint="eastAsia" w:ascii="宋体" w:hAnsi="宋体"/>
                <w:color w:val="auto"/>
              </w:rPr>
              <w:t>不涉及</w:t>
            </w:r>
          </w:p>
        </w:tc>
        <w:tc>
          <w:tcPr>
            <w:tcW w:w="223" w:type="pct"/>
            <w:vAlign w:val="center"/>
          </w:tcPr>
          <w:p w14:paraId="7EAE3237">
            <w:pPr>
              <w:spacing w:line="240" w:lineRule="exact"/>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rPr>
            </w:pPr>
            <w:r>
              <w:rPr>
                <w:rFonts w:hint="eastAsia" w:ascii="宋体" w:hAnsi="宋体"/>
                <w:color w:val="auto"/>
              </w:rPr>
              <w:t>8</w:t>
            </w:r>
          </w:p>
        </w:tc>
        <w:tc>
          <w:tcPr>
            <w:tcW w:w="2988" w:type="pct"/>
          </w:tcPr>
          <w:p w14:paraId="79E94457">
            <w:pPr>
              <w:spacing w:line="240" w:lineRule="exact"/>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spacing w:line="240" w:lineRule="exact"/>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spacing w:line="240" w:lineRule="exact"/>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spacing w:line="240" w:lineRule="exact"/>
              <w:jc w:val="center"/>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rPr>
            </w:pPr>
            <w:r>
              <w:rPr>
                <w:rFonts w:hint="eastAsia" w:ascii="宋体" w:hAnsi="宋体"/>
                <w:color w:val="auto"/>
              </w:rPr>
              <w:t>9</w:t>
            </w:r>
          </w:p>
        </w:tc>
        <w:tc>
          <w:tcPr>
            <w:tcW w:w="2988" w:type="pct"/>
          </w:tcPr>
          <w:p w14:paraId="6A4A8A15">
            <w:pPr>
              <w:spacing w:line="240" w:lineRule="exact"/>
              <w:rPr>
                <w:rFonts w:ascii="宋体" w:hAnsi="宋体"/>
                <w:color w:val="auto"/>
              </w:rPr>
            </w:pPr>
            <w:r>
              <w:rPr>
                <w:rFonts w:ascii="宋体" w:hAnsi="宋体"/>
                <w:color w:val="auto"/>
              </w:rPr>
              <w:t>柴油尾气处理液加注设施的布置应符合下列规定：</w:t>
            </w:r>
          </w:p>
          <w:p w14:paraId="4DA6932B">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spacing w:line="240" w:lineRule="exact"/>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spacing w:line="240" w:lineRule="exact"/>
              <w:rPr>
                <w:rFonts w:ascii="宋体" w:hAnsi="宋体"/>
                <w:color w:val="auto"/>
              </w:rPr>
            </w:pPr>
            <w:r>
              <w:rPr>
                <w:rFonts w:hint="eastAsia" w:ascii="宋体" w:hAnsi="宋体"/>
                <w:color w:val="auto"/>
              </w:rPr>
              <w:t>不涉及</w:t>
            </w:r>
          </w:p>
        </w:tc>
        <w:tc>
          <w:tcPr>
            <w:tcW w:w="223" w:type="pct"/>
            <w:vAlign w:val="center"/>
          </w:tcPr>
          <w:p w14:paraId="75FD1B1C">
            <w:pPr>
              <w:spacing w:line="240" w:lineRule="exact"/>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rPr>
            </w:pPr>
            <w:r>
              <w:rPr>
                <w:rFonts w:hint="eastAsia" w:ascii="宋体" w:hAnsi="宋体"/>
                <w:color w:val="auto"/>
              </w:rPr>
              <w:t>10</w:t>
            </w:r>
          </w:p>
        </w:tc>
        <w:tc>
          <w:tcPr>
            <w:tcW w:w="2988" w:type="pct"/>
            <w:vAlign w:val="center"/>
          </w:tcPr>
          <w:p w14:paraId="7EF742F9">
            <w:pPr>
              <w:spacing w:line="240" w:lineRule="exact"/>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spacing w:line="240" w:lineRule="exact"/>
              <w:rPr>
                <w:rFonts w:ascii="宋体" w:hAnsi="宋体"/>
                <w:color w:val="auto"/>
              </w:rPr>
            </w:pPr>
            <w:r>
              <w:rPr>
                <w:rFonts w:hint="eastAsia" w:ascii="宋体" w:hAnsi="宋体"/>
                <w:color w:val="auto"/>
              </w:rPr>
              <w:t>5.0.7</w:t>
            </w:r>
          </w:p>
        </w:tc>
        <w:tc>
          <w:tcPr>
            <w:tcW w:w="1125" w:type="pct"/>
            <w:vAlign w:val="center"/>
          </w:tcPr>
          <w:p w14:paraId="35DA90EB">
            <w:pPr>
              <w:spacing w:line="240" w:lineRule="exact"/>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spacing w:line="240" w:lineRule="exact"/>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rPr>
            </w:pPr>
            <w:r>
              <w:rPr>
                <w:rFonts w:hint="eastAsia" w:ascii="宋体" w:hAnsi="宋体"/>
                <w:color w:val="auto"/>
              </w:rPr>
              <w:t>11</w:t>
            </w:r>
          </w:p>
        </w:tc>
        <w:tc>
          <w:tcPr>
            <w:tcW w:w="2988" w:type="pct"/>
            <w:vAlign w:val="center"/>
          </w:tcPr>
          <w:p w14:paraId="73F418A2">
            <w:pPr>
              <w:spacing w:line="240" w:lineRule="exact"/>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spacing w:line="240" w:lineRule="exact"/>
              <w:rPr>
                <w:rFonts w:ascii="宋体" w:hAnsi="宋体"/>
                <w:color w:val="auto"/>
              </w:rPr>
            </w:pPr>
            <w:r>
              <w:rPr>
                <w:rFonts w:hint="eastAsia" w:ascii="宋体" w:hAnsi="宋体"/>
                <w:color w:val="auto"/>
              </w:rPr>
              <w:t>5.0.8</w:t>
            </w:r>
          </w:p>
        </w:tc>
        <w:tc>
          <w:tcPr>
            <w:tcW w:w="1125" w:type="pct"/>
            <w:vAlign w:val="center"/>
          </w:tcPr>
          <w:p w14:paraId="5E3F0C7C">
            <w:pPr>
              <w:spacing w:line="240" w:lineRule="exact"/>
              <w:rPr>
                <w:rFonts w:ascii="宋体" w:hAnsi="宋体"/>
                <w:color w:val="auto"/>
              </w:rPr>
            </w:pPr>
            <w:r>
              <w:rPr>
                <w:rFonts w:hint="eastAsia" w:ascii="宋体" w:hAnsi="宋体"/>
                <w:color w:val="auto"/>
              </w:rPr>
              <w:t>配电间布置在作业区外</w:t>
            </w:r>
          </w:p>
        </w:tc>
        <w:tc>
          <w:tcPr>
            <w:tcW w:w="223" w:type="pct"/>
            <w:vAlign w:val="center"/>
          </w:tcPr>
          <w:p w14:paraId="2465637E">
            <w:pPr>
              <w:spacing w:line="240" w:lineRule="exact"/>
              <w:jc w:val="center"/>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rPr>
            </w:pPr>
            <w:r>
              <w:rPr>
                <w:rFonts w:hint="eastAsia" w:ascii="宋体" w:hAnsi="宋体"/>
                <w:color w:val="auto"/>
              </w:rPr>
              <w:t>12</w:t>
            </w:r>
          </w:p>
        </w:tc>
        <w:tc>
          <w:tcPr>
            <w:tcW w:w="2988" w:type="pct"/>
            <w:vAlign w:val="center"/>
          </w:tcPr>
          <w:p w14:paraId="66021A7E">
            <w:pPr>
              <w:spacing w:line="240" w:lineRule="exact"/>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rPr>
            </w:pPr>
            <w:r>
              <w:rPr>
                <w:rFonts w:hint="eastAsia" w:ascii="宋体" w:hAnsi="宋体"/>
                <w:color w:val="auto"/>
              </w:rPr>
              <w:t>5.0.9</w:t>
            </w:r>
          </w:p>
        </w:tc>
        <w:tc>
          <w:tcPr>
            <w:tcW w:w="1125" w:type="pct"/>
            <w:vAlign w:val="center"/>
          </w:tcPr>
          <w:p w14:paraId="47C1715F">
            <w:pPr>
              <w:spacing w:line="240" w:lineRule="exact"/>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spacing w:line="240" w:lineRule="exact"/>
              <w:jc w:val="center"/>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rPr>
            </w:pPr>
            <w:r>
              <w:rPr>
                <w:rFonts w:hint="eastAsia" w:ascii="宋体" w:hAnsi="宋体"/>
                <w:color w:val="auto"/>
              </w:rPr>
              <w:t>13</w:t>
            </w:r>
          </w:p>
        </w:tc>
        <w:tc>
          <w:tcPr>
            <w:tcW w:w="2988" w:type="pct"/>
            <w:vAlign w:val="center"/>
          </w:tcPr>
          <w:p w14:paraId="16ADAE93">
            <w:pPr>
              <w:spacing w:line="240" w:lineRule="exact"/>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spacing w:line="240" w:lineRule="exact"/>
              <w:rPr>
                <w:rFonts w:ascii="宋体" w:hAnsi="宋体"/>
                <w:color w:val="auto"/>
              </w:rPr>
            </w:pPr>
            <w:r>
              <w:rPr>
                <w:rFonts w:hint="eastAsia" w:ascii="宋体" w:hAnsi="宋体"/>
                <w:color w:val="auto"/>
              </w:rPr>
              <w:t>5.0.10</w:t>
            </w:r>
          </w:p>
        </w:tc>
        <w:tc>
          <w:tcPr>
            <w:tcW w:w="1125" w:type="pct"/>
            <w:vAlign w:val="center"/>
          </w:tcPr>
          <w:p w14:paraId="43C3E7AD">
            <w:pPr>
              <w:spacing w:line="240" w:lineRule="exact"/>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spacing w:line="240" w:lineRule="exact"/>
              <w:jc w:val="center"/>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rPr>
            </w:pPr>
            <w:r>
              <w:rPr>
                <w:rFonts w:hint="eastAsia" w:ascii="宋体" w:hAnsi="宋体"/>
                <w:color w:val="auto"/>
              </w:rPr>
              <w:t>14</w:t>
            </w:r>
          </w:p>
        </w:tc>
        <w:tc>
          <w:tcPr>
            <w:tcW w:w="2988" w:type="pct"/>
            <w:vAlign w:val="center"/>
          </w:tcPr>
          <w:p w14:paraId="7C8FEC70">
            <w:pPr>
              <w:spacing w:line="240" w:lineRule="exact"/>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spacing w:line="240" w:lineRule="exact"/>
              <w:rPr>
                <w:rFonts w:ascii="宋体" w:hAnsi="宋体"/>
                <w:color w:val="auto"/>
              </w:rPr>
            </w:pPr>
            <w:r>
              <w:rPr>
                <w:rFonts w:hint="eastAsia" w:ascii="宋体" w:hAnsi="宋体"/>
                <w:color w:val="auto"/>
              </w:rPr>
              <w:t>5.0.11</w:t>
            </w:r>
          </w:p>
        </w:tc>
        <w:tc>
          <w:tcPr>
            <w:tcW w:w="1125" w:type="pct"/>
            <w:vAlign w:val="center"/>
          </w:tcPr>
          <w:p w14:paraId="7086B42D">
            <w:pPr>
              <w:spacing w:line="240" w:lineRule="exact"/>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spacing w:line="240" w:lineRule="exact"/>
              <w:jc w:val="center"/>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rPr>
            </w:pPr>
            <w:r>
              <w:rPr>
                <w:rFonts w:hint="eastAsia" w:ascii="宋体" w:hAnsi="宋体"/>
                <w:color w:val="auto"/>
              </w:rPr>
              <w:t>15</w:t>
            </w:r>
          </w:p>
        </w:tc>
        <w:tc>
          <w:tcPr>
            <w:tcW w:w="2988" w:type="pct"/>
            <w:vAlign w:val="center"/>
          </w:tcPr>
          <w:p w14:paraId="426CC00C">
            <w:pPr>
              <w:spacing w:line="240" w:lineRule="exact"/>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spacing w:line="240" w:lineRule="exact"/>
              <w:rPr>
                <w:rFonts w:ascii="宋体" w:hAnsi="宋体"/>
                <w:color w:val="auto"/>
              </w:rPr>
            </w:pPr>
            <w:r>
              <w:rPr>
                <w:rFonts w:hint="eastAsia" w:ascii="宋体" w:hAnsi="宋体"/>
                <w:color w:val="auto"/>
              </w:rPr>
              <w:t>5.0.12</w:t>
            </w:r>
          </w:p>
        </w:tc>
        <w:tc>
          <w:tcPr>
            <w:tcW w:w="1125" w:type="pct"/>
            <w:vAlign w:val="center"/>
          </w:tcPr>
          <w:p w14:paraId="541E5C8A">
            <w:pPr>
              <w:spacing w:line="240" w:lineRule="exact"/>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spacing w:line="240" w:lineRule="exact"/>
              <w:jc w:val="center"/>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rPr>
            </w:pPr>
            <w:r>
              <w:rPr>
                <w:rFonts w:hint="eastAsia" w:ascii="宋体" w:hAnsi="宋体"/>
                <w:color w:val="auto"/>
              </w:rPr>
              <w:t>16</w:t>
            </w:r>
          </w:p>
        </w:tc>
        <w:tc>
          <w:tcPr>
            <w:tcW w:w="2988" w:type="pct"/>
            <w:vAlign w:val="center"/>
          </w:tcPr>
          <w:p w14:paraId="2C9A59E4">
            <w:pPr>
              <w:spacing w:line="240" w:lineRule="exact"/>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rPr>
            </w:pPr>
            <w:r>
              <w:rPr>
                <w:rFonts w:hint="eastAsia" w:ascii="宋体" w:hAnsi="宋体"/>
                <w:color w:val="auto"/>
              </w:rPr>
              <w:t>5.0.13</w:t>
            </w:r>
          </w:p>
        </w:tc>
        <w:tc>
          <w:tcPr>
            <w:tcW w:w="1125" w:type="pct"/>
            <w:vAlign w:val="center"/>
          </w:tcPr>
          <w:p w14:paraId="585FA78F">
            <w:pPr>
              <w:spacing w:line="240" w:lineRule="exact"/>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spacing w:line="240" w:lineRule="exact"/>
              <w:jc w:val="center"/>
              <w:rPr>
                <w:rFonts w:ascii="宋体" w:hAnsi="宋体"/>
                <w:color w:val="auto"/>
              </w:rPr>
            </w:pPr>
            <w:r>
              <w:rPr>
                <w:rFonts w:hint="eastAsia" w:ascii="宋体" w:hAnsi="宋体"/>
                <w:color w:val="auto"/>
              </w:rPr>
              <w:t>符合</w:t>
            </w:r>
          </w:p>
        </w:tc>
      </w:tr>
    </w:tbl>
    <w:p w14:paraId="01D33295">
      <w:pPr>
        <w:rPr>
          <w:rFonts w:hint="eastAsia" w:ascii="宋体" w:hAnsi="宋体"/>
          <w:color w:val="auto"/>
          <w:sz w:val="28"/>
          <w:szCs w:val="28"/>
        </w:rPr>
      </w:pPr>
      <w:r>
        <w:rPr>
          <w:rFonts w:hint="eastAsia" w:ascii="宋体" w:hAnsi="宋体"/>
          <w:color w:val="auto"/>
          <w:sz w:val="28"/>
          <w:szCs w:val="28"/>
        </w:rPr>
        <w:br w:type="page"/>
      </w:r>
    </w:p>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93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5"/>
        <w:gridCol w:w="2104"/>
        <w:gridCol w:w="1318"/>
        <w:gridCol w:w="2140"/>
        <w:gridCol w:w="1803"/>
        <w:gridCol w:w="1075"/>
      </w:tblGrid>
      <w:tr w14:paraId="3F8EE7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08" w:hRule="atLeast"/>
          <w:jc w:val="center"/>
        </w:trPr>
        <w:tc>
          <w:tcPr>
            <w:tcW w:w="303" w:type="pct"/>
            <w:vAlign w:val="center"/>
          </w:tcPr>
          <w:p w14:paraId="5FDE6853">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70" w:type="pct"/>
            <w:vAlign w:val="center"/>
          </w:tcPr>
          <w:p w14:paraId="11C808FF">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733" w:type="pct"/>
            <w:vAlign w:val="center"/>
          </w:tcPr>
          <w:p w14:paraId="2C72B237">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90" w:type="pct"/>
            <w:vAlign w:val="center"/>
          </w:tcPr>
          <w:p w14:paraId="36279482">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1003" w:type="pct"/>
            <w:vAlign w:val="center"/>
          </w:tcPr>
          <w:p w14:paraId="106B5627">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98" w:type="pct"/>
            <w:shd w:val="clear" w:color="auto" w:fill="auto"/>
            <w:vAlign w:val="center"/>
          </w:tcPr>
          <w:p w14:paraId="14B751E0">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602C5C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2246C1A9">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0ECA243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733" w:type="pct"/>
            <w:vAlign w:val="center"/>
          </w:tcPr>
          <w:p w14:paraId="5C0C5E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90" w:type="pct"/>
            <w:vAlign w:val="center"/>
          </w:tcPr>
          <w:p w14:paraId="60FF9BC1">
            <w:pPr>
              <w:jc w:val="center"/>
              <w:rPr>
                <w:rFonts w:ascii="Times New Roman" w:hAnsi="Times New Roman" w:cs="Times New Roman"/>
                <w:color w:val="auto"/>
              </w:rPr>
            </w:pPr>
            <w:r>
              <w:rPr>
                <w:rFonts w:ascii="Times New Roman" w:hAnsi="Times New Roman" w:cs="Times New Roman"/>
                <w:color w:val="auto"/>
              </w:rPr>
              <w:t>0.5</w:t>
            </w:r>
          </w:p>
        </w:tc>
        <w:tc>
          <w:tcPr>
            <w:tcW w:w="1003" w:type="pct"/>
            <w:vAlign w:val="center"/>
          </w:tcPr>
          <w:p w14:paraId="41E411A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w:t>
            </w:r>
          </w:p>
        </w:tc>
        <w:tc>
          <w:tcPr>
            <w:tcW w:w="598" w:type="pct"/>
            <w:shd w:val="clear" w:color="auto" w:fill="auto"/>
            <w:vAlign w:val="center"/>
          </w:tcPr>
          <w:p w14:paraId="6CE35A50">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40E8BC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3714AB2C">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283E928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vAlign w:val="center"/>
          </w:tcPr>
          <w:p w14:paraId="031004D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4F28C2BA">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298F3C4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4.1</w:t>
            </w:r>
          </w:p>
        </w:tc>
        <w:tc>
          <w:tcPr>
            <w:tcW w:w="598" w:type="pct"/>
            <w:vAlign w:val="center"/>
          </w:tcPr>
          <w:p w14:paraId="66B370B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907E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3415EB41">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613A3F5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vAlign w:val="center"/>
          </w:tcPr>
          <w:p w14:paraId="3425CC3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42178B0F">
            <w:pPr>
              <w:jc w:val="center"/>
              <w:rPr>
                <w:rFonts w:ascii="Times New Roman" w:hAnsi="Times New Roman" w:cs="Times New Roman"/>
                <w:color w:val="auto"/>
              </w:rPr>
            </w:pPr>
            <w:r>
              <w:rPr>
                <w:rFonts w:ascii="Times New Roman" w:hAnsi="Times New Roman" w:cs="Times New Roman"/>
                <w:color w:val="auto"/>
              </w:rPr>
              <w:t>3</w:t>
            </w:r>
          </w:p>
        </w:tc>
        <w:tc>
          <w:tcPr>
            <w:tcW w:w="1003" w:type="pct"/>
            <w:vAlign w:val="center"/>
          </w:tcPr>
          <w:p w14:paraId="631FE3F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4.4</w:t>
            </w:r>
          </w:p>
        </w:tc>
        <w:tc>
          <w:tcPr>
            <w:tcW w:w="598" w:type="pct"/>
            <w:vAlign w:val="center"/>
          </w:tcPr>
          <w:p w14:paraId="0B33F16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868E1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64818ECA">
            <w:pPr>
              <w:numPr>
                <w:ilvl w:val="0"/>
                <w:numId w:val="6"/>
              </w:numPr>
              <w:autoSpaceDE w:val="0"/>
              <w:autoSpaceDN w:val="0"/>
              <w:ind w:left="0" w:firstLine="0"/>
              <w:jc w:val="center"/>
              <w:rPr>
                <w:rFonts w:ascii="Times New Roman" w:hAnsi="Times New Roman" w:cs="Times New Roman"/>
                <w:color w:val="auto"/>
                <w:kern w:val="0"/>
              </w:rPr>
            </w:pPr>
          </w:p>
        </w:tc>
        <w:tc>
          <w:tcPr>
            <w:tcW w:w="1170" w:type="pct"/>
            <w:shd w:val="clear" w:color="auto" w:fill="auto"/>
            <w:vAlign w:val="center"/>
          </w:tcPr>
          <w:p w14:paraId="3755614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733" w:type="pct"/>
            <w:shd w:val="clear" w:color="auto" w:fill="auto"/>
            <w:vAlign w:val="center"/>
          </w:tcPr>
          <w:p w14:paraId="3F3D3D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502DAE69">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28CDFA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2.9</w:t>
            </w:r>
          </w:p>
        </w:tc>
        <w:tc>
          <w:tcPr>
            <w:tcW w:w="598" w:type="pct"/>
            <w:vAlign w:val="center"/>
          </w:tcPr>
          <w:p w14:paraId="1E3A2AC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5E81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67C2DB4A">
            <w:pPr>
              <w:numPr>
                <w:ilvl w:val="0"/>
                <w:numId w:val="6"/>
              </w:numPr>
              <w:autoSpaceDE w:val="0"/>
              <w:autoSpaceDN w:val="0"/>
              <w:ind w:left="0" w:firstLine="0"/>
              <w:jc w:val="center"/>
              <w:rPr>
                <w:rFonts w:ascii="Times New Roman" w:hAnsi="Times New Roman" w:cs="Times New Roman"/>
                <w:color w:val="auto"/>
                <w:kern w:val="0"/>
              </w:rPr>
            </w:pPr>
          </w:p>
        </w:tc>
        <w:tc>
          <w:tcPr>
            <w:tcW w:w="1170" w:type="pct"/>
            <w:shd w:val="clear" w:color="auto" w:fill="auto"/>
            <w:vAlign w:val="center"/>
          </w:tcPr>
          <w:p w14:paraId="108ECF5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733" w:type="pct"/>
            <w:shd w:val="clear" w:color="auto" w:fill="auto"/>
            <w:vAlign w:val="center"/>
          </w:tcPr>
          <w:p w14:paraId="66982EE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shd w:val="clear" w:color="auto" w:fill="auto"/>
            <w:vAlign w:val="center"/>
          </w:tcPr>
          <w:p w14:paraId="72C53E71">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E5569E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4.0</w:t>
            </w:r>
          </w:p>
        </w:tc>
        <w:tc>
          <w:tcPr>
            <w:tcW w:w="598" w:type="pct"/>
            <w:vAlign w:val="center"/>
          </w:tcPr>
          <w:p w14:paraId="2003ED0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7C88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21DE5A50">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0EF1330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3DD1952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5557DF6A">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1003" w:type="pct"/>
            <w:vAlign w:val="center"/>
          </w:tcPr>
          <w:p w14:paraId="400B848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98" w:type="pct"/>
            <w:vAlign w:val="center"/>
          </w:tcPr>
          <w:p w14:paraId="76D90A8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87DBE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469AC42F">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7947DA1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11A8446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3FDA663D">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1003" w:type="pct"/>
            <w:vAlign w:val="center"/>
          </w:tcPr>
          <w:p w14:paraId="75F29E6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98" w:type="pct"/>
            <w:vAlign w:val="center"/>
          </w:tcPr>
          <w:p w14:paraId="074C4D6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B3733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02ABCBE7">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3B3B502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5488038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1145CC5F">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1003" w:type="pct"/>
            <w:vAlign w:val="center"/>
          </w:tcPr>
          <w:p w14:paraId="783A165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13.7</w:t>
            </w:r>
          </w:p>
        </w:tc>
        <w:tc>
          <w:tcPr>
            <w:tcW w:w="598" w:type="pct"/>
            <w:vAlign w:val="center"/>
          </w:tcPr>
          <w:p w14:paraId="4B04150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A4975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1F110360">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41555E8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4BC88EC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90" w:type="pct"/>
            <w:vAlign w:val="center"/>
          </w:tcPr>
          <w:p w14:paraId="0DDD3B73">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1003" w:type="pct"/>
            <w:vAlign w:val="center"/>
          </w:tcPr>
          <w:p w14:paraId="4371A1B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13.7</w:t>
            </w:r>
          </w:p>
        </w:tc>
        <w:tc>
          <w:tcPr>
            <w:tcW w:w="598" w:type="pct"/>
            <w:vAlign w:val="center"/>
          </w:tcPr>
          <w:p w14:paraId="2EF97DA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CF22D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143D7199">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0355B29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65713C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6F2FAADF">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7822DF2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12.5</w:t>
            </w:r>
          </w:p>
        </w:tc>
        <w:tc>
          <w:tcPr>
            <w:tcW w:w="598" w:type="pct"/>
            <w:vAlign w:val="center"/>
          </w:tcPr>
          <w:p w14:paraId="2BBB7CB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BF0F5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65ED248E">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0ACC3DD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733" w:type="pct"/>
            <w:vAlign w:val="center"/>
          </w:tcPr>
          <w:p w14:paraId="1600FBE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90" w:type="pct"/>
            <w:vAlign w:val="center"/>
          </w:tcPr>
          <w:p w14:paraId="77293756">
            <w:pPr>
              <w:jc w:val="center"/>
              <w:rPr>
                <w:rFonts w:ascii="Times New Roman" w:hAnsi="Times New Roman" w:cs="Times New Roman"/>
                <w:color w:val="auto"/>
              </w:rPr>
            </w:pPr>
            <w:r>
              <w:rPr>
                <w:rFonts w:ascii="Times New Roman" w:hAnsi="Times New Roman" w:cs="Times New Roman"/>
                <w:color w:val="auto"/>
              </w:rPr>
              <w:t>2</w:t>
            </w:r>
          </w:p>
        </w:tc>
        <w:tc>
          <w:tcPr>
            <w:tcW w:w="1003" w:type="pct"/>
            <w:vAlign w:val="center"/>
          </w:tcPr>
          <w:p w14:paraId="4ECA600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12.5</w:t>
            </w:r>
          </w:p>
        </w:tc>
        <w:tc>
          <w:tcPr>
            <w:tcW w:w="598" w:type="pct"/>
            <w:vAlign w:val="center"/>
          </w:tcPr>
          <w:p w14:paraId="16ACB22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52B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409965D8">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7FA8D7E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733" w:type="pct"/>
            <w:vAlign w:val="center"/>
          </w:tcPr>
          <w:p w14:paraId="79C5DD9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1563F5D2">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6A4AA98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98" w:type="pct"/>
            <w:vAlign w:val="center"/>
          </w:tcPr>
          <w:p w14:paraId="270E5BF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6E571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303" w:type="pct"/>
            <w:vAlign w:val="center"/>
          </w:tcPr>
          <w:p w14:paraId="06DDA9CB">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782F579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733" w:type="pct"/>
            <w:vAlign w:val="center"/>
          </w:tcPr>
          <w:p w14:paraId="62744A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6DEAAAE8">
            <w:pPr>
              <w:jc w:val="center"/>
              <w:rPr>
                <w:rFonts w:ascii="Times New Roman" w:hAnsi="Times New Roman" w:cs="Times New Roman"/>
                <w:color w:val="auto"/>
              </w:rPr>
            </w:pPr>
            <w:r>
              <w:rPr>
                <w:rFonts w:ascii="Times New Roman" w:hAnsi="Times New Roman" w:cs="Times New Roman"/>
                <w:color w:val="auto"/>
              </w:rPr>
              <w:t>4</w:t>
            </w:r>
          </w:p>
        </w:tc>
        <w:tc>
          <w:tcPr>
            <w:tcW w:w="1003" w:type="pct"/>
            <w:vAlign w:val="center"/>
          </w:tcPr>
          <w:p w14:paraId="4F7921E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98" w:type="pct"/>
            <w:vAlign w:val="center"/>
          </w:tcPr>
          <w:p w14:paraId="43D0F8D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53EAD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54137346">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1108178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733" w:type="pct"/>
            <w:vAlign w:val="center"/>
          </w:tcPr>
          <w:p w14:paraId="35F36FC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90" w:type="pct"/>
            <w:vAlign w:val="center"/>
          </w:tcPr>
          <w:p w14:paraId="0E27F5F9">
            <w:pPr>
              <w:jc w:val="center"/>
              <w:rPr>
                <w:rFonts w:ascii="Times New Roman" w:hAnsi="Times New Roman" w:cs="Times New Roman"/>
                <w:color w:val="auto"/>
              </w:rPr>
            </w:pPr>
            <w:r>
              <w:rPr>
                <w:rFonts w:ascii="Times New Roman" w:hAnsi="Times New Roman" w:cs="Times New Roman"/>
                <w:color w:val="auto"/>
              </w:rPr>
              <w:t>5</w:t>
            </w:r>
          </w:p>
        </w:tc>
        <w:tc>
          <w:tcPr>
            <w:tcW w:w="1003" w:type="pct"/>
            <w:vAlign w:val="center"/>
          </w:tcPr>
          <w:p w14:paraId="22A5C7B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10.5</w:t>
            </w:r>
          </w:p>
        </w:tc>
        <w:tc>
          <w:tcPr>
            <w:tcW w:w="598" w:type="pct"/>
            <w:vAlign w:val="center"/>
          </w:tcPr>
          <w:p w14:paraId="647C723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73E09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497D0A8D">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3241C79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733" w:type="pct"/>
            <w:vAlign w:val="center"/>
          </w:tcPr>
          <w:p w14:paraId="42E0A26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5B23A3A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1003" w:type="pct"/>
            <w:vAlign w:val="center"/>
          </w:tcPr>
          <w:p w14:paraId="112391E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w:t>
            </w:r>
          </w:p>
        </w:tc>
        <w:tc>
          <w:tcPr>
            <w:tcW w:w="598" w:type="pct"/>
            <w:vAlign w:val="center"/>
          </w:tcPr>
          <w:p w14:paraId="5287B94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2BC01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670EC4C6">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3BF0914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733" w:type="pct"/>
            <w:vAlign w:val="center"/>
          </w:tcPr>
          <w:p w14:paraId="23B0D71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40F7D322">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1003" w:type="pct"/>
            <w:vAlign w:val="center"/>
          </w:tcPr>
          <w:p w14:paraId="3AFBE0F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15.6</w:t>
            </w:r>
          </w:p>
        </w:tc>
        <w:tc>
          <w:tcPr>
            <w:tcW w:w="598" w:type="pct"/>
            <w:vAlign w:val="center"/>
          </w:tcPr>
          <w:p w14:paraId="6888947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EBBD5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303" w:type="pct"/>
            <w:vAlign w:val="center"/>
          </w:tcPr>
          <w:p w14:paraId="5E69CA7E">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71B57B5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733" w:type="pct"/>
            <w:vAlign w:val="center"/>
          </w:tcPr>
          <w:p w14:paraId="5CA319D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08ECDEE4">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1003" w:type="pct"/>
            <w:vAlign w:val="center"/>
          </w:tcPr>
          <w:p w14:paraId="60E491A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23.4</w:t>
            </w:r>
          </w:p>
        </w:tc>
        <w:tc>
          <w:tcPr>
            <w:tcW w:w="598" w:type="pct"/>
            <w:vAlign w:val="center"/>
          </w:tcPr>
          <w:p w14:paraId="4A192E3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7E2B0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303" w:type="pct"/>
            <w:vAlign w:val="center"/>
          </w:tcPr>
          <w:p w14:paraId="14BBCF8A">
            <w:pPr>
              <w:numPr>
                <w:ilvl w:val="0"/>
                <w:numId w:val="6"/>
              </w:numPr>
              <w:autoSpaceDE w:val="0"/>
              <w:autoSpaceDN w:val="0"/>
              <w:ind w:left="0" w:firstLine="0"/>
              <w:jc w:val="center"/>
              <w:rPr>
                <w:rFonts w:ascii="Times New Roman" w:hAnsi="Times New Roman" w:cs="Times New Roman"/>
                <w:color w:val="auto"/>
                <w:kern w:val="0"/>
              </w:rPr>
            </w:pPr>
          </w:p>
        </w:tc>
        <w:tc>
          <w:tcPr>
            <w:tcW w:w="1170" w:type="pct"/>
            <w:vAlign w:val="center"/>
          </w:tcPr>
          <w:p w14:paraId="740A1BF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733" w:type="pct"/>
            <w:vAlign w:val="center"/>
          </w:tcPr>
          <w:p w14:paraId="4279D1B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90" w:type="pct"/>
            <w:vAlign w:val="center"/>
          </w:tcPr>
          <w:p w14:paraId="49007DF3">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1003" w:type="pct"/>
            <w:vAlign w:val="center"/>
          </w:tcPr>
          <w:p w14:paraId="497E18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11.4</w:t>
            </w:r>
          </w:p>
        </w:tc>
        <w:tc>
          <w:tcPr>
            <w:tcW w:w="598" w:type="pct"/>
            <w:vAlign w:val="center"/>
          </w:tcPr>
          <w:p w14:paraId="79932EF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9" w:name="_Toc1359"/>
      <w:bookmarkStart w:id="170" w:name="_Toc92712593"/>
      <w:bookmarkStart w:id="171" w:name="_Toc24810"/>
      <w:bookmarkStart w:id="172" w:name="_Toc25228"/>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058BE4D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w:t>
            </w:r>
            <w:r>
              <w:rPr>
                <w:rFonts w:hint="eastAsia" w:ascii="宋体" w:hAnsi="宋体"/>
                <w:color w:val="auto"/>
                <w:lang w:val="en-US" w:eastAsia="zh-CN"/>
              </w:rPr>
              <w:t>出罩棚2</w:t>
            </w:r>
            <w:r>
              <w:rPr>
                <w:rFonts w:hint="eastAsia" w:ascii="宋体" w:hAnsi="宋体"/>
                <w:color w:val="auto"/>
              </w:rPr>
              <w:t>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3" w:name="_Toc92712594"/>
      <w:bookmarkStart w:id="174" w:name="_Toc4098"/>
      <w:bookmarkStart w:id="175" w:name="_Toc5653"/>
      <w:bookmarkStart w:id="176" w:name="_Toc11454"/>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ascii="宋体" w:hAnsi="宋体"/>
                <w:color w:val="auto"/>
              </w:rPr>
            </w:pPr>
            <w:r>
              <w:rPr>
                <w:rFonts w:ascii="宋体" w:hAnsi="宋体"/>
                <w:color w:val="auto"/>
              </w:rPr>
              <w:t>加油机配置</w:t>
            </w:r>
            <w:r>
              <w:rPr>
                <w:rFonts w:hint="eastAsia" w:ascii="宋体" w:hAnsi="宋体"/>
                <w:color w:val="auto"/>
                <w:lang w:val="en-US" w:eastAsia="zh-CN"/>
              </w:rPr>
              <w:t>2具5</w:t>
            </w:r>
            <w:r>
              <w:rPr>
                <w:rFonts w:ascii="宋体" w:hAnsi="宋体"/>
                <w:color w:val="auto"/>
              </w:rPr>
              <w:t>kg手提式干粉灭火器</w:t>
            </w:r>
            <w:r>
              <w:rPr>
                <w:rFonts w:hint="eastAsia" w:ascii="宋体" w:hAnsi="宋体" w:cs="Times New Roman"/>
                <w:color w:val="auto"/>
              </w:rPr>
              <w:t>、灭火毯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lang w:val="en-US" w:eastAsia="zh-CN"/>
        </w:rPr>
        <w:t>均</w:t>
      </w:r>
      <w:r>
        <w:rPr>
          <w:rFonts w:hint="eastAsia" w:cs="宋体"/>
          <w:color w:val="auto"/>
          <w:spacing w:val="-11"/>
          <w:sz w:val="28"/>
          <w:szCs w:val="28"/>
        </w:rPr>
        <w:t>符合要求</w:t>
      </w:r>
      <w:r>
        <w:rPr>
          <w:rFonts w:hint="eastAsia" w:ascii="宋体" w:hAnsi="宋体"/>
          <w:color w:val="auto"/>
          <w:spacing w:val="-11"/>
          <w:sz w:val="28"/>
          <w:szCs w:val="28"/>
        </w:rPr>
        <w:t>。</w:t>
      </w:r>
      <w:bookmarkStart w:id="177" w:name="_Toc92712595"/>
      <w:bookmarkStart w:id="178" w:name="_Toc30243"/>
    </w:p>
    <w:p w14:paraId="3252F0C1">
      <w:pPr>
        <w:pStyle w:val="3"/>
        <w:jc w:val="center"/>
        <w:rPr>
          <w:rFonts w:ascii="宋体" w:hAnsi="宋体"/>
          <w:color w:val="auto"/>
          <w:sz w:val="30"/>
          <w:szCs w:val="30"/>
        </w:rPr>
      </w:pPr>
      <w:bookmarkStart w:id="179" w:name="_Toc10666"/>
      <w:bookmarkStart w:id="180" w:name="_Toc26838"/>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ascii="宋体" w:hAnsi="宋体"/>
                <w:color w:val="auto"/>
              </w:rPr>
            </w:pPr>
            <w:r>
              <w:rPr>
                <w:rFonts w:hint="eastAsia" w:ascii="宋体" w:hAnsi="宋体"/>
                <w:color w:val="auto"/>
              </w:rPr>
              <w:t>不涉及</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1576"/>
      <w:bookmarkStart w:id="182" w:name="_Toc92712596"/>
      <w:bookmarkStart w:id="183" w:name="_Toc30531"/>
      <w:bookmarkStart w:id="184" w:name="_Toc16035"/>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2</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13874"/>
      <w:bookmarkStart w:id="186" w:name="_Toc32029"/>
    </w:p>
    <w:p w14:paraId="74D9B514">
      <w:pPr>
        <w:pStyle w:val="3"/>
        <w:jc w:val="center"/>
        <w:rPr>
          <w:rFonts w:ascii="宋体" w:hAnsi="宋体"/>
          <w:color w:val="auto"/>
          <w:sz w:val="30"/>
          <w:szCs w:val="30"/>
        </w:rPr>
      </w:pPr>
      <w:bookmarkStart w:id="187" w:name="_Toc5554"/>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92712597"/>
      <w:bookmarkStart w:id="189" w:name="_Toc23537"/>
      <w:bookmarkStart w:id="190" w:name="_Toc25350"/>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rPr>
            </w:pP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rPr>
            </w:pP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rPr>
            </w:pP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1591"/>
      <w:bookmarkStart w:id="193" w:name="_Toc92712598"/>
      <w:bookmarkStart w:id="194" w:name="_Toc8063"/>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13068"/>
      <w:bookmarkStart w:id="196" w:name="_Toc92712599"/>
      <w:bookmarkStart w:id="197" w:name="_Toc14134"/>
      <w:bookmarkStart w:id="198" w:name="_Toc32166"/>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25641"/>
      <w:bookmarkStart w:id="200" w:name="_Toc12089"/>
      <w:bookmarkStart w:id="201" w:name="_Toc92712600"/>
    </w:p>
    <w:p w14:paraId="5392B596">
      <w:pPr>
        <w:pStyle w:val="3"/>
        <w:spacing w:line="560" w:lineRule="exact"/>
        <w:jc w:val="center"/>
        <w:rPr>
          <w:rFonts w:ascii="宋体" w:hAnsi="宋体"/>
          <w:color w:val="auto"/>
          <w:sz w:val="30"/>
          <w:szCs w:val="30"/>
        </w:rPr>
      </w:pPr>
      <w:bookmarkStart w:id="202" w:name="_Toc387"/>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3752"/>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兴国石油分公司枫边加油站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7C53DFD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（SF双层罐，Φ2.6×6m，V=30m³），内层钢制罐体的厚度至少为7mm，</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05254CBF">
            <w:pPr>
              <w:adjustRightInd w:val="0"/>
              <w:snapToGrid w:val="0"/>
              <w:spacing w:line="240" w:lineRule="exact"/>
              <w:rPr>
                <w:rFonts w:hint="eastAsia" w:ascii="宋体" w:cs="Times New Roman"/>
                <w:color w:val="auto"/>
                <w:sz w:val="18"/>
                <w:szCs w:val="18"/>
              </w:rPr>
            </w:pPr>
            <w:r>
              <w:rPr>
                <w:rFonts w:hint="eastAsia" w:ascii="宋体" w:cs="Times New Roman"/>
                <w:color w:val="auto"/>
                <w:sz w:val="18"/>
                <w:szCs w:val="18"/>
              </w:rPr>
              <w:t>柴油通气管、汽油通气管分开设置，通气管管口高出罩棚2m，柴油设置阻火通气帽，汽油通气管设置机械呼吸阀（带阻火器）和阻火通气帽。</w:t>
            </w:r>
          </w:p>
          <w:p w14:paraId="43DE56D0">
            <w:pPr>
              <w:adjustRightInd w:val="0"/>
              <w:snapToGrid w:val="0"/>
              <w:spacing w:line="240" w:lineRule="exact"/>
              <w:rPr>
                <w:rFonts w:ascii="宋体" w:cs="Times New Roman"/>
                <w:color w:val="auto"/>
                <w:sz w:val="18"/>
                <w:szCs w:val="18"/>
              </w:rPr>
            </w:pP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w:t>
            </w:r>
            <w:r>
              <w:rPr>
                <w:rFonts w:hint="eastAsia" w:cs="Times New Roman"/>
                <w:color w:val="auto"/>
                <w:sz w:val="18"/>
                <w:szCs w:val="18"/>
                <w:lang w:val="en-US" w:eastAsia="zh-CN"/>
              </w:rPr>
              <w:t>出罩棚2</w:t>
            </w:r>
            <w:r>
              <w:rPr>
                <w:rFonts w:hint="eastAsia" w:cs="Times New Roman"/>
                <w:color w:val="auto"/>
                <w:sz w:val="18"/>
                <w:szCs w:val="18"/>
              </w:rPr>
              <w:t>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6AE2C8C4">
            <w:pPr>
              <w:adjustRightInd w:val="0"/>
              <w:snapToGrid w:val="0"/>
              <w:spacing w:line="240" w:lineRule="exact"/>
              <w:rPr>
                <w:rFonts w:hint="eastAsia" w:ascii="Times New Roman" w:hAnsi="Times New Roman" w:cs="Times New Roman"/>
                <w:color w:val="auto"/>
                <w:sz w:val="18"/>
                <w:szCs w:val="18"/>
              </w:rPr>
            </w:pPr>
            <w:r>
              <w:rPr>
                <w:rFonts w:hint="eastAsia"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罩棚2m，柴油设置阻火通气帽，汽油通气管设置机械呼吸阀（带阻火器）和阻火通气帽。</w:t>
            </w:r>
          </w:p>
          <w:p w14:paraId="74CEC9FA">
            <w:pPr>
              <w:adjustRightInd w:val="0"/>
              <w:snapToGrid w:val="0"/>
              <w:spacing w:line="240" w:lineRule="exact"/>
              <w:rPr>
                <w:rFonts w:ascii="Times New Roman" w:hAnsi="Times New Roman" w:cs="Times New Roman"/>
                <w:color w:val="auto"/>
                <w:sz w:val="18"/>
                <w:szCs w:val="18"/>
              </w:rPr>
            </w:pP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w:t>
            </w:r>
            <w:r>
              <w:rPr>
                <w:rFonts w:hint="eastAsia" w:cs="Times New Roman"/>
                <w:color w:val="auto"/>
                <w:sz w:val="18"/>
                <w:szCs w:val="18"/>
                <w:lang w:val="en-US" w:eastAsia="zh-CN"/>
              </w:rPr>
              <w:t>出罩棚2</w:t>
            </w:r>
            <w:r>
              <w:rPr>
                <w:rFonts w:hint="eastAsia" w:cs="Times New Roman"/>
                <w:color w:val="auto"/>
                <w:sz w:val="18"/>
                <w:szCs w:val="18"/>
              </w:rPr>
              <w:t>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w:t>
            </w:r>
            <w:r>
              <w:rPr>
                <w:rFonts w:hint="eastAsia" w:ascii="宋体" w:cs="Times New Roman"/>
                <w:color w:val="auto"/>
                <w:sz w:val="18"/>
                <w:szCs w:val="18"/>
                <w:lang w:val="en-US" w:eastAsia="zh-CN"/>
              </w:rPr>
              <w:t>西侧入口处</w:t>
            </w:r>
            <w:r>
              <w:rPr>
                <w:rFonts w:hint="eastAsia" w:ascii="宋体" w:cs="Times New Roman"/>
                <w:color w:val="auto"/>
                <w:sz w:val="18"/>
                <w:szCs w:val="18"/>
              </w:rPr>
              <w:t>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本加油站埋地油罐采用内钢外玻璃纤维增强塑料双层油罐（SF双层罐，Φ2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油罐采用内钢外玻璃纤维增强塑料双层油罐（SF 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eastAsia="zh-CN"/>
              </w:rPr>
              <w:t>冲砂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本加油站安全系统（液位监控、泄漏检测等），配置了UPS电源，当外电源中断时，UPS电源可供系统正常工作不小于60min。UPS容量为2kVA。液位监控系统集中设置在站房值班室内。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加油站安全系统（液位仪、泄漏检测仪），配备了UPS备用电源，但设备未接入UPS备用电源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整改后</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50B21C9F">
            <w:pPr>
              <w:adjustRightInd w:val="0"/>
              <w:snapToGrid w:val="0"/>
              <w:spacing w:line="240" w:lineRule="exact"/>
              <w:rPr>
                <w:rFonts w:cs="Times New Roman"/>
                <w:color w:val="auto"/>
                <w:sz w:val="18"/>
                <w:szCs w:val="18"/>
              </w:rPr>
            </w:pPr>
            <w:r>
              <w:rPr>
                <w:rFonts w:hint="eastAsia" w:cs="Times New Roman"/>
                <w:color w:val="auto"/>
                <w:sz w:val="18"/>
                <w:szCs w:val="18"/>
              </w:rPr>
              <w:t>本加油站设置了视频监控系统，可监控油站各区域。</w:t>
            </w:r>
          </w:p>
          <w:p w14:paraId="09979943">
            <w:pPr>
              <w:adjustRightInd w:val="0"/>
              <w:snapToGrid w:val="0"/>
              <w:spacing w:line="240" w:lineRule="exact"/>
              <w:rPr>
                <w:rFonts w:cs="Times New Roman"/>
                <w:color w:val="auto"/>
                <w:sz w:val="18"/>
                <w:szCs w:val="18"/>
              </w:rPr>
            </w:pPr>
            <w:r>
              <w:rPr>
                <w:rFonts w:hint="eastAsia" w:cs="Times New Roman"/>
                <w:color w:val="auto"/>
                <w:sz w:val="18"/>
                <w:szCs w:val="18"/>
              </w:rPr>
              <w:t>本加油站</w:t>
            </w:r>
            <w:r>
              <w:rPr>
                <w:rFonts w:hint="eastAsia" w:cs="Times New Roman"/>
                <w:color w:val="auto"/>
                <w:sz w:val="18"/>
                <w:szCs w:val="18"/>
                <w:lang w:val="en-US" w:eastAsia="zh-CN"/>
              </w:rPr>
              <w:t>有</w:t>
            </w:r>
            <w:r>
              <w:rPr>
                <w:rFonts w:hint="eastAsia" w:cs="Times New Roman"/>
                <w:color w:val="auto"/>
                <w:sz w:val="18"/>
                <w:szCs w:val="18"/>
              </w:rPr>
              <w:t>室外网络摄像机，现场摄像</w:t>
            </w:r>
            <w:r>
              <w:rPr>
                <w:rFonts w:hint="eastAsia" w:cs="Times New Roman"/>
                <w:color w:val="auto"/>
                <w:sz w:val="18"/>
                <w:szCs w:val="18"/>
                <w:lang w:eastAsia="zh-CN"/>
              </w:rPr>
              <w:t>仪将</w:t>
            </w:r>
            <w:r>
              <w:rPr>
                <w:rFonts w:hint="eastAsia" w:cs="Times New Roman"/>
                <w:color w:val="auto"/>
                <w:sz w:val="18"/>
                <w:szCs w:val="18"/>
              </w:rPr>
              <w:t>视频信号引至站房。</w:t>
            </w:r>
          </w:p>
          <w:p w14:paraId="7B822047">
            <w:pPr>
              <w:adjustRightInd w:val="0"/>
              <w:snapToGrid w:val="0"/>
              <w:spacing w:line="240" w:lineRule="exact"/>
              <w:rPr>
                <w:rFonts w:cs="Times New Roman"/>
                <w:color w:val="auto"/>
                <w:sz w:val="18"/>
                <w:szCs w:val="18"/>
              </w:rPr>
            </w:pPr>
            <w:r>
              <w:rPr>
                <w:rFonts w:hint="eastAsia" w:cs="Times New Roman"/>
                <w:color w:val="auto"/>
                <w:sz w:val="18"/>
                <w:szCs w:val="18"/>
              </w:rPr>
              <w:t>站长室内监控主机。视频监控系统配UPS电源供电，容量为3kVA。系统中硬盘录像机储存时间大于30天。</w:t>
            </w:r>
          </w:p>
          <w:p w14:paraId="062B015D">
            <w:pPr>
              <w:adjustRightInd w:val="0"/>
              <w:snapToGrid w:val="0"/>
              <w:spacing w:line="240" w:lineRule="exact"/>
              <w:rPr>
                <w:rFonts w:cs="Times New Roman"/>
                <w:color w:val="auto"/>
                <w:sz w:val="18"/>
                <w:szCs w:val="18"/>
              </w:rPr>
            </w:pPr>
            <w:r>
              <w:rPr>
                <w:rFonts w:hint="eastAsia" w:cs="Times New Roman"/>
                <w:color w:val="auto"/>
                <w:sz w:val="18"/>
                <w:szCs w:val="18"/>
              </w:rPr>
              <w:t>加油区罩棚高度6.5m，摄像机防护等级不低于IP67级。</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站房室内共1台监视用摄像机，设于营业厅。工作人员在值班室监视，监控器画面就可以实现对罐区、加油区、站房的全天候全方位的动态监视。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赣州市上犹区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9100"/>
      <w:bookmarkStart w:id="206" w:name="_Toc18913"/>
      <w:bookmarkStart w:id="207" w:name="_Toc343692275"/>
      <w:bookmarkStart w:id="208" w:name="_Toc9371"/>
      <w:bookmarkStart w:id="209" w:name="_Toc16646"/>
      <w:r>
        <w:rPr>
          <w:rFonts w:hint="eastAsia" w:ascii="Times New Roman" w:hAnsi="Times New Roman" w:cs="宋体"/>
          <w:color w:val="auto"/>
          <w:sz w:val="28"/>
          <w:szCs w:val="28"/>
        </w:rPr>
        <w:t>综上所述，诊断及整改设计中的安全对策措施有1项未落实，加油站安全系统（液位仪、泄漏检测仪），配备了UPS备用电源，但设备未接入UPS备用电源。</w:t>
      </w:r>
    </w:p>
    <w:p w14:paraId="6C079258">
      <w:pPr>
        <w:pStyle w:val="3"/>
        <w:spacing w:line="560" w:lineRule="exact"/>
        <w:jc w:val="center"/>
        <w:rPr>
          <w:rFonts w:ascii="宋体" w:hAnsi="宋体"/>
          <w:color w:val="auto"/>
          <w:sz w:val="30"/>
          <w:szCs w:val="30"/>
        </w:rPr>
      </w:pPr>
      <w:bookmarkStart w:id="210" w:name="_Toc22346"/>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经正规设计。</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三</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不涉及</w:t>
            </w:r>
            <w:r>
              <w:rPr>
                <w:rFonts w:hint="eastAsia" w:ascii="Times New Roman" w:hAnsi="Times New Roman" w:eastAsia="宋" w:cs="Times New Roman"/>
                <w:bCs/>
                <w:color w:val="auto"/>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均</w:t>
      </w:r>
      <w:r>
        <w:rPr>
          <w:rFonts w:hint="eastAsia" w:ascii="Times New Roman" w:hAnsi="Times New Roman" w:cs="Times New Roman"/>
          <w:color w:val="auto"/>
          <w:sz w:val="28"/>
          <w:szCs w:val="28"/>
        </w:rPr>
        <w:t>符合要求。</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24610"/>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17547"/>
      <w:bookmarkStart w:id="213" w:name="_Toc30200"/>
      <w:bookmarkStart w:id="214" w:name="_Toc20468434"/>
      <w:bookmarkStart w:id="215" w:name="_Toc14112"/>
      <w:bookmarkStart w:id="216" w:name="_Toc9008"/>
      <w:bookmarkStart w:id="217" w:name="_Toc427852841"/>
      <w:bookmarkStart w:id="218" w:name="_Toc471312555"/>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兴国石油分公司枫边加油站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4"/>
        <w:gridCol w:w="4614"/>
        <w:gridCol w:w="3800"/>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atLeast"/>
          <w:tblHeader/>
          <w:jc w:val="center"/>
        </w:trPr>
        <w:tc>
          <w:tcPr>
            <w:tcW w:w="844"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61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800"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44"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614" w:type="dxa"/>
            <w:shd w:val="clear" w:color="auto" w:fill="auto"/>
            <w:vAlign w:val="center"/>
          </w:tcPr>
          <w:p w14:paraId="2716D445">
            <w:pPr>
              <w:widowControl/>
              <w:textAlignment w:val="center"/>
              <w:rPr>
                <w:rFonts w:ascii="宋体" w:hAnsi="宋体" w:cs="宋体"/>
                <w:color w:val="auto"/>
              </w:rPr>
            </w:pPr>
            <w:r>
              <w:rPr>
                <w:rFonts w:hint="eastAsia" w:ascii="宋体" w:hAnsi="宋体" w:cs="宋体"/>
                <w:color w:val="auto"/>
              </w:rPr>
              <w:t>罐区实体围墙高度不足2.2米</w:t>
            </w:r>
          </w:p>
        </w:tc>
        <w:tc>
          <w:tcPr>
            <w:tcW w:w="3800" w:type="dxa"/>
            <w:shd w:val="clear" w:color="auto" w:fill="auto"/>
            <w:vAlign w:val="center"/>
          </w:tcPr>
          <w:p w14:paraId="2B429001">
            <w:pPr>
              <w:widowControl/>
              <w:textAlignment w:val="center"/>
              <w:rPr>
                <w:rFonts w:ascii="宋体" w:hAnsi="宋体" w:cs="宋体"/>
                <w:color w:val="auto"/>
              </w:rPr>
            </w:pPr>
            <w:r>
              <w:rPr>
                <w:rFonts w:hint="eastAsia" w:ascii="宋体" w:hAnsi="宋体" w:cs="宋体"/>
                <w:color w:val="auto"/>
              </w:rPr>
              <w:t>将实体围墙增高至2.2米。</w:t>
            </w:r>
          </w:p>
        </w:tc>
      </w:tr>
      <w:tr w14:paraId="1CADEE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44" w:type="dxa"/>
            <w:vAlign w:val="center"/>
          </w:tcPr>
          <w:p w14:paraId="55628096">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614" w:type="dxa"/>
            <w:shd w:val="clear" w:color="auto" w:fill="auto"/>
            <w:vAlign w:val="center"/>
          </w:tcPr>
          <w:p w14:paraId="137DCBC7">
            <w:pPr>
              <w:numPr>
                <w:ilvl w:val="0"/>
                <w:numId w:val="0"/>
              </w:numPr>
              <w:rPr>
                <w:rFonts w:hint="eastAsia" w:ascii="宋体" w:hAnsi="宋体" w:cs="宋体"/>
                <w:color w:val="auto"/>
              </w:rPr>
            </w:pPr>
            <w:r>
              <w:rPr>
                <w:rFonts w:hint="default" w:ascii="宋体" w:hAnsi="宋体" w:eastAsia="宋体" w:cs="宋体"/>
                <w:i w:val="0"/>
                <w:iCs w:val="0"/>
                <w:color w:val="auto"/>
                <w:kern w:val="2"/>
                <w:sz w:val="21"/>
                <w:szCs w:val="21"/>
                <w:u w:val="none"/>
                <w:lang w:val="en-US" w:eastAsia="zh-CN" w:bidi="ar-SA"/>
              </w:rPr>
              <w:t>配电间未配置防火门</w:t>
            </w:r>
          </w:p>
        </w:tc>
        <w:tc>
          <w:tcPr>
            <w:tcW w:w="3800" w:type="dxa"/>
            <w:shd w:val="clear" w:color="auto" w:fill="auto"/>
            <w:vAlign w:val="center"/>
          </w:tcPr>
          <w:p w14:paraId="298439FF">
            <w:pPr>
              <w:widowControl/>
              <w:textAlignment w:val="center"/>
              <w:rPr>
                <w:rFonts w:hint="eastAsia" w:ascii="宋体" w:hAnsi="宋体" w:cs="宋体"/>
                <w:color w:val="auto"/>
              </w:rPr>
            </w:pPr>
            <w:r>
              <w:rPr>
                <w:rFonts w:hint="eastAsia" w:ascii="宋体" w:hAnsi="宋体" w:cs="宋体"/>
                <w:color w:val="auto"/>
              </w:rPr>
              <w:t>配电间设置防火门</w:t>
            </w:r>
          </w:p>
        </w:tc>
      </w:tr>
      <w:tr w14:paraId="0DD66B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44" w:type="dxa"/>
            <w:vAlign w:val="center"/>
          </w:tcPr>
          <w:p w14:paraId="1B510FA1">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614" w:type="dxa"/>
            <w:shd w:val="clear" w:color="auto" w:fill="auto"/>
            <w:vAlign w:val="center"/>
          </w:tcPr>
          <w:p w14:paraId="0C1BF164">
            <w:pPr>
              <w:widowControl/>
              <w:textAlignment w:val="center"/>
              <w:rPr>
                <w:rFonts w:hint="eastAsia" w:ascii="宋体" w:hAnsi="宋体" w:cs="宋体"/>
                <w:color w:val="auto"/>
              </w:rPr>
            </w:pPr>
            <w:r>
              <w:rPr>
                <w:rFonts w:hint="eastAsia" w:ascii="宋体" w:hAnsi="宋体" w:cs="宋体"/>
                <w:color w:val="auto"/>
              </w:rPr>
              <w:t>卸油口处无防泄漏围堰(防止流散措施)，不符合安全要求</w:t>
            </w:r>
          </w:p>
        </w:tc>
        <w:tc>
          <w:tcPr>
            <w:tcW w:w="3800" w:type="dxa"/>
            <w:shd w:val="clear" w:color="auto" w:fill="auto"/>
            <w:vAlign w:val="center"/>
          </w:tcPr>
          <w:p w14:paraId="736B45FC">
            <w:pPr>
              <w:widowControl/>
              <w:textAlignment w:val="center"/>
              <w:rPr>
                <w:rFonts w:hint="eastAsia" w:ascii="宋体" w:hAnsi="宋体" w:cs="宋体"/>
                <w:color w:val="auto"/>
              </w:rPr>
            </w:pPr>
            <w:r>
              <w:rPr>
                <w:rFonts w:hint="eastAsia" w:ascii="宋体" w:hAnsi="宋体" w:cs="宋体"/>
                <w:color w:val="auto"/>
              </w:rPr>
              <w:t>卸油口处设置防泄漏围堰（或设置收集槽）</w:t>
            </w:r>
          </w:p>
        </w:tc>
      </w:tr>
      <w:tr w14:paraId="75B4C7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44" w:type="dxa"/>
            <w:vAlign w:val="center"/>
          </w:tcPr>
          <w:p w14:paraId="413010D5">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w:t>
            </w:r>
          </w:p>
        </w:tc>
        <w:tc>
          <w:tcPr>
            <w:tcW w:w="4614" w:type="dxa"/>
            <w:shd w:val="clear" w:color="auto" w:fill="auto"/>
            <w:vAlign w:val="center"/>
          </w:tcPr>
          <w:p w14:paraId="3F7AB8C4">
            <w:pPr>
              <w:widowControl/>
              <w:textAlignment w:val="center"/>
              <w:rPr>
                <w:rFonts w:hint="default" w:ascii="宋体" w:hAnsi="宋体" w:eastAsia="宋体" w:cs="宋体"/>
                <w:color w:val="auto"/>
                <w:kern w:val="2"/>
                <w:sz w:val="21"/>
                <w:szCs w:val="21"/>
                <w:lang w:val="en-US" w:eastAsia="zh-CN" w:bidi="ar-SA"/>
              </w:rPr>
            </w:pPr>
            <w:r>
              <w:rPr>
                <w:rFonts w:hint="default" w:ascii="宋体" w:hAnsi="宋体" w:eastAsia="宋体" w:cs="宋体"/>
                <w:i w:val="0"/>
                <w:iCs w:val="0"/>
                <w:color w:val="auto"/>
                <w:kern w:val="2"/>
                <w:sz w:val="21"/>
                <w:szCs w:val="21"/>
                <w:u w:val="none"/>
                <w:lang w:val="en-US" w:eastAsia="zh-CN" w:bidi="ar-SA"/>
              </w:rPr>
              <w:t>现场发现无手持式可燃气体检测仪，不符合要求</w:t>
            </w:r>
          </w:p>
        </w:tc>
        <w:tc>
          <w:tcPr>
            <w:tcW w:w="3800" w:type="dxa"/>
            <w:shd w:val="clear" w:color="auto" w:fill="auto"/>
            <w:vAlign w:val="center"/>
          </w:tcPr>
          <w:p w14:paraId="098F8FBC">
            <w:pPr>
              <w:widowControl/>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rPr>
              <w:t>配置1 个手持式可燃气体检测仪。</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兴国石油分公司枫边加油站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2584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eastAsia" w:ascii="宋体" w:hAnsi="宋体" w:cs="宋体"/>
                <w:i w:val="0"/>
                <w:iCs w:val="0"/>
                <w:color w:val="auto"/>
                <w:kern w:val="2"/>
                <w:sz w:val="21"/>
                <w:szCs w:val="21"/>
                <w:u w:val="none"/>
                <w:lang w:val="en-US" w:eastAsia="zh-CN" w:bidi="ar-SA"/>
              </w:rPr>
              <w:t>加油站安全系统（液位仪、泄漏检测仪），配备了UPS备用电源，但设备未接入UPS备用电源</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宋体" w:hAnsi="宋体" w:cs="宋体"/>
                <w:i w:val="0"/>
                <w:iCs w:val="0"/>
                <w:color w:val="auto"/>
                <w:kern w:val="2"/>
                <w:sz w:val="21"/>
                <w:szCs w:val="21"/>
                <w:u w:val="none"/>
                <w:lang w:val="en-US" w:eastAsia="zh-CN" w:bidi="ar-SA"/>
              </w:rPr>
              <w:t>安全系统（液位仪、泄漏检测仪）接入UPS备用电源输出端</w:t>
            </w:r>
          </w:p>
        </w:tc>
      </w:tr>
    </w:tbl>
    <w:p w14:paraId="4D6EC2A5">
      <w:pPr>
        <w:outlineLvl w:val="1"/>
        <w:rPr>
          <w:rFonts w:ascii="Times New Roman" w:hAnsi="Times New Roman" w:cs="Times New Roman"/>
          <w:b/>
          <w:bCs/>
          <w:color w:val="auto"/>
          <w:sz w:val="28"/>
          <w:szCs w:val="28"/>
        </w:rPr>
      </w:pPr>
      <w:bookmarkStart w:id="220" w:name="_Toc20468435"/>
      <w:bookmarkStart w:id="221" w:name="_Toc30063"/>
      <w:bookmarkStart w:id="222" w:name="_Toc31626"/>
      <w:bookmarkStart w:id="223" w:name="_Toc9821"/>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兴国石油分公司枫边加油站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2823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5" w:name="_Toc59087153"/>
      <w:bookmarkStart w:id="226" w:name="_Toc59092822"/>
      <w:bookmarkStart w:id="227" w:name="_Toc59245419"/>
      <w:bookmarkStart w:id="228" w:name="_Toc59091927"/>
      <w:bookmarkStart w:id="229" w:name="_Toc59508645"/>
      <w:bookmarkStart w:id="230" w:name="_Toc59160145"/>
      <w:bookmarkStart w:id="231" w:name="_Toc59091646"/>
      <w:bookmarkStart w:id="232" w:name="_Toc59160081"/>
      <w:bookmarkStart w:id="233" w:name="_Toc59160017"/>
      <w:bookmarkStart w:id="234" w:name="_Toc59092445"/>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22707"/>
      <w:bookmarkStart w:id="236" w:name="_Toc7092"/>
      <w:bookmarkStart w:id="237" w:name="_Toc20557"/>
      <w:bookmarkStart w:id="238" w:name="_Toc343692278"/>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93417644"/>
      <w:bookmarkStart w:id="240" w:name="_Toc366836358"/>
      <w:bookmarkStart w:id="241" w:name="_Toc380626557"/>
      <w:bookmarkStart w:id="242" w:name="_Toc5214"/>
      <w:bookmarkStart w:id="243" w:name="_Toc355247532"/>
      <w:bookmarkStart w:id="244" w:name="_Toc389504183"/>
      <w:bookmarkStart w:id="245" w:name="_Toc389504581"/>
      <w:bookmarkStart w:id="246" w:name="_Toc380625464"/>
      <w:bookmarkStart w:id="247" w:name="_Toc389504461"/>
      <w:bookmarkStart w:id="248" w:name="_Toc355247593"/>
      <w:bookmarkStart w:id="249" w:name="_Toc355247596"/>
      <w:bookmarkStart w:id="250" w:name="_Toc281404722"/>
      <w:bookmarkStart w:id="251" w:name="_Toc354428873"/>
      <w:bookmarkStart w:id="252" w:name="_Toc271270917"/>
      <w:bookmarkStart w:id="253" w:name="_Toc389437342"/>
      <w:bookmarkStart w:id="254" w:name="_Toc355257333"/>
      <w:bookmarkStart w:id="255" w:name="_Toc281404720"/>
      <w:bookmarkStart w:id="256" w:name="_Toc238875914"/>
      <w:bookmarkStart w:id="257" w:name="_Toc388623391"/>
      <w:bookmarkStart w:id="258" w:name="_Toc357981462"/>
      <w:bookmarkStart w:id="259" w:name="_Toc29915"/>
      <w:bookmarkStart w:id="260" w:name="_Toc355248938"/>
      <w:bookmarkStart w:id="261" w:name="_Toc355737801"/>
      <w:bookmarkStart w:id="262" w:name="_Toc355738330"/>
      <w:bookmarkStart w:id="263" w:name="_Toc357981459"/>
      <w:bookmarkStart w:id="264" w:name="_Toc355248941"/>
      <w:bookmarkStart w:id="265" w:name="_Toc357981665"/>
      <w:bookmarkStart w:id="266" w:name="_Toc226003735"/>
      <w:bookmarkStart w:id="267" w:name="_Toc380626618"/>
      <w:bookmarkStart w:id="268" w:name="_Toc387237701"/>
      <w:bookmarkStart w:id="269" w:name="_Toc354428876"/>
      <w:bookmarkStart w:id="270" w:name="_Toc355737798"/>
      <w:bookmarkStart w:id="271" w:name="_Toc355247535"/>
      <w:bookmarkStart w:id="272" w:name="_Toc355738333"/>
      <w:bookmarkStart w:id="273" w:name="_Toc239869791"/>
      <w:bookmarkStart w:id="274" w:name="_Toc355257336"/>
      <w:bookmarkStart w:id="275" w:name="_Toc393417783"/>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兴国石油分公司枫边加油站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年调整），该站存在的危险因素主要有火灾、爆炸，机械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兴国石油分公司枫边加油站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兴国石油分公司枫边加油站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Ⅲ</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低</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兴国石油分公司枫边加油站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24307"/>
      <w:bookmarkStart w:id="277" w:name="_Toc5675"/>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192FECB6">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highlight w:val="none"/>
              </w:rPr>
            </w:pPr>
          </w:p>
        </w:tc>
        <w:tc>
          <w:tcPr>
            <w:tcW w:w="4648" w:type="pct"/>
            <w:vAlign w:val="center"/>
          </w:tcPr>
          <w:p w14:paraId="1BE6086B">
            <w:pPr>
              <w:rPr>
                <w:color w:val="auto"/>
                <w:sz w:val="28"/>
                <w:szCs w:val="28"/>
                <w:highlight w:val="none"/>
              </w:rPr>
            </w:pPr>
            <w:r>
              <w:rPr>
                <w:rFonts w:hint="eastAsia"/>
                <w:color w:val="auto"/>
                <w:sz w:val="28"/>
                <w:szCs w:val="28"/>
                <w:highlight w:val="none"/>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39560870">
        <w:tblPrEx>
          <w:tblCellMar>
            <w:top w:w="0" w:type="dxa"/>
            <w:left w:w="108" w:type="dxa"/>
            <w:bottom w:w="0" w:type="dxa"/>
            <w:right w:w="108" w:type="dxa"/>
          </w:tblCellMar>
        </w:tblPrEx>
        <w:trPr>
          <w:jc w:val="center"/>
        </w:trPr>
        <w:tc>
          <w:tcPr>
            <w:tcW w:w="351" w:type="pct"/>
            <w:vAlign w:val="center"/>
          </w:tcPr>
          <w:p w14:paraId="1D8337A7">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76227C55">
      <w:pPr>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38C4FA4B">
      <w:pPr>
        <w:spacing w:line="240" w:lineRule="atLeast"/>
        <w:rPr>
          <w:rFonts w:hint="eastAsia" w:ascii="Times New Roman" w:hAnsi="Times New Roman" w:cs="Times New Roman"/>
          <w:b/>
          <w:bCs/>
          <w:color w:val="auto"/>
          <w:sz w:val="28"/>
          <w:szCs w:val="28"/>
        </w:rPr>
        <w:sectPr>
          <w:headerReference r:id="rId6" w:type="default"/>
          <w:pgSz w:w="11906" w:h="16838"/>
          <w:pgMar w:top="1417" w:right="1417" w:bottom="1417" w:left="1417" w:header="851" w:footer="992" w:gutter="0"/>
          <w:cols w:space="425" w:num="1"/>
          <w:docGrid w:type="lines" w:linePitch="312" w:charSpace="0"/>
        </w:sectPr>
      </w:pPr>
    </w:p>
    <w:p w14:paraId="6F2BC45A">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2C8CE17A">
      <w:pPr>
        <w:rPr>
          <w:rFonts w:hint="eastAsia" w:eastAsiaTheme="minorEastAsia"/>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6" name="图片 76" descr="7bebfcb164dc71e4638555ccafa663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7bebfcb164dc71e4638555ccafa6639b"/>
                    <pic:cNvPicPr>
                      <a:picLocks noChangeAspect="1"/>
                    </pic:cNvPicPr>
                  </pic:nvPicPr>
                  <pic:blipFill>
                    <a:blip r:embed="rId14"/>
                    <a:stretch>
                      <a:fillRect/>
                    </a:stretch>
                  </pic:blipFill>
                  <pic:spPr>
                    <a:xfrm>
                      <a:off x="0" y="0"/>
                      <a:ext cx="5757545" cy="3240405"/>
                    </a:xfrm>
                    <a:prstGeom prst="rect">
                      <a:avLst/>
                    </a:prstGeom>
                  </pic:spPr>
                </pic:pic>
              </a:graphicData>
            </a:graphic>
          </wp:inline>
        </w:drawing>
      </w:r>
    </w:p>
    <w:p w14:paraId="44B57D20">
      <w:pPr>
        <w:spacing w:line="360" w:lineRule="auto"/>
        <w:rPr>
          <w:rFonts w:hint="eastAsia" w:ascii="Times New Roman" w:hAnsi="Times New Roman" w:eastAsia="宋体" w:cs="Times New Roman"/>
          <w:color w:val="auto"/>
          <w:lang w:eastAsia="zh-CN"/>
        </w:rPr>
      </w:pPr>
    </w:p>
    <w:sectPr>
      <w:headerReference r:id="rId7" w:type="default"/>
      <w:footerReference r:id="rId8"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10C70">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兴国枫边加油站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rPr>
      <w:t>C</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0161</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6D6AE">
    <w:pPr>
      <w:pStyle w:val="15"/>
      <w:jc w:val="left"/>
    </w:pPr>
    <w:r>
      <w:rPr>
        <w:rFonts w:hint="eastAsia" w:cs="宋体"/>
      </w:rPr>
      <w:t>中石化江西赣州</w:t>
    </w:r>
    <w:r>
      <w:rPr>
        <w:rFonts w:hint="eastAsia" w:cs="宋体"/>
        <w:lang w:eastAsia="zh-CN"/>
      </w:rPr>
      <w:t>兴国枫边加油站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rPr>
      <w:t>C</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0161</w:t>
    </w:r>
    <w:r>
      <w:rPr>
        <w:rFonts w:hint="eastAsia" w:cs="宋体"/>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438B9">
    <w:pPr>
      <w:pStyle w:val="15"/>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46B4A4"/>
    <w:multiLevelType w:val="singleLevel"/>
    <w:tmpl w:val="A746B4A4"/>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2">
    <w:nsid w:val="D9F72E86"/>
    <w:multiLevelType w:val="singleLevel"/>
    <w:tmpl w:val="D9F72E86"/>
    <w:lvl w:ilvl="0" w:tentative="0">
      <w:start w:val="1"/>
      <w:numFmt w:val="chineseCounting"/>
      <w:suff w:val="nothing"/>
      <w:lvlText w:val="%1、"/>
      <w:lvlJc w:val="left"/>
      <w:rPr>
        <w:rFonts w:hint="eastAsia"/>
      </w:rPr>
    </w:lvl>
  </w:abstractNum>
  <w:abstractNum w:abstractNumId="3">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4">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3"/>
  </w:num>
  <w:num w:numId="3">
    <w:abstractNumId w:val="1"/>
  </w:num>
  <w:num w:numId="4">
    <w:abstractNumId w:val="2"/>
  </w:num>
  <w:num w:numId="5">
    <w:abstractNumId w:val="14"/>
  </w:num>
  <w:num w:numId="6">
    <w:abstractNumId w:val="0"/>
  </w:num>
  <w:num w:numId="7">
    <w:abstractNumId w:val="5"/>
  </w:num>
  <w:num w:numId="8">
    <w:abstractNumId w:val="12"/>
  </w:num>
  <w:num w:numId="9">
    <w:abstractNumId w:val="11"/>
  </w:num>
  <w:num w:numId="10">
    <w:abstractNumId w:val="6"/>
  </w:num>
  <w:num w:numId="11">
    <w:abstractNumId w:val="15"/>
  </w:num>
  <w:num w:numId="12">
    <w:abstractNumId w:val="9"/>
  </w:num>
  <w:num w:numId="13">
    <w:abstractNumId w:val="8"/>
  </w:num>
  <w:num w:numId="14">
    <w:abstractNumId w:val="7"/>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878ED"/>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565C22"/>
    <w:rsid w:val="017B7C84"/>
    <w:rsid w:val="018C13C8"/>
    <w:rsid w:val="02B3714D"/>
    <w:rsid w:val="030B2906"/>
    <w:rsid w:val="030C0A30"/>
    <w:rsid w:val="030F363A"/>
    <w:rsid w:val="031158C7"/>
    <w:rsid w:val="035060C8"/>
    <w:rsid w:val="03B10EED"/>
    <w:rsid w:val="050F7C41"/>
    <w:rsid w:val="05B84E9D"/>
    <w:rsid w:val="06655FCC"/>
    <w:rsid w:val="06A83136"/>
    <w:rsid w:val="06BB1D69"/>
    <w:rsid w:val="06D849E3"/>
    <w:rsid w:val="07347E38"/>
    <w:rsid w:val="07A07BF6"/>
    <w:rsid w:val="080D690E"/>
    <w:rsid w:val="08A05F2E"/>
    <w:rsid w:val="08E43B13"/>
    <w:rsid w:val="08FA7E41"/>
    <w:rsid w:val="090B5543"/>
    <w:rsid w:val="091D3BD5"/>
    <w:rsid w:val="09FC4AF5"/>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101C613B"/>
    <w:rsid w:val="10642EC0"/>
    <w:rsid w:val="10E16B8A"/>
    <w:rsid w:val="11356CD5"/>
    <w:rsid w:val="115D26B4"/>
    <w:rsid w:val="11E15880"/>
    <w:rsid w:val="11FE6C69"/>
    <w:rsid w:val="129B16E6"/>
    <w:rsid w:val="13A42ECD"/>
    <w:rsid w:val="13AC347F"/>
    <w:rsid w:val="14327E28"/>
    <w:rsid w:val="156972A1"/>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BA43F54"/>
    <w:rsid w:val="1C1C1428"/>
    <w:rsid w:val="1C4346C6"/>
    <w:rsid w:val="1CBB2985"/>
    <w:rsid w:val="1CDD12C2"/>
    <w:rsid w:val="1D906252"/>
    <w:rsid w:val="1DB10597"/>
    <w:rsid w:val="1E543774"/>
    <w:rsid w:val="1E6F1361"/>
    <w:rsid w:val="1EEC5F1F"/>
    <w:rsid w:val="1FB5426C"/>
    <w:rsid w:val="204721E4"/>
    <w:rsid w:val="20476A09"/>
    <w:rsid w:val="204A02A8"/>
    <w:rsid w:val="224C25C1"/>
    <w:rsid w:val="22F31550"/>
    <w:rsid w:val="233737DA"/>
    <w:rsid w:val="234B4A63"/>
    <w:rsid w:val="23554D03"/>
    <w:rsid w:val="243A0633"/>
    <w:rsid w:val="244A3F2C"/>
    <w:rsid w:val="24D863E2"/>
    <w:rsid w:val="24DE36B4"/>
    <w:rsid w:val="25665B84"/>
    <w:rsid w:val="25D42860"/>
    <w:rsid w:val="26366DDC"/>
    <w:rsid w:val="26414662"/>
    <w:rsid w:val="270A0791"/>
    <w:rsid w:val="27804076"/>
    <w:rsid w:val="278F5A21"/>
    <w:rsid w:val="27D31BF2"/>
    <w:rsid w:val="28395EBC"/>
    <w:rsid w:val="28B0748B"/>
    <w:rsid w:val="28BC50FE"/>
    <w:rsid w:val="28C064AD"/>
    <w:rsid w:val="28EB14F7"/>
    <w:rsid w:val="29037894"/>
    <w:rsid w:val="299B2C5B"/>
    <w:rsid w:val="299B7DC6"/>
    <w:rsid w:val="29ED237C"/>
    <w:rsid w:val="2A955869"/>
    <w:rsid w:val="2A98360F"/>
    <w:rsid w:val="2ACD0D74"/>
    <w:rsid w:val="2ADF6228"/>
    <w:rsid w:val="2AE40519"/>
    <w:rsid w:val="2B0867F9"/>
    <w:rsid w:val="2B400C25"/>
    <w:rsid w:val="2B490967"/>
    <w:rsid w:val="2BDE22FD"/>
    <w:rsid w:val="2D0A13E9"/>
    <w:rsid w:val="2D0A5BF5"/>
    <w:rsid w:val="2D750387"/>
    <w:rsid w:val="2DA64AEB"/>
    <w:rsid w:val="2DC342BC"/>
    <w:rsid w:val="2E8157DC"/>
    <w:rsid w:val="2E905A1F"/>
    <w:rsid w:val="2F76782F"/>
    <w:rsid w:val="2F9130A0"/>
    <w:rsid w:val="30AC6958"/>
    <w:rsid w:val="30BD0622"/>
    <w:rsid w:val="30C776F3"/>
    <w:rsid w:val="30F55FF5"/>
    <w:rsid w:val="31553C95"/>
    <w:rsid w:val="31753C5C"/>
    <w:rsid w:val="31CF3C0F"/>
    <w:rsid w:val="32D16C5C"/>
    <w:rsid w:val="330264F0"/>
    <w:rsid w:val="3353526D"/>
    <w:rsid w:val="33C76A3A"/>
    <w:rsid w:val="33FC5A9B"/>
    <w:rsid w:val="341F659E"/>
    <w:rsid w:val="350B7C3B"/>
    <w:rsid w:val="3533521C"/>
    <w:rsid w:val="35C125FA"/>
    <w:rsid w:val="35D443B2"/>
    <w:rsid w:val="364C391D"/>
    <w:rsid w:val="367479D5"/>
    <w:rsid w:val="36A04B73"/>
    <w:rsid w:val="36AC2EBA"/>
    <w:rsid w:val="370074BA"/>
    <w:rsid w:val="37500442"/>
    <w:rsid w:val="376B075D"/>
    <w:rsid w:val="385044F0"/>
    <w:rsid w:val="38677946"/>
    <w:rsid w:val="38B92091"/>
    <w:rsid w:val="390053EE"/>
    <w:rsid w:val="39070333"/>
    <w:rsid w:val="3913381F"/>
    <w:rsid w:val="39316051"/>
    <w:rsid w:val="39CF6DF4"/>
    <w:rsid w:val="3A0F1908"/>
    <w:rsid w:val="3A845288"/>
    <w:rsid w:val="3A874DFA"/>
    <w:rsid w:val="3AAE0EEB"/>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1D00CE"/>
    <w:rsid w:val="43AE6615"/>
    <w:rsid w:val="43E95B4A"/>
    <w:rsid w:val="44C27274"/>
    <w:rsid w:val="45157EEC"/>
    <w:rsid w:val="456E4E81"/>
    <w:rsid w:val="45767288"/>
    <w:rsid w:val="45C81AEB"/>
    <w:rsid w:val="46251D67"/>
    <w:rsid w:val="46405B25"/>
    <w:rsid w:val="46615DBC"/>
    <w:rsid w:val="46781838"/>
    <w:rsid w:val="46F5246C"/>
    <w:rsid w:val="47306BB6"/>
    <w:rsid w:val="478424CC"/>
    <w:rsid w:val="47DC187E"/>
    <w:rsid w:val="482079BC"/>
    <w:rsid w:val="483A0D83"/>
    <w:rsid w:val="48650A8D"/>
    <w:rsid w:val="48EA4432"/>
    <w:rsid w:val="48EB4379"/>
    <w:rsid w:val="49367F99"/>
    <w:rsid w:val="49BC705C"/>
    <w:rsid w:val="4A257073"/>
    <w:rsid w:val="4A7E5E83"/>
    <w:rsid w:val="4B096BFE"/>
    <w:rsid w:val="4B3814C1"/>
    <w:rsid w:val="4B506195"/>
    <w:rsid w:val="4C037D94"/>
    <w:rsid w:val="4C6D0CF6"/>
    <w:rsid w:val="4C7A46CB"/>
    <w:rsid w:val="4D117EAF"/>
    <w:rsid w:val="4D482619"/>
    <w:rsid w:val="4DB93CE6"/>
    <w:rsid w:val="4DC71290"/>
    <w:rsid w:val="4DD96B8E"/>
    <w:rsid w:val="4E1D2F71"/>
    <w:rsid w:val="4E263853"/>
    <w:rsid w:val="4E6332C9"/>
    <w:rsid w:val="4E75187A"/>
    <w:rsid w:val="4EF56E02"/>
    <w:rsid w:val="4F2C2030"/>
    <w:rsid w:val="4F431A16"/>
    <w:rsid w:val="4F625CFC"/>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6DC1833"/>
    <w:rsid w:val="57775044"/>
    <w:rsid w:val="57A0738E"/>
    <w:rsid w:val="57D936E4"/>
    <w:rsid w:val="57FF5F11"/>
    <w:rsid w:val="580753FD"/>
    <w:rsid w:val="58387E39"/>
    <w:rsid w:val="58553E64"/>
    <w:rsid w:val="587B4B9C"/>
    <w:rsid w:val="58D073A5"/>
    <w:rsid w:val="590B5B1F"/>
    <w:rsid w:val="595F3D47"/>
    <w:rsid w:val="599B004C"/>
    <w:rsid w:val="5A2101BA"/>
    <w:rsid w:val="5A290CB4"/>
    <w:rsid w:val="5ABB5ED1"/>
    <w:rsid w:val="5AF847D6"/>
    <w:rsid w:val="5CB27A65"/>
    <w:rsid w:val="5CC26E3C"/>
    <w:rsid w:val="5CD129E8"/>
    <w:rsid w:val="5CE713B5"/>
    <w:rsid w:val="5D041D1A"/>
    <w:rsid w:val="5D9E11DA"/>
    <w:rsid w:val="5DA465C2"/>
    <w:rsid w:val="5DB1622D"/>
    <w:rsid w:val="5DCB4BA6"/>
    <w:rsid w:val="5DCC7310"/>
    <w:rsid w:val="5DEF1AA3"/>
    <w:rsid w:val="5E185797"/>
    <w:rsid w:val="5E1E1CD6"/>
    <w:rsid w:val="5E984D81"/>
    <w:rsid w:val="5EBF5F80"/>
    <w:rsid w:val="5ED752A6"/>
    <w:rsid w:val="5ED942F1"/>
    <w:rsid w:val="5EF64554"/>
    <w:rsid w:val="5F5B246C"/>
    <w:rsid w:val="5F6E2768"/>
    <w:rsid w:val="5FA94BFF"/>
    <w:rsid w:val="60C944A5"/>
    <w:rsid w:val="60D93EF7"/>
    <w:rsid w:val="61C51866"/>
    <w:rsid w:val="61C815F8"/>
    <w:rsid w:val="621C0D9D"/>
    <w:rsid w:val="62380E16"/>
    <w:rsid w:val="62F16AC3"/>
    <w:rsid w:val="63052DAC"/>
    <w:rsid w:val="63F83144"/>
    <w:rsid w:val="64373C6C"/>
    <w:rsid w:val="644B5969"/>
    <w:rsid w:val="64E83A14"/>
    <w:rsid w:val="650521AA"/>
    <w:rsid w:val="651A4726"/>
    <w:rsid w:val="65762FE3"/>
    <w:rsid w:val="662D262F"/>
    <w:rsid w:val="66665840"/>
    <w:rsid w:val="670D2DDD"/>
    <w:rsid w:val="686F6D95"/>
    <w:rsid w:val="68A40B37"/>
    <w:rsid w:val="68B82CC6"/>
    <w:rsid w:val="68BC085A"/>
    <w:rsid w:val="69141461"/>
    <w:rsid w:val="693B71BC"/>
    <w:rsid w:val="69C6749B"/>
    <w:rsid w:val="6A1F0A75"/>
    <w:rsid w:val="6A5E56C2"/>
    <w:rsid w:val="6ACE4BFE"/>
    <w:rsid w:val="6ADB330F"/>
    <w:rsid w:val="6AF331DF"/>
    <w:rsid w:val="6B5E5F7B"/>
    <w:rsid w:val="6BAE6F0A"/>
    <w:rsid w:val="6BF9414D"/>
    <w:rsid w:val="6CB23185"/>
    <w:rsid w:val="6D8D0DA1"/>
    <w:rsid w:val="6D940955"/>
    <w:rsid w:val="6DA947E3"/>
    <w:rsid w:val="6DEC6D14"/>
    <w:rsid w:val="6E6E06F7"/>
    <w:rsid w:val="6E9F6FDD"/>
    <w:rsid w:val="6EE76E86"/>
    <w:rsid w:val="6F651FD5"/>
    <w:rsid w:val="6F7F0E86"/>
    <w:rsid w:val="6FAC1AE5"/>
    <w:rsid w:val="708A757C"/>
    <w:rsid w:val="7151758B"/>
    <w:rsid w:val="715C325B"/>
    <w:rsid w:val="71700044"/>
    <w:rsid w:val="71CA4371"/>
    <w:rsid w:val="71F10209"/>
    <w:rsid w:val="72F642DA"/>
    <w:rsid w:val="733323D9"/>
    <w:rsid w:val="73506D16"/>
    <w:rsid w:val="74262963"/>
    <w:rsid w:val="744C72C0"/>
    <w:rsid w:val="750C5711"/>
    <w:rsid w:val="7557241A"/>
    <w:rsid w:val="76A43029"/>
    <w:rsid w:val="76AE6010"/>
    <w:rsid w:val="76C10625"/>
    <w:rsid w:val="76F65095"/>
    <w:rsid w:val="77333075"/>
    <w:rsid w:val="77E50981"/>
    <w:rsid w:val="786D1EFA"/>
    <w:rsid w:val="789D7AA5"/>
    <w:rsid w:val="792F33AF"/>
    <w:rsid w:val="79A1317A"/>
    <w:rsid w:val="7A540C70"/>
    <w:rsid w:val="7A660689"/>
    <w:rsid w:val="7ACA405F"/>
    <w:rsid w:val="7AE50058"/>
    <w:rsid w:val="7B851309"/>
    <w:rsid w:val="7BA050EE"/>
    <w:rsid w:val="7BD21C71"/>
    <w:rsid w:val="7BD86272"/>
    <w:rsid w:val="7CF41358"/>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jpeg"/><Relationship Id="rId13" Type="http://schemas.openxmlformats.org/officeDocument/2006/relationships/image" Target="media/image3.wmf"/><Relationship Id="rId12" Type="http://schemas.openxmlformats.org/officeDocument/2006/relationships/image" Target="media/image2.wmf"/><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111</Pages>
  <Words>2526</Words>
  <Characters>3053</Characters>
  <Lines>655</Lines>
  <Paragraphs>184</Paragraphs>
  <TotalTime>4</TotalTime>
  <ScaleCrop>false</ScaleCrop>
  <LinksUpToDate>false</LinksUpToDate>
  <CharactersWithSpaces>3246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2026-05-28T02:30:00Z</cp:lastPrinted>
  <dcterms:modified xsi:type="dcterms:W3CDTF">2026-06-01T01:42:20Z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87E5CE15208D4057A9945DA44B808726_13</vt:lpwstr>
  </property>
  <property fmtid="{D5CDD505-2E9C-101B-9397-08002B2CF9AE}" pid="4" name="KSOTemplateDocerSaveRecord">
    <vt:lpwstr>eyJoZGlkIjoiY2UwNTVkYjdhMjkwMjZhNjhmMzMzNjMzMzk2ZjFhMWIiLCJ1c2VySWQiOiIyNzY5OTQ2MDUifQ==</vt:lpwstr>
  </property>
</Properties>
</file>