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兴国石油分公司上社加油站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eastAsia="宋体" w:cs="宋体"/>
          <w:b/>
          <w:bCs/>
          <w:color w:val="auto"/>
          <w:sz w:val="44"/>
          <w:szCs w:val="44"/>
        </w:rPr>
        <w:t>安全设施竣工验</w:t>
      </w:r>
      <w:r>
        <w:rPr>
          <w:rFonts w:hint="eastAsia" w:ascii="宋体" w:hAnsi="宋体" w:cs="宋体"/>
          <w:b/>
          <w:bCs/>
          <w:color w:val="auto"/>
          <w:sz w:val="44"/>
          <w:szCs w:val="44"/>
        </w:rPr>
        <w:t>收评价报告</w:t>
      </w:r>
    </w:p>
    <w:p w14:paraId="55B64135">
      <w:pPr>
        <w:pStyle w:val="33"/>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3"/>
        <w:jc w:val="center"/>
        <w:rPr>
          <w:rFonts w:hAnsi="宋体" w:cs="Times New Roman"/>
          <w:b/>
          <w:bCs/>
          <w:color w:val="auto"/>
          <w:sz w:val="44"/>
          <w:szCs w:val="44"/>
        </w:rPr>
      </w:pPr>
    </w:p>
    <w:p w14:paraId="740017B8">
      <w:pPr>
        <w:pStyle w:val="33"/>
        <w:jc w:val="center"/>
        <w:rPr>
          <w:rFonts w:hAnsi="宋体" w:cs="Times New Roman"/>
          <w:b/>
          <w:bCs/>
          <w:color w:val="auto"/>
          <w:sz w:val="44"/>
          <w:szCs w:val="44"/>
        </w:rPr>
      </w:pPr>
    </w:p>
    <w:p w14:paraId="40EA031A">
      <w:pPr>
        <w:pStyle w:val="33"/>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兴国石油分公司上社加油站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李子丰</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丁聪炜</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丁聪炜</w:t>
      </w:r>
    </w:p>
    <w:p w14:paraId="7051593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5</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兴国石油分公司上社加油站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3"/>
        <w:rPr>
          <w:color w:val="auto"/>
        </w:rPr>
      </w:pPr>
    </w:p>
    <w:p w14:paraId="7777510D">
      <w:pPr>
        <w:pStyle w:val="33"/>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5</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兴国石油分公司上社加油站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5</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32BCB5CC">
      <w:pPr>
        <w:pStyle w:val="21"/>
        <w:spacing w:before="0" w:beforeLines="0" w:line="240" w:lineRule="auto"/>
        <w:outlineLvl w:val="9"/>
        <w:rPr>
          <w:rFonts w:hint="eastAsia" w:ascii="宋体" w:hAnsi="宋体" w:eastAsia="宋体" w:cs="宋体"/>
          <w:color w:val="auto"/>
          <w:sz w:val="36"/>
          <w:szCs w:val="36"/>
        </w:rPr>
      </w:pPr>
    </w:p>
    <w:p w14:paraId="0B9E121A">
      <w:pPr>
        <w:pStyle w:val="21"/>
        <w:spacing w:before="0" w:beforeLines="0" w:line="240" w:lineRule="auto"/>
        <w:outlineLvl w:val="9"/>
        <w:rPr>
          <w:rFonts w:hint="eastAsia" w:ascii="宋体" w:hAnsi="宋体" w:eastAsia="宋体" w:cs="宋体"/>
          <w:color w:val="auto"/>
          <w:sz w:val="36"/>
          <w:szCs w:val="36"/>
        </w:rPr>
      </w:pPr>
      <w:r>
        <w:rPr>
          <w:rFonts w:hint="eastAsia" w:ascii="宋体" w:hAnsi="宋体" w:eastAsia="宋体" w:cs="宋体"/>
          <w:color w:val="auto"/>
          <w:sz w:val="36"/>
          <w:szCs w:val="36"/>
        </w:rPr>
        <w:t>安全评价人员</w:t>
      </w:r>
    </w:p>
    <w:p w14:paraId="7A673201">
      <w:pPr>
        <w:pStyle w:val="21"/>
        <w:spacing w:before="0" w:beforeLines="0" w:line="240" w:lineRule="auto"/>
        <w:outlineLvl w:val="9"/>
        <w:rPr>
          <w:rFonts w:hint="eastAsia" w:ascii="宋体" w:hAnsi="宋体" w:eastAsia="宋体" w:cs="宋体"/>
          <w:color w:val="auto"/>
          <w:sz w:val="36"/>
          <w:szCs w:val="36"/>
        </w:rPr>
      </w:pPr>
    </w:p>
    <w:p w14:paraId="5ECD4D4F">
      <w:pPr>
        <w:jc w:val="center"/>
        <w:rPr>
          <w:rFonts w:hint="eastAsia" w:eastAsia="黑体"/>
          <w:b/>
          <w:color w:val="auto"/>
          <w:sz w:val="32"/>
        </w:rPr>
      </w:pPr>
    </w:p>
    <w:p w14:paraId="50EEEDF3">
      <w:pPr>
        <w:jc w:val="center"/>
        <w:rPr>
          <w:rFonts w:eastAsia="黑体"/>
          <w:b/>
          <w:color w:val="auto"/>
          <w:sz w:val="32"/>
        </w:rPr>
      </w:pPr>
      <w:r>
        <w:rPr>
          <w:rFonts w:hint="eastAsia" w:eastAsia="黑体"/>
          <w:b/>
          <w:color w:val="auto"/>
          <w:sz w:val="32"/>
        </w:rPr>
        <w:t>参 与</w:t>
      </w:r>
      <w:r>
        <w:rPr>
          <w:rFonts w:eastAsia="黑体"/>
          <w:b/>
          <w:color w:val="auto"/>
          <w:sz w:val="32"/>
        </w:rPr>
        <w:t xml:space="preserve"> </w:t>
      </w:r>
      <w:r>
        <w:rPr>
          <w:rFonts w:hint="eastAsia" w:eastAsia="黑体"/>
          <w:b/>
          <w:color w:val="auto"/>
          <w:sz w:val="32"/>
        </w:rPr>
        <w:t>人</w:t>
      </w:r>
      <w:r>
        <w:rPr>
          <w:rFonts w:eastAsia="黑体"/>
          <w:b/>
          <w:color w:val="auto"/>
          <w:sz w:val="32"/>
        </w:rPr>
        <w:t xml:space="preserve"> </w:t>
      </w:r>
      <w:r>
        <w:rPr>
          <w:rFonts w:hint="eastAsia" w:eastAsia="黑体"/>
          <w:b/>
          <w:color w:val="auto"/>
          <w:sz w:val="32"/>
        </w:rPr>
        <w:t>员</w:t>
      </w:r>
    </w:p>
    <w:p w14:paraId="37C4BA3D">
      <w:pPr>
        <w:jc w:val="center"/>
        <w:rPr>
          <w:rFonts w:ascii="Times New Roman" w:hAnsi="Times New Roman" w:cs="Times New Roman"/>
          <w:b/>
          <w:bCs/>
          <w:color w:val="auto"/>
          <w:sz w:val="32"/>
          <w:szCs w:val="32"/>
        </w:rPr>
      </w:pPr>
      <w:r>
        <w:rPr>
          <w:rFonts w:eastAsia="黑体"/>
          <w:b/>
          <w:bCs/>
          <w:color w:val="auto"/>
          <w:sz w:val="32"/>
        </w:rPr>
        <w:br w:type="page"/>
      </w: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兴国石油分公司上社加油站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兴国上社</w:t>
      </w:r>
      <w:r>
        <w:rPr>
          <w:rFonts w:hint="eastAsia" w:ascii="Times New Roman" w:hAnsi="Times New Roman" w:cs="Times New Roman"/>
          <w:color w:val="auto"/>
          <w:sz w:val="28"/>
          <w:szCs w:val="28"/>
        </w:rPr>
        <w:t>加油站”</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5</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06</w:t>
      </w:r>
      <w:r>
        <w:rPr>
          <w:rFonts w:hint="eastAsia" w:ascii="Times New Roman" w:hAnsi="Times New Roman" w:cs="Times New Roman"/>
          <w:color w:val="auto"/>
          <w:sz w:val="28"/>
          <w:szCs w:val="28"/>
        </w:rPr>
        <w:t>月2</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兴国县长冈乡上社村</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90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75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三</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17</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(赣)36073213202300014</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16</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21A3C456">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兴国石油分公司上社加油站</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lang w:eastAsia="zh-CN"/>
        </w:rPr>
        <w:t>兴国石油分公司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兴国上社</w:t>
      </w:r>
      <w:r>
        <w:rPr>
          <w:rFonts w:hint="eastAsia" w:ascii="Times New Roman" w:hAnsi="Times New Roman" w:cs="宋体"/>
          <w:color w:val="auto"/>
          <w:sz w:val="28"/>
          <w:szCs w:val="28"/>
        </w:rPr>
        <w:t>加油站进行安全设施符合性诊断及整改设计验收。</w:t>
      </w:r>
    </w:p>
    <w:p w14:paraId="70B070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需说明，本安全设施竣工验收评价报告及结论，系基于评价期间加油站实际运行与现场现状编制，评价小组仅对评价时加油站的真实状况负责。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兴国石油分公司</w:t>
      </w:r>
      <w:r>
        <w:rPr>
          <w:rFonts w:hint="eastAsia" w:ascii="Times New Roman" w:hAnsi="Times New Roman" w:cs="宋体"/>
          <w:color w:val="auto"/>
          <w:sz w:val="28"/>
          <w:szCs w:val="28"/>
        </w:rPr>
        <w:t>的大力支持，在此表示感谢。</w:t>
      </w:r>
    </w:p>
    <w:p w14:paraId="1532536B">
      <w:pPr>
        <w:spacing w:line="600" w:lineRule="exact"/>
        <w:ind w:firstLine="560" w:firstLineChars="200"/>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需要特别说明的是，根据《江西省应急管理厅办公室关于规范危险化学品经营许可工作的通知》（赣应急办字〔2025〕58号），加油站应进行安全设计诊断并进行验收后方可延期换证</w:t>
      </w:r>
      <w:r>
        <w:rPr>
          <w:rFonts w:hint="eastAsia" w:ascii="Times New Roman" w:hAnsi="Times New Roman" w:cs="Times New Roman"/>
          <w:color w:val="auto"/>
          <w:sz w:val="28"/>
          <w:szCs w:val="28"/>
          <w:lang w:eastAsia="zh-CN"/>
        </w:rPr>
        <w:t>，经整改完成后，该加油站安全设施符合设计文件及竣工相关规范要求，已具备验收条件。</w:t>
      </w:r>
      <w:r>
        <w:rPr>
          <w:rFonts w:hint="eastAsia" w:ascii="Times New Roman" w:hAnsi="Times New Roman" w:cs="Times New Roman"/>
          <w:color w:val="auto"/>
          <w:sz w:val="28"/>
          <w:szCs w:val="28"/>
        </w:rPr>
        <w:t>因此中石化江西赣州</w:t>
      </w:r>
      <w:r>
        <w:rPr>
          <w:rFonts w:hint="eastAsia" w:ascii="Times New Roman" w:hAnsi="Times New Roman" w:cs="Times New Roman"/>
          <w:color w:val="auto"/>
          <w:sz w:val="28"/>
          <w:szCs w:val="28"/>
          <w:lang w:eastAsia="zh-CN"/>
        </w:rPr>
        <w:t>兴国石油分公司</w:t>
      </w:r>
      <w:r>
        <w:rPr>
          <w:rFonts w:hint="eastAsia" w:ascii="Times New Roman" w:hAnsi="Times New Roman" w:cs="Times New Roman"/>
          <w:color w:val="auto"/>
          <w:sz w:val="28"/>
          <w:szCs w:val="28"/>
        </w:rPr>
        <w:t>委托</w:t>
      </w:r>
      <w:r>
        <w:rPr>
          <w:rFonts w:hint="eastAsia" w:ascii="Times New Roman" w:hAnsi="Times New Roman" w:cs="Times New Roman"/>
          <w:color w:val="auto"/>
          <w:sz w:val="28"/>
          <w:szCs w:val="28"/>
          <w:lang w:eastAsia="zh-CN"/>
        </w:rPr>
        <w:t>江西赣安安全生产科学技术咨询服务中心</w:t>
      </w:r>
      <w:r>
        <w:rPr>
          <w:rFonts w:hint="eastAsia" w:ascii="Times New Roman" w:hAnsi="Times New Roman" w:cs="Times New Roman"/>
          <w:color w:val="auto"/>
          <w:sz w:val="28"/>
          <w:szCs w:val="28"/>
        </w:rPr>
        <w:t>对该加油站进行安全设施符合性诊断及整改设计验收。</w:t>
      </w:r>
    </w:p>
    <w:p w14:paraId="3013BB2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5</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w:t>
      </w:r>
      <w:r>
        <w:rPr>
          <w:rFonts w:hint="eastAsia" w:ascii="Times New Roman" w:hAnsi="Times New Roman" w:cs="宋体"/>
          <w:color w:val="auto"/>
          <w:sz w:val="28"/>
          <w:szCs w:val="28"/>
          <w:lang w:val="en-US" w:eastAsia="zh-CN"/>
        </w:rPr>
        <w:t>查</w:t>
      </w:r>
      <w:r>
        <w:rPr>
          <w:rFonts w:hint="eastAsia" w:ascii="Times New Roman" w:hAnsi="Times New Roman" w:cs="宋体"/>
          <w:color w:val="auto"/>
          <w:sz w:val="28"/>
          <w:szCs w:val="28"/>
        </w:rPr>
        <w:t>，根据《安全评价通则》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030960B8">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_Toc19274 </w:instrText>
      </w:r>
      <w:r>
        <w:rPr>
          <w:rFonts w:ascii="Times New Roman" w:hAnsi="Times New Roman" w:cs="Times New Roman"/>
          <w:bCs/>
          <w:sz w:val="24"/>
          <w:szCs w:val="24"/>
        </w:rPr>
        <w:fldChar w:fldCharType="separate"/>
      </w:r>
      <w:r>
        <w:rPr>
          <w:sz w:val="24"/>
          <w:szCs w:val="24"/>
        </w:rPr>
        <w:t xml:space="preserve">1 </w:t>
      </w:r>
      <w:r>
        <w:rPr>
          <w:rFonts w:hint="eastAsia" w:cs="宋体"/>
          <w:sz w:val="24"/>
          <w:szCs w:val="24"/>
        </w:rPr>
        <w:t>评价概述</w:t>
      </w:r>
      <w:r>
        <w:rPr>
          <w:sz w:val="24"/>
          <w:szCs w:val="24"/>
        </w:rPr>
        <w:tab/>
      </w:r>
      <w:r>
        <w:rPr>
          <w:sz w:val="24"/>
          <w:szCs w:val="24"/>
        </w:rPr>
        <w:fldChar w:fldCharType="begin"/>
      </w:r>
      <w:r>
        <w:rPr>
          <w:sz w:val="24"/>
          <w:szCs w:val="24"/>
        </w:rPr>
        <w:instrText xml:space="preserve"> PAGEREF _Toc19274 \h </w:instrText>
      </w:r>
      <w:r>
        <w:rPr>
          <w:sz w:val="24"/>
          <w:szCs w:val="24"/>
        </w:rPr>
        <w:fldChar w:fldCharType="separate"/>
      </w:r>
      <w:r>
        <w:rPr>
          <w:sz w:val="24"/>
          <w:szCs w:val="24"/>
        </w:rPr>
        <w:t>1</w:t>
      </w:r>
      <w:r>
        <w:rPr>
          <w:sz w:val="24"/>
          <w:szCs w:val="24"/>
        </w:rPr>
        <w:fldChar w:fldCharType="end"/>
      </w:r>
      <w:r>
        <w:rPr>
          <w:rFonts w:ascii="Times New Roman" w:hAnsi="Times New Roman" w:cs="Times New Roman"/>
          <w:bCs/>
          <w:color w:val="auto"/>
          <w:sz w:val="24"/>
          <w:szCs w:val="24"/>
        </w:rPr>
        <w:fldChar w:fldCharType="end"/>
      </w:r>
    </w:p>
    <w:p w14:paraId="4AC33EC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_Toc11802 </w:instrText>
      </w:r>
      <w:r>
        <w:rPr>
          <w:rFonts w:ascii="Times New Roman" w:hAnsi="Times New Roman" w:cs="Times New Roman"/>
          <w:bCs/>
          <w:sz w:val="24"/>
          <w:szCs w:val="24"/>
        </w:rPr>
        <w:fldChar w:fldCharType="separate"/>
      </w:r>
      <w:r>
        <w:rPr>
          <w:sz w:val="24"/>
          <w:szCs w:val="24"/>
        </w:rPr>
        <w:t>1.1</w:t>
      </w:r>
      <w:r>
        <w:rPr>
          <w:rFonts w:hint="eastAsia" w:cs="宋体"/>
          <w:sz w:val="24"/>
          <w:szCs w:val="24"/>
        </w:rPr>
        <w:t>评价的目的和原则</w:t>
      </w:r>
      <w:r>
        <w:rPr>
          <w:sz w:val="24"/>
          <w:szCs w:val="24"/>
        </w:rPr>
        <w:tab/>
      </w:r>
      <w:r>
        <w:rPr>
          <w:sz w:val="24"/>
          <w:szCs w:val="24"/>
        </w:rPr>
        <w:fldChar w:fldCharType="begin"/>
      </w:r>
      <w:r>
        <w:rPr>
          <w:sz w:val="24"/>
          <w:szCs w:val="24"/>
        </w:rPr>
        <w:instrText xml:space="preserve"> PAGEREF _Toc11802 \h </w:instrText>
      </w:r>
      <w:r>
        <w:rPr>
          <w:sz w:val="24"/>
          <w:szCs w:val="24"/>
        </w:rPr>
        <w:fldChar w:fldCharType="separate"/>
      </w:r>
      <w:r>
        <w:rPr>
          <w:sz w:val="24"/>
          <w:szCs w:val="24"/>
        </w:rPr>
        <w:t>1</w:t>
      </w:r>
      <w:r>
        <w:rPr>
          <w:sz w:val="24"/>
          <w:szCs w:val="24"/>
        </w:rPr>
        <w:fldChar w:fldCharType="end"/>
      </w:r>
      <w:r>
        <w:rPr>
          <w:rFonts w:ascii="Times New Roman" w:hAnsi="Times New Roman" w:cs="Times New Roman"/>
          <w:bCs/>
          <w:color w:val="auto"/>
          <w:sz w:val="24"/>
          <w:szCs w:val="24"/>
        </w:rPr>
        <w:fldChar w:fldCharType="end"/>
      </w:r>
    </w:p>
    <w:p w14:paraId="646A96C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_Toc20206 </w:instrText>
      </w:r>
      <w:r>
        <w:rPr>
          <w:rFonts w:ascii="Times New Roman" w:hAnsi="Times New Roman" w:cs="Times New Roman"/>
          <w:bCs/>
          <w:sz w:val="24"/>
          <w:szCs w:val="24"/>
        </w:rPr>
        <w:fldChar w:fldCharType="separate"/>
      </w:r>
      <w:r>
        <w:rPr>
          <w:sz w:val="24"/>
          <w:szCs w:val="24"/>
        </w:rPr>
        <w:t>1.2</w:t>
      </w:r>
      <w:r>
        <w:rPr>
          <w:rFonts w:hint="eastAsia" w:cs="宋体"/>
          <w:sz w:val="24"/>
          <w:szCs w:val="24"/>
        </w:rPr>
        <w:t>评价依据</w:t>
      </w:r>
      <w:r>
        <w:rPr>
          <w:sz w:val="24"/>
          <w:szCs w:val="24"/>
        </w:rPr>
        <w:tab/>
      </w:r>
      <w:r>
        <w:rPr>
          <w:sz w:val="24"/>
          <w:szCs w:val="24"/>
        </w:rPr>
        <w:fldChar w:fldCharType="begin"/>
      </w:r>
      <w:r>
        <w:rPr>
          <w:sz w:val="24"/>
          <w:szCs w:val="24"/>
        </w:rPr>
        <w:instrText xml:space="preserve"> PAGEREF _Toc20206 \h </w:instrText>
      </w:r>
      <w:r>
        <w:rPr>
          <w:sz w:val="24"/>
          <w:szCs w:val="24"/>
        </w:rPr>
        <w:fldChar w:fldCharType="separate"/>
      </w:r>
      <w:r>
        <w:rPr>
          <w:sz w:val="24"/>
          <w:szCs w:val="24"/>
        </w:rPr>
        <w:t>1</w:t>
      </w:r>
      <w:r>
        <w:rPr>
          <w:sz w:val="24"/>
          <w:szCs w:val="24"/>
        </w:rPr>
        <w:fldChar w:fldCharType="end"/>
      </w:r>
      <w:r>
        <w:rPr>
          <w:rFonts w:ascii="Times New Roman" w:hAnsi="Times New Roman" w:cs="Times New Roman"/>
          <w:bCs/>
          <w:color w:val="auto"/>
          <w:sz w:val="24"/>
          <w:szCs w:val="24"/>
        </w:rPr>
        <w:fldChar w:fldCharType="end"/>
      </w:r>
    </w:p>
    <w:p w14:paraId="0DB1BE3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_Toc21077 </w:instrText>
      </w:r>
      <w:r>
        <w:rPr>
          <w:rFonts w:ascii="Times New Roman" w:hAnsi="Times New Roman" w:cs="Times New Roman"/>
          <w:bCs/>
          <w:sz w:val="24"/>
          <w:szCs w:val="24"/>
        </w:rPr>
        <w:fldChar w:fldCharType="separate"/>
      </w:r>
      <w:r>
        <w:rPr>
          <w:sz w:val="24"/>
          <w:szCs w:val="24"/>
        </w:rPr>
        <w:t>1.3</w:t>
      </w:r>
      <w:r>
        <w:rPr>
          <w:rFonts w:hint="eastAsia" w:cs="宋体"/>
          <w:sz w:val="24"/>
          <w:szCs w:val="24"/>
        </w:rPr>
        <w:t>评价范围及内容</w:t>
      </w:r>
      <w:r>
        <w:rPr>
          <w:sz w:val="24"/>
          <w:szCs w:val="24"/>
        </w:rPr>
        <w:tab/>
      </w:r>
      <w:r>
        <w:rPr>
          <w:sz w:val="24"/>
          <w:szCs w:val="24"/>
        </w:rPr>
        <w:fldChar w:fldCharType="begin"/>
      </w:r>
      <w:r>
        <w:rPr>
          <w:sz w:val="24"/>
          <w:szCs w:val="24"/>
        </w:rPr>
        <w:instrText xml:space="preserve"> PAGEREF _Toc21077 \h </w:instrText>
      </w:r>
      <w:r>
        <w:rPr>
          <w:sz w:val="24"/>
          <w:szCs w:val="24"/>
        </w:rPr>
        <w:fldChar w:fldCharType="separate"/>
      </w:r>
      <w:r>
        <w:rPr>
          <w:sz w:val="24"/>
          <w:szCs w:val="24"/>
        </w:rPr>
        <w:t>9</w:t>
      </w:r>
      <w:r>
        <w:rPr>
          <w:sz w:val="24"/>
          <w:szCs w:val="24"/>
        </w:rPr>
        <w:fldChar w:fldCharType="end"/>
      </w:r>
      <w:r>
        <w:rPr>
          <w:rFonts w:ascii="Times New Roman" w:hAnsi="Times New Roman" w:cs="Times New Roman"/>
          <w:bCs/>
          <w:color w:val="auto"/>
          <w:sz w:val="24"/>
          <w:szCs w:val="24"/>
        </w:rPr>
        <w:fldChar w:fldCharType="end"/>
      </w:r>
    </w:p>
    <w:p w14:paraId="7F2DB70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_Toc4459 </w:instrText>
      </w:r>
      <w:r>
        <w:rPr>
          <w:rFonts w:ascii="Times New Roman" w:hAnsi="Times New Roman" w:cs="Times New Roman"/>
          <w:bCs/>
          <w:sz w:val="24"/>
          <w:szCs w:val="24"/>
        </w:rPr>
        <w:fldChar w:fldCharType="separate"/>
      </w:r>
      <w:r>
        <w:rPr>
          <w:sz w:val="24"/>
          <w:szCs w:val="24"/>
        </w:rPr>
        <w:t>1.4</w:t>
      </w:r>
      <w:r>
        <w:rPr>
          <w:rFonts w:hint="eastAsia" w:cs="宋体"/>
          <w:sz w:val="24"/>
          <w:szCs w:val="24"/>
        </w:rPr>
        <w:t>评价程序</w:t>
      </w:r>
      <w:r>
        <w:rPr>
          <w:sz w:val="24"/>
          <w:szCs w:val="24"/>
        </w:rPr>
        <w:tab/>
      </w:r>
      <w:r>
        <w:rPr>
          <w:sz w:val="24"/>
          <w:szCs w:val="24"/>
        </w:rPr>
        <w:fldChar w:fldCharType="begin"/>
      </w:r>
      <w:r>
        <w:rPr>
          <w:sz w:val="24"/>
          <w:szCs w:val="24"/>
        </w:rPr>
        <w:instrText xml:space="preserve"> PAGEREF _Toc4459 \h </w:instrText>
      </w:r>
      <w:r>
        <w:rPr>
          <w:sz w:val="24"/>
          <w:szCs w:val="24"/>
        </w:rPr>
        <w:fldChar w:fldCharType="separate"/>
      </w:r>
      <w:r>
        <w:rPr>
          <w:sz w:val="24"/>
          <w:szCs w:val="24"/>
        </w:rPr>
        <w:t>10</w:t>
      </w:r>
      <w:r>
        <w:rPr>
          <w:sz w:val="24"/>
          <w:szCs w:val="24"/>
        </w:rPr>
        <w:fldChar w:fldCharType="end"/>
      </w:r>
      <w:r>
        <w:rPr>
          <w:rFonts w:ascii="Times New Roman" w:hAnsi="Times New Roman" w:cs="Times New Roman"/>
          <w:bCs/>
          <w:color w:val="auto"/>
          <w:sz w:val="24"/>
          <w:szCs w:val="24"/>
        </w:rPr>
        <w:fldChar w:fldCharType="end"/>
      </w:r>
    </w:p>
    <w:p w14:paraId="632F9D18">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_Toc18300 </w:instrText>
      </w:r>
      <w:r>
        <w:rPr>
          <w:rFonts w:ascii="Times New Roman" w:hAnsi="Times New Roman" w:cs="Times New Roman"/>
          <w:bCs/>
          <w:sz w:val="24"/>
          <w:szCs w:val="24"/>
        </w:rPr>
        <w:fldChar w:fldCharType="separate"/>
      </w:r>
      <w:r>
        <w:rPr>
          <w:rFonts w:hint="eastAsia" w:ascii="Times New Roman"/>
          <w:bCs/>
          <w:kern w:val="36"/>
          <w:sz w:val="24"/>
          <w:szCs w:val="24"/>
        </w:rPr>
        <w:t>2 加油站概况</w:t>
      </w:r>
      <w:r>
        <w:rPr>
          <w:sz w:val="24"/>
          <w:szCs w:val="24"/>
        </w:rPr>
        <w:tab/>
      </w:r>
      <w:r>
        <w:rPr>
          <w:sz w:val="24"/>
          <w:szCs w:val="24"/>
        </w:rPr>
        <w:fldChar w:fldCharType="begin"/>
      </w:r>
      <w:r>
        <w:rPr>
          <w:sz w:val="24"/>
          <w:szCs w:val="24"/>
        </w:rPr>
        <w:instrText xml:space="preserve"> PAGEREF _Toc18300 \h </w:instrText>
      </w:r>
      <w:r>
        <w:rPr>
          <w:sz w:val="24"/>
          <w:szCs w:val="24"/>
        </w:rPr>
        <w:fldChar w:fldCharType="separate"/>
      </w:r>
      <w:r>
        <w:rPr>
          <w:sz w:val="24"/>
          <w:szCs w:val="24"/>
        </w:rPr>
        <w:t>11</w:t>
      </w:r>
      <w:r>
        <w:rPr>
          <w:sz w:val="24"/>
          <w:szCs w:val="24"/>
        </w:rPr>
        <w:fldChar w:fldCharType="end"/>
      </w:r>
      <w:r>
        <w:rPr>
          <w:rFonts w:ascii="Times New Roman" w:hAnsi="Times New Roman" w:cs="Times New Roman"/>
          <w:bCs/>
          <w:color w:val="auto"/>
          <w:sz w:val="24"/>
          <w:szCs w:val="24"/>
        </w:rPr>
        <w:fldChar w:fldCharType="end"/>
      </w:r>
    </w:p>
    <w:p w14:paraId="315396E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_Toc7619 </w:instrText>
      </w:r>
      <w:r>
        <w:rPr>
          <w:rFonts w:ascii="Times New Roman" w:hAnsi="Times New Roman" w:cs="Times New Roman"/>
          <w:bCs/>
          <w:sz w:val="24"/>
          <w:szCs w:val="24"/>
        </w:rPr>
        <w:fldChar w:fldCharType="separate"/>
      </w:r>
      <w:r>
        <w:rPr>
          <w:sz w:val="24"/>
          <w:szCs w:val="24"/>
        </w:rPr>
        <w:t>2.1</w:t>
      </w:r>
      <w:r>
        <w:rPr>
          <w:rFonts w:hint="eastAsia" w:cs="宋体"/>
          <w:sz w:val="24"/>
          <w:szCs w:val="24"/>
        </w:rPr>
        <w:t>建设项目基本情况</w:t>
      </w:r>
      <w:r>
        <w:rPr>
          <w:sz w:val="24"/>
          <w:szCs w:val="24"/>
        </w:rPr>
        <w:tab/>
      </w:r>
      <w:r>
        <w:rPr>
          <w:sz w:val="24"/>
          <w:szCs w:val="24"/>
        </w:rPr>
        <w:fldChar w:fldCharType="begin"/>
      </w:r>
      <w:r>
        <w:rPr>
          <w:sz w:val="24"/>
          <w:szCs w:val="24"/>
        </w:rPr>
        <w:instrText xml:space="preserve"> PAGEREF _Toc7619 \h </w:instrText>
      </w:r>
      <w:r>
        <w:rPr>
          <w:sz w:val="24"/>
          <w:szCs w:val="24"/>
        </w:rPr>
        <w:fldChar w:fldCharType="separate"/>
      </w:r>
      <w:r>
        <w:rPr>
          <w:sz w:val="24"/>
          <w:szCs w:val="24"/>
        </w:rPr>
        <w:t>11</w:t>
      </w:r>
      <w:r>
        <w:rPr>
          <w:sz w:val="24"/>
          <w:szCs w:val="24"/>
        </w:rPr>
        <w:fldChar w:fldCharType="end"/>
      </w:r>
      <w:r>
        <w:rPr>
          <w:rFonts w:ascii="Times New Roman" w:hAnsi="Times New Roman" w:cs="Times New Roman"/>
          <w:bCs/>
          <w:color w:val="auto"/>
          <w:sz w:val="24"/>
          <w:szCs w:val="24"/>
        </w:rPr>
        <w:fldChar w:fldCharType="end"/>
      </w:r>
    </w:p>
    <w:p w14:paraId="006D386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_Toc31278 </w:instrText>
      </w:r>
      <w:r>
        <w:rPr>
          <w:rFonts w:ascii="Times New Roman" w:hAnsi="Times New Roman" w:cs="Times New Roman"/>
          <w:bCs/>
          <w:sz w:val="24"/>
          <w:szCs w:val="24"/>
        </w:rPr>
        <w:fldChar w:fldCharType="separate"/>
      </w:r>
      <w:r>
        <w:rPr>
          <w:sz w:val="24"/>
          <w:szCs w:val="24"/>
        </w:rPr>
        <w:t xml:space="preserve">2.2 </w:t>
      </w:r>
      <w:r>
        <w:rPr>
          <w:rFonts w:hint="eastAsia" w:cs="宋体"/>
          <w:sz w:val="24"/>
          <w:szCs w:val="24"/>
        </w:rPr>
        <w:t>加油站概况</w:t>
      </w:r>
      <w:r>
        <w:rPr>
          <w:sz w:val="24"/>
          <w:szCs w:val="24"/>
        </w:rPr>
        <w:tab/>
      </w:r>
      <w:r>
        <w:rPr>
          <w:sz w:val="24"/>
          <w:szCs w:val="24"/>
        </w:rPr>
        <w:fldChar w:fldCharType="begin"/>
      </w:r>
      <w:r>
        <w:rPr>
          <w:sz w:val="24"/>
          <w:szCs w:val="24"/>
        </w:rPr>
        <w:instrText xml:space="preserve"> PAGEREF _Toc31278 \h </w:instrText>
      </w:r>
      <w:r>
        <w:rPr>
          <w:sz w:val="24"/>
          <w:szCs w:val="24"/>
        </w:rPr>
        <w:fldChar w:fldCharType="separate"/>
      </w:r>
      <w:r>
        <w:rPr>
          <w:sz w:val="24"/>
          <w:szCs w:val="24"/>
        </w:rPr>
        <w:t>13</w:t>
      </w:r>
      <w:r>
        <w:rPr>
          <w:sz w:val="24"/>
          <w:szCs w:val="24"/>
        </w:rPr>
        <w:fldChar w:fldCharType="end"/>
      </w:r>
      <w:r>
        <w:rPr>
          <w:rFonts w:ascii="Times New Roman" w:hAnsi="Times New Roman" w:cs="Times New Roman"/>
          <w:bCs/>
          <w:color w:val="auto"/>
          <w:sz w:val="24"/>
          <w:szCs w:val="24"/>
        </w:rPr>
        <w:fldChar w:fldCharType="end"/>
      </w:r>
    </w:p>
    <w:p w14:paraId="15F94EE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_Toc11545 </w:instrText>
      </w:r>
      <w:r>
        <w:rPr>
          <w:rFonts w:ascii="Times New Roman" w:hAnsi="Times New Roman" w:cs="Times New Roman"/>
          <w:bCs/>
          <w:sz w:val="24"/>
          <w:szCs w:val="24"/>
        </w:rPr>
        <w:fldChar w:fldCharType="separate"/>
      </w:r>
      <w:r>
        <w:rPr>
          <w:sz w:val="24"/>
          <w:szCs w:val="24"/>
        </w:rPr>
        <w:t>2.3</w:t>
      </w:r>
      <w:r>
        <w:rPr>
          <w:rFonts w:hint="eastAsia" w:cs="宋体"/>
          <w:sz w:val="24"/>
          <w:szCs w:val="24"/>
        </w:rPr>
        <w:t>主要设备、建筑物及工艺：</w:t>
      </w:r>
      <w:r>
        <w:rPr>
          <w:sz w:val="24"/>
          <w:szCs w:val="24"/>
        </w:rPr>
        <w:tab/>
      </w:r>
      <w:r>
        <w:rPr>
          <w:sz w:val="24"/>
          <w:szCs w:val="24"/>
        </w:rPr>
        <w:fldChar w:fldCharType="begin"/>
      </w:r>
      <w:r>
        <w:rPr>
          <w:sz w:val="24"/>
          <w:szCs w:val="24"/>
        </w:rPr>
        <w:instrText xml:space="preserve"> PAGEREF _Toc11545 \h </w:instrText>
      </w:r>
      <w:r>
        <w:rPr>
          <w:sz w:val="24"/>
          <w:szCs w:val="24"/>
        </w:rPr>
        <w:fldChar w:fldCharType="separate"/>
      </w:r>
      <w:r>
        <w:rPr>
          <w:sz w:val="24"/>
          <w:szCs w:val="24"/>
        </w:rPr>
        <w:t>16</w:t>
      </w:r>
      <w:r>
        <w:rPr>
          <w:sz w:val="24"/>
          <w:szCs w:val="24"/>
        </w:rPr>
        <w:fldChar w:fldCharType="end"/>
      </w:r>
      <w:r>
        <w:rPr>
          <w:rFonts w:ascii="Times New Roman" w:hAnsi="Times New Roman" w:cs="Times New Roman"/>
          <w:bCs/>
          <w:color w:val="auto"/>
          <w:sz w:val="24"/>
          <w:szCs w:val="24"/>
        </w:rPr>
        <w:fldChar w:fldCharType="end"/>
      </w:r>
    </w:p>
    <w:p w14:paraId="3E684B6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_Toc18944 </w:instrText>
      </w:r>
      <w:r>
        <w:rPr>
          <w:rFonts w:ascii="Times New Roman" w:hAnsi="Times New Roman" w:cs="Times New Roman"/>
          <w:bCs/>
          <w:sz w:val="24"/>
          <w:szCs w:val="24"/>
        </w:rPr>
        <w:fldChar w:fldCharType="separate"/>
      </w:r>
      <w:r>
        <w:rPr>
          <w:rFonts w:ascii="Times New Roman" w:hAnsi="Times New Roman" w:cs="Times New Roman"/>
          <w:bCs/>
          <w:sz w:val="24"/>
          <w:szCs w:val="24"/>
        </w:rPr>
        <w:t xml:space="preserve">2.4 </w:t>
      </w:r>
      <w:r>
        <w:rPr>
          <w:rFonts w:hint="eastAsia" w:ascii="Times New Roman" w:hAnsi="Times New Roman" w:cs="宋体"/>
          <w:bCs/>
          <w:sz w:val="24"/>
          <w:szCs w:val="24"/>
        </w:rPr>
        <w:t>辅助设施</w:t>
      </w:r>
      <w:r>
        <w:rPr>
          <w:sz w:val="24"/>
          <w:szCs w:val="24"/>
        </w:rPr>
        <w:tab/>
      </w:r>
      <w:r>
        <w:rPr>
          <w:sz w:val="24"/>
          <w:szCs w:val="24"/>
        </w:rPr>
        <w:fldChar w:fldCharType="begin"/>
      </w:r>
      <w:r>
        <w:rPr>
          <w:sz w:val="24"/>
          <w:szCs w:val="24"/>
        </w:rPr>
        <w:instrText xml:space="preserve"> PAGEREF _Toc18944 \h </w:instrText>
      </w:r>
      <w:r>
        <w:rPr>
          <w:sz w:val="24"/>
          <w:szCs w:val="24"/>
        </w:rPr>
        <w:fldChar w:fldCharType="separate"/>
      </w:r>
      <w:r>
        <w:rPr>
          <w:sz w:val="24"/>
          <w:szCs w:val="24"/>
        </w:rPr>
        <w:t>18</w:t>
      </w:r>
      <w:r>
        <w:rPr>
          <w:sz w:val="24"/>
          <w:szCs w:val="24"/>
        </w:rPr>
        <w:fldChar w:fldCharType="end"/>
      </w:r>
      <w:r>
        <w:rPr>
          <w:rFonts w:ascii="Times New Roman" w:hAnsi="Times New Roman" w:cs="Times New Roman"/>
          <w:bCs/>
          <w:color w:val="auto"/>
          <w:sz w:val="24"/>
          <w:szCs w:val="24"/>
        </w:rPr>
        <w:fldChar w:fldCharType="end"/>
      </w:r>
    </w:p>
    <w:p w14:paraId="467D319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_Toc26568 </w:instrText>
      </w:r>
      <w:r>
        <w:rPr>
          <w:rFonts w:ascii="Times New Roman" w:hAnsi="Times New Roman" w:cs="Times New Roman"/>
          <w:bCs/>
          <w:sz w:val="24"/>
          <w:szCs w:val="24"/>
        </w:rPr>
        <w:fldChar w:fldCharType="separate"/>
      </w:r>
      <w:r>
        <w:rPr>
          <w:rFonts w:ascii="Times New Roman" w:hAnsi="Times New Roman" w:cs="Times New Roman"/>
          <w:bCs/>
          <w:sz w:val="24"/>
          <w:szCs w:val="24"/>
        </w:rPr>
        <w:t xml:space="preserve">2.5 </w:t>
      </w:r>
      <w:r>
        <w:rPr>
          <w:rFonts w:hint="eastAsia" w:ascii="Times New Roman" w:hAnsi="Times New Roman" w:cs="宋体"/>
          <w:bCs/>
          <w:sz w:val="24"/>
          <w:szCs w:val="24"/>
        </w:rPr>
        <w:t>消防、安全设施</w:t>
      </w:r>
      <w:r>
        <w:rPr>
          <w:sz w:val="24"/>
          <w:szCs w:val="24"/>
        </w:rPr>
        <w:tab/>
      </w:r>
      <w:r>
        <w:rPr>
          <w:sz w:val="24"/>
          <w:szCs w:val="24"/>
        </w:rPr>
        <w:fldChar w:fldCharType="begin"/>
      </w:r>
      <w:r>
        <w:rPr>
          <w:sz w:val="24"/>
          <w:szCs w:val="24"/>
        </w:rPr>
        <w:instrText xml:space="preserve"> PAGEREF _Toc26568 \h </w:instrText>
      </w:r>
      <w:r>
        <w:rPr>
          <w:sz w:val="24"/>
          <w:szCs w:val="24"/>
        </w:rPr>
        <w:fldChar w:fldCharType="separate"/>
      </w:r>
      <w:r>
        <w:rPr>
          <w:sz w:val="24"/>
          <w:szCs w:val="24"/>
        </w:rPr>
        <w:t>20</w:t>
      </w:r>
      <w:r>
        <w:rPr>
          <w:sz w:val="24"/>
          <w:szCs w:val="24"/>
        </w:rPr>
        <w:fldChar w:fldCharType="end"/>
      </w:r>
      <w:r>
        <w:rPr>
          <w:rFonts w:ascii="Times New Roman" w:hAnsi="Times New Roman" w:cs="Times New Roman"/>
          <w:bCs/>
          <w:color w:val="auto"/>
          <w:sz w:val="24"/>
          <w:szCs w:val="24"/>
        </w:rPr>
        <w:fldChar w:fldCharType="end"/>
      </w:r>
    </w:p>
    <w:p w14:paraId="758968FA">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_Toc12459 </w:instrText>
      </w:r>
      <w:r>
        <w:rPr>
          <w:rFonts w:ascii="Times New Roman" w:hAnsi="Times New Roman" w:cs="Times New Roman"/>
          <w:bCs/>
          <w:sz w:val="24"/>
          <w:szCs w:val="24"/>
        </w:rPr>
        <w:fldChar w:fldCharType="separate"/>
      </w:r>
      <w:r>
        <w:rPr>
          <w:rFonts w:ascii="Times New Roman" w:hAnsi="Times New Roman" w:cs="Times New Roman"/>
          <w:bCs/>
          <w:kern w:val="36"/>
          <w:sz w:val="24"/>
          <w:szCs w:val="24"/>
        </w:rPr>
        <w:t xml:space="preserve">3 </w:t>
      </w:r>
      <w:r>
        <w:rPr>
          <w:rFonts w:hint="eastAsia" w:ascii="Times New Roman" w:hAnsi="Times New Roman" w:cs="宋体"/>
          <w:bCs/>
          <w:kern w:val="36"/>
          <w:sz w:val="24"/>
          <w:szCs w:val="24"/>
        </w:rPr>
        <w:t>主要危险、有害因素分析</w:t>
      </w:r>
      <w:r>
        <w:rPr>
          <w:sz w:val="24"/>
          <w:szCs w:val="24"/>
        </w:rPr>
        <w:tab/>
      </w:r>
      <w:r>
        <w:rPr>
          <w:sz w:val="24"/>
          <w:szCs w:val="24"/>
        </w:rPr>
        <w:fldChar w:fldCharType="begin"/>
      </w:r>
      <w:r>
        <w:rPr>
          <w:sz w:val="24"/>
          <w:szCs w:val="24"/>
        </w:rPr>
        <w:instrText xml:space="preserve"> PAGEREF _Toc12459 \h </w:instrText>
      </w:r>
      <w:r>
        <w:rPr>
          <w:sz w:val="24"/>
          <w:szCs w:val="24"/>
        </w:rPr>
        <w:fldChar w:fldCharType="separate"/>
      </w:r>
      <w:r>
        <w:rPr>
          <w:sz w:val="24"/>
          <w:szCs w:val="24"/>
        </w:rPr>
        <w:t>24</w:t>
      </w:r>
      <w:r>
        <w:rPr>
          <w:sz w:val="24"/>
          <w:szCs w:val="24"/>
        </w:rPr>
        <w:fldChar w:fldCharType="end"/>
      </w:r>
      <w:r>
        <w:rPr>
          <w:rFonts w:ascii="Times New Roman" w:hAnsi="Times New Roman" w:cs="Times New Roman"/>
          <w:bCs/>
          <w:color w:val="auto"/>
          <w:sz w:val="24"/>
          <w:szCs w:val="24"/>
        </w:rPr>
        <w:fldChar w:fldCharType="end"/>
      </w:r>
    </w:p>
    <w:p w14:paraId="3D823E3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_Toc12350 </w:instrText>
      </w:r>
      <w:r>
        <w:rPr>
          <w:rFonts w:ascii="Times New Roman" w:hAnsi="Times New Roman" w:cs="Times New Roman"/>
          <w:bCs/>
          <w:sz w:val="24"/>
          <w:szCs w:val="24"/>
        </w:rPr>
        <w:fldChar w:fldCharType="separate"/>
      </w:r>
      <w:r>
        <w:rPr>
          <w:rFonts w:ascii="Times New Roman" w:hAnsi="Times New Roman" w:cs="Times New Roman"/>
          <w:bCs/>
          <w:sz w:val="24"/>
          <w:szCs w:val="24"/>
        </w:rPr>
        <w:t xml:space="preserve">3.1 </w:t>
      </w:r>
      <w:r>
        <w:rPr>
          <w:rFonts w:hint="eastAsia" w:ascii="Times New Roman" w:hAnsi="Times New Roman" w:cs="宋体"/>
          <w:bCs/>
          <w:sz w:val="24"/>
          <w:szCs w:val="24"/>
        </w:rPr>
        <w:t>物料的危险、有害因素分析</w:t>
      </w:r>
      <w:r>
        <w:rPr>
          <w:sz w:val="24"/>
          <w:szCs w:val="24"/>
        </w:rPr>
        <w:tab/>
      </w:r>
      <w:r>
        <w:rPr>
          <w:sz w:val="24"/>
          <w:szCs w:val="24"/>
        </w:rPr>
        <w:fldChar w:fldCharType="begin"/>
      </w:r>
      <w:r>
        <w:rPr>
          <w:sz w:val="24"/>
          <w:szCs w:val="24"/>
        </w:rPr>
        <w:instrText xml:space="preserve"> PAGEREF _Toc12350 \h </w:instrText>
      </w:r>
      <w:r>
        <w:rPr>
          <w:sz w:val="24"/>
          <w:szCs w:val="24"/>
        </w:rPr>
        <w:fldChar w:fldCharType="separate"/>
      </w:r>
      <w:r>
        <w:rPr>
          <w:sz w:val="24"/>
          <w:szCs w:val="24"/>
        </w:rPr>
        <w:t>24</w:t>
      </w:r>
      <w:r>
        <w:rPr>
          <w:sz w:val="24"/>
          <w:szCs w:val="24"/>
        </w:rPr>
        <w:fldChar w:fldCharType="end"/>
      </w:r>
      <w:r>
        <w:rPr>
          <w:rFonts w:ascii="Times New Roman" w:hAnsi="Times New Roman" w:cs="Times New Roman"/>
          <w:bCs/>
          <w:color w:val="auto"/>
          <w:sz w:val="24"/>
          <w:szCs w:val="24"/>
        </w:rPr>
        <w:fldChar w:fldCharType="end"/>
      </w:r>
    </w:p>
    <w:p w14:paraId="2BD8BD2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_Toc8188 </w:instrText>
      </w:r>
      <w:r>
        <w:rPr>
          <w:rFonts w:ascii="Times New Roman" w:hAnsi="Times New Roman" w:cs="Times New Roman"/>
          <w:bCs/>
          <w:sz w:val="24"/>
          <w:szCs w:val="24"/>
        </w:rPr>
        <w:fldChar w:fldCharType="separate"/>
      </w:r>
      <w:r>
        <w:rPr>
          <w:sz w:val="24"/>
          <w:szCs w:val="24"/>
        </w:rPr>
        <w:t>3.2</w:t>
      </w:r>
      <w:r>
        <w:rPr>
          <w:rFonts w:hint="eastAsia" w:cs="宋体"/>
          <w:sz w:val="24"/>
          <w:szCs w:val="24"/>
        </w:rPr>
        <w:t>危险化学品及危险工艺辨识</w:t>
      </w:r>
      <w:r>
        <w:rPr>
          <w:sz w:val="24"/>
          <w:szCs w:val="24"/>
        </w:rPr>
        <w:tab/>
      </w:r>
      <w:r>
        <w:rPr>
          <w:sz w:val="24"/>
          <w:szCs w:val="24"/>
        </w:rPr>
        <w:fldChar w:fldCharType="begin"/>
      </w:r>
      <w:r>
        <w:rPr>
          <w:sz w:val="24"/>
          <w:szCs w:val="24"/>
        </w:rPr>
        <w:instrText xml:space="preserve"> PAGEREF _Toc8188 \h </w:instrText>
      </w:r>
      <w:r>
        <w:rPr>
          <w:sz w:val="24"/>
          <w:szCs w:val="24"/>
        </w:rPr>
        <w:fldChar w:fldCharType="separate"/>
      </w:r>
      <w:r>
        <w:rPr>
          <w:sz w:val="24"/>
          <w:szCs w:val="24"/>
        </w:rPr>
        <w:t>27</w:t>
      </w:r>
      <w:r>
        <w:rPr>
          <w:sz w:val="24"/>
          <w:szCs w:val="24"/>
        </w:rPr>
        <w:fldChar w:fldCharType="end"/>
      </w:r>
      <w:r>
        <w:rPr>
          <w:rFonts w:ascii="Times New Roman" w:hAnsi="Times New Roman" w:cs="Times New Roman"/>
          <w:bCs/>
          <w:color w:val="auto"/>
          <w:sz w:val="24"/>
          <w:szCs w:val="24"/>
        </w:rPr>
        <w:fldChar w:fldCharType="end"/>
      </w:r>
    </w:p>
    <w:p w14:paraId="046EBCA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_Toc19916 </w:instrText>
      </w:r>
      <w:r>
        <w:rPr>
          <w:rFonts w:ascii="Times New Roman" w:hAnsi="Times New Roman" w:cs="Times New Roman"/>
          <w:bCs/>
          <w:sz w:val="24"/>
          <w:szCs w:val="24"/>
        </w:rPr>
        <w:fldChar w:fldCharType="separate"/>
      </w:r>
      <w:r>
        <w:rPr>
          <w:rFonts w:ascii="Times New Roman" w:hAnsi="Times New Roman" w:cs="Times New Roman"/>
          <w:bCs/>
          <w:sz w:val="24"/>
          <w:szCs w:val="24"/>
        </w:rPr>
        <w:t xml:space="preserve">3.3 </w:t>
      </w:r>
      <w:r>
        <w:rPr>
          <w:rFonts w:hint="eastAsia" w:ascii="Times New Roman" w:hAnsi="Times New Roman" w:cs="宋体"/>
          <w:bCs/>
          <w:sz w:val="24"/>
          <w:szCs w:val="24"/>
        </w:rPr>
        <w:t>重大危险源辨识</w:t>
      </w:r>
      <w:r>
        <w:rPr>
          <w:sz w:val="24"/>
          <w:szCs w:val="24"/>
        </w:rPr>
        <w:tab/>
      </w:r>
      <w:r>
        <w:rPr>
          <w:sz w:val="24"/>
          <w:szCs w:val="24"/>
        </w:rPr>
        <w:fldChar w:fldCharType="begin"/>
      </w:r>
      <w:r>
        <w:rPr>
          <w:sz w:val="24"/>
          <w:szCs w:val="24"/>
        </w:rPr>
        <w:instrText xml:space="preserve"> PAGEREF _Toc19916 \h </w:instrText>
      </w:r>
      <w:r>
        <w:rPr>
          <w:sz w:val="24"/>
          <w:szCs w:val="24"/>
        </w:rPr>
        <w:fldChar w:fldCharType="separate"/>
      </w:r>
      <w:r>
        <w:rPr>
          <w:sz w:val="24"/>
          <w:szCs w:val="24"/>
        </w:rPr>
        <w:t>28</w:t>
      </w:r>
      <w:r>
        <w:rPr>
          <w:sz w:val="24"/>
          <w:szCs w:val="24"/>
        </w:rPr>
        <w:fldChar w:fldCharType="end"/>
      </w:r>
      <w:r>
        <w:rPr>
          <w:rFonts w:ascii="Times New Roman" w:hAnsi="Times New Roman" w:cs="Times New Roman"/>
          <w:bCs/>
          <w:color w:val="auto"/>
          <w:sz w:val="24"/>
          <w:szCs w:val="24"/>
        </w:rPr>
        <w:fldChar w:fldCharType="end"/>
      </w:r>
    </w:p>
    <w:p w14:paraId="72D0A53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_Toc13295 </w:instrText>
      </w:r>
      <w:r>
        <w:rPr>
          <w:rFonts w:ascii="Times New Roman" w:hAnsi="Times New Roman" w:cs="Times New Roman"/>
          <w:bCs/>
          <w:sz w:val="24"/>
          <w:szCs w:val="24"/>
        </w:rPr>
        <w:fldChar w:fldCharType="separate"/>
      </w:r>
      <w:r>
        <w:rPr>
          <w:rFonts w:ascii="Times New Roman" w:hAnsi="Times New Roman" w:cs="Times New Roman"/>
          <w:bCs/>
          <w:sz w:val="24"/>
          <w:szCs w:val="24"/>
        </w:rPr>
        <w:t>3.4</w:t>
      </w:r>
      <w:r>
        <w:rPr>
          <w:rFonts w:hint="eastAsia" w:ascii="Times New Roman" w:hAnsi="Times New Roman" w:cs="宋体"/>
          <w:bCs/>
          <w:sz w:val="24"/>
          <w:szCs w:val="24"/>
        </w:rPr>
        <w:t>加油站主要危险因素分析</w:t>
      </w:r>
      <w:r>
        <w:rPr>
          <w:sz w:val="24"/>
          <w:szCs w:val="24"/>
        </w:rPr>
        <w:tab/>
      </w:r>
      <w:r>
        <w:rPr>
          <w:sz w:val="24"/>
          <w:szCs w:val="24"/>
        </w:rPr>
        <w:fldChar w:fldCharType="begin"/>
      </w:r>
      <w:r>
        <w:rPr>
          <w:sz w:val="24"/>
          <w:szCs w:val="24"/>
        </w:rPr>
        <w:instrText xml:space="preserve"> PAGEREF _Toc13295 \h </w:instrText>
      </w:r>
      <w:r>
        <w:rPr>
          <w:sz w:val="24"/>
          <w:szCs w:val="24"/>
        </w:rPr>
        <w:fldChar w:fldCharType="separate"/>
      </w:r>
      <w:r>
        <w:rPr>
          <w:sz w:val="24"/>
          <w:szCs w:val="24"/>
        </w:rPr>
        <w:t>30</w:t>
      </w:r>
      <w:r>
        <w:rPr>
          <w:sz w:val="24"/>
          <w:szCs w:val="24"/>
        </w:rPr>
        <w:fldChar w:fldCharType="end"/>
      </w:r>
      <w:r>
        <w:rPr>
          <w:rFonts w:ascii="Times New Roman" w:hAnsi="Times New Roman" w:cs="Times New Roman"/>
          <w:bCs/>
          <w:color w:val="auto"/>
          <w:sz w:val="24"/>
          <w:szCs w:val="24"/>
        </w:rPr>
        <w:fldChar w:fldCharType="end"/>
      </w:r>
    </w:p>
    <w:p w14:paraId="3507FC4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_Toc16064 </w:instrText>
      </w:r>
      <w:r>
        <w:rPr>
          <w:rFonts w:ascii="Times New Roman" w:hAnsi="Times New Roman" w:cs="Times New Roman"/>
          <w:bCs/>
          <w:sz w:val="24"/>
          <w:szCs w:val="24"/>
        </w:rPr>
        <w:fldChar w:fldCharType="separate"/>
      </w:r>
      <w:r>
        <w:rPr>
          <w:rFonts w:ascii="Times New Roman" w:hAnsi="Times New Roman" w:cs="Times New Roman"/>
          <w:bCs/>
          <w:sz w:val="24"/>
          <w:szCs w:val="24"/>
        </w:rPr>
        <w:t>3.5</w:t>
      </w:r>
      <w:r>
        <w:rPr>
          <w:rFonts w:hint="eastAsia" w:ascii="Times New Roman" w:hAnsi="Times New Roman" w:cs="宋体"/>
          <w:bCs/>
          <w:sz w:val="24"/>
          <w:szCs w:val="24"/>
        </w:rPr>
        <w:t>经营过程中的危险辨识</w:t>
      </w:r>
      <w:r>
        <w:rPr>
          <w:sz w:val="24"/>
          <w:szCs w:val="24"/>
        </w:rPr>
        <w:tab/>
      </w:r>
      <w:r>
        <w:rPr>
          <w:sz w:val="24"/>
          <w:szCs w:val="24"/>
        </w:rPr>
        <w:fldChar w:fldCharType="begin"/>
      </w:r>
      <w:r>
        <w:rPr>
          <w:sz w:val="24"/>
          <w:szCs w:val="24"/>
        </w:rPr>
        <w:instrText xml:space="preserve"> PAGEREF _Toc16064 \h </w:instrText>
      </w:r>
      <w:r>
        <w:rPr>
          <w:sz w:val="24"/>
          <w:szCs w:val="24"/>
        </w:rPr>
        <w:fldChar w:fldCharType="separate"/>
      </w:r>
      <w:r>
        <w:rPr>
          <w:sz w:val="24"/>
          <w:szCs w:val="24"/>
        </w:rPr>
        <w:t>33</w:t>
      </w:r>
      <w:r>
        <w:rPr>
          <w:sz w:val="24"/>
          <w:szCs w:val="24"/>
        </w:rPr>
        <w:fldChar w:fldCharType="end"/>
      </w:r>
      <w:r>
        <w:rPr>
          <w:rFonts w:ascii="Times New Roman" w:hAnsi="Times New Roman" w:cs="Times New Roman"/>
          <w:bCs/>
          <w:color w:val="auto"/>
          <w:sz w:val="24"/>
          <w:szCs w:val="24"/>
        </w:rPr>
        <w:fldChar w:fldCharType="end"/>
      </w:r>
    </w:p>
    <w:p w14:paraId="073F8EA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_Toc719 </w:instrText>
      </w:r>
      <w:r>
        <w:rPr>
          <w:rFonts w:ascii="Times New Roman" w:hAnsi="Times New Roman" w:cs="Times New Roman"/>
          <w:bCs/>
          <w:sz w:val="24"/>
          <w:szCs w:val="24"/>
        </w:rPr>
        <w:fldChar w:fldCharType="separate"/>
      </w:r>
      <w:r>
        <w:rPr>
          <w:rFonts w:ascii="Times New Roman" w:hAnsi="Times New Roman" w:cs="Times New Roman"/>
          <w:bCs/>
          <w:sz w:val="24"/>
          <w:szCs w:val="24"/>
        </w:rPr>
        <w:t>3.6</w:t>
      </w:r>
      <w:r>
        <w:rPr>
          <w:rFonts w:hint="eastAsia" w:ascii="Times New Roman" w:hAnsi="Times New Roman" w:cs="宋体"/>
          <w:bCs/>
          <w:sz w:val="24"/>
          <w:szCs w:val="24"/>
        </w:rPr>
        <w:t>环境、自然危害因素分析</w:t>
      </w:r>
      <w:r>
        <w:rPr>
          <w:sz w:val="24"/>
          <w:szCs w:val="24"/>
        </w:rPr>
        <w:tab/>
      </w:r>
      <w:r>
        <w:rPr>
          <w:sz w:val="24"/>
          <w:szCs w:val="24"/>
        </w:rPr>
        <w:fldChar w:fldCharType="begin"/>
      </w:r>
      <w:r>
        <w:rPr>
          <w:sz w:val="24"/>
          <w:szCs w:val="24"/>
        </w:rPr>
        <w:instrText xml:space="preserve"> PAGEREF _Toc719 \h </w:instrText>
      </w:r>
      <w:r>
        <w:rPr>
          <w:sz w:val="24"/>
          <w:szCs w:val="24"/>
        </w:rPr>
        <w:fldChar w:fldCharType="separate"/>
      </w:r>
      <w:r>
        <w:rPr>
          <w:sz w:val="24"/>
          <w:szCs w:val="24"/>
        </w:rPr>
        <w:t>40</w:t>
      </w:r>
      <w:r>
        <w:rPr>
          <w:sz w:val="24"/>
          <w:szCs w:val="24"/>
        </w:rPr>
        <w:fldChar w:fldCharType="end"/>
      </w:r>
      <w:r>
        <w:rPr>
          <w:rFonts w:ascii="Times New Roman" w:hAnsi="Times New Roman" w:cs="Times New Roman"/>
          <w:bCs/>
          <w:color w:val="auto"/>
          <w:sz w:val="24"/>
          <w:szCs w:val="24"/>
        </w:rPr>
        <w:fldChar w:fldCharType="end"/>
      </w:r>
    </w:p>
    <w:p w14:paraId="467212C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_Toc29830 </w:instrText>
      </w:r>
      <w:r>
        <w:rPr>
          <w:rFonts w:ascii="Times New Roman" w:hAnsi="Times New Roman" w:cs="Times New Roman"/>
          <w:bCs/>
          <w:sz w:val="24"/>
          <w:szCs w:val="24"/>
        </w:rPr>
        <w:fldChar w:fldCharType="separate"/>
      </w:r>
      <w:r>
        <w:rPr>
          <w:rFonts w:ascii="Times New Roman" w:hAnsi="Times New Roman" w:cs="Times New Roman"/>
          <w:bCs/>
          <w:sz w:val="24"/>
          <w:szCs w:val="24"/>
        </w:rPr>
        <w:t>3.7</w:t>
      </w:r>
      <w:r>
        <w:rPr>
          <w:rFonts w:hint="eastAsia" w:ascii="Times New Roman" w:hAnsi="Times New Roman" w:cs="宋体"/>
          <w:bCs/>
          <w:sz w:val="24"/>
          <w:szCs w:val="24"/>
        </w:rPr>
        <w:t>有害因素分析</w:t>
      </w:r>
      <w:r>
        <w:rPr>
          <w:sz w:val="24"/>
          <w:szCs w:val="24"/>
        </w:rPr>
        <w:tab/>
      </w:r>
      <w:r>
        <w:rPr>
          <w:sz w:val="24"/>
          <w:szCs w:val="24"/>
        </w:rPr>
        <w:fldChar w:fldCharType="begin"/>
      </w:r>
      <w:r>
        <w:rPr>
          <w:sz w:val="24"/>
          <w:szCs w:val="24"/>
        </w:rPr>
        <w:instrText xml:space="preserve"> PAGEREF _Toc29830 \h </w:instrText>
      </w:r>
      <w:r>
        <w:rPr>
          <w:sz w:val="24"/>
          <w:szCs w:val="24"/>
        </w:rPr>
        <w:fldChar w:fldCharType="separate"/>
      </w:r>
      <w:r>
        <w:rPr>
          <w:sz w:val="24"/>
          <w:szCs w:val="24"/>
        </w:rPr>
        <w:t>41</w:t>
      </w:r>
      <w:r>
        <w:rPr>
          <w:sz w:val="24"/>
          <w:szCs w:val="24"/>
        </w:rPr>
        <w:fldChar w:fldCharType="end"/>
      </w:r>
      <w:r>
        <w:rPr>
          <w:rFonts w:ascii="Times New Roman" w:hAnsi="Times New Roman" w:cs="Times New Roman"/>
          <w:bCs/>
          <w:color w:val="auto"/>
          <w:sz w:val="24"/>
          <w:szCs w:val="24"/>
        </w:rPr>
        <w:fldChar w:fldCharType="end"/>
      </w:r>
    </w:p>
    <w:p w14:paraId="06EEAF0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_Toc25447 </w:instrText>
      </w:r>
      <w:r>
        <w:rPr>
          <w:rFonts w:ascii="Times New Roman" w:hAnsi="Times New Roman" w:cs="Times New Roman"/>
          <w:bCs/>
          <w:sz w:val="24"/>
          <w:szCs w:val="24"/>
        </w:rPr>
        <w:fldChar w:fldCharType="separate"/>
      </w:r>
      <w:r>
        <w:rPr>
          <w:rFonts w:ascii="Times New Roman" w:hAnsi="Times New Roman" w:cs="Times New Roman"/>
          <w:bCs/>
          <w:sz w:val="24"/>
          <w:szCs w:val="24"/>
        </w:rPr>
        <w:t>3.8</w:t>
      </w:r>
      <w:r>
        <w:rPr>
          <w:rFonts w:hint="eastAsia" w:ascii="Times New Roman" w:hAnsi="Times New Roman" w:cs="宋体"/>
          <w:bCs/>
          <w:sz w:val="24"/>
          <w:szCs w:val="24"/>
        </w:rPr>
        <w:t>危险和有害因素分析总结</w:t>
      </w:r>
      <w:r>
        <w:rPr>
          <w:sz w:val="24"/>
          <w:szCs w:val="24"/>
        </w:rPr>
        <w:tab/>
      </w:r>
      <w:r>
        <w:rPr>
          <w:sz w:val="24"/>
          <w:szCs w:val="24"/>
        </w:rPr>
        <w:fldChar w:fldCharType="begin"/>
      </w:r>
      <w:r>
        <w:rPr>
          <w:sz w:val="24"/>
          <w:szCs w:val="24"/>
        </w:rPr>
        <w:instrText xml:space="preserve"> PAGEREF _Toc25447 \h </w:instrText>
      </w:r>
      <w:r>
        <w:rPr>
          <w:sz w:val="24"/>
          <w:szCs w:val="24"/>
        </w:rPr>
        <w:fldChar w:fldCharType="separate"/>
      </w:r>
      <w:r>
        <w:rPr>
          <w:sz w:val="24"/>
          <w:szCs w:val="24"/>
        </w:rPr>
        <w:t>41</w:t>
      </w:r>
      <w:r>
        <w:rPr>
          <w:sz w:val="24"/>
          <w:szCs w:val="24"/>
        </w:rPr>
        <w:fldChar w:fldCharType="end"/>
      </w:r>
      <w:r>
        <w:rPr>
          <w:rFonts w:ascii="Times New Roman" w:hAnsi="Times New Roman" w:cs="Times New Roman"/>
          <w:bCs/>
          <w:color w:val="auto"/>
          <w:sz w:val="24"/>
          <w:szCs w:val="24"/>
        </w:rPr>
        <w:fldChar w:fldCharType="end"/>
      </w:r>
    </w:p>
    <w:p w14:paraId="0A38E50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_Toc4519 </w:instrText>
      </w:r>
      <w:r>
        <w:rPr>
          <w:rFonts w:ascii="Times New Roman" w:hAnsi="Times New Roman" w:cs="Times New Roman"/>
          <w:bCs/>
          <w:sz w:val="24"/>
          <w:szCs w:val="24"/>
        </w:rPr>
        <w:fldChar w:fldCharType="separate"/>
      </w:r>
      <w:r>
        <w:rPr>
          <w:rFonts w:ascii="Times New Roman" w:hAnsi="Times New Roman" w:cs="Times New Roman"/>
          <w:bCs/>
          <w:sz w:val="24"/>
          <w:szCs w:val="24"/>
        </w:rPr>
        <w:t>3.9</w:t>
      </w:r>
      <w:r>
        <w:rPr>
          <w:rFonts w:hint="eastAsia" w:ascii="Times New Roman" w:hAnsi="Times New Roman" w:cs="宋体"/>
          <w:bCs/>
          <w:sz w:val="24"/>
          <w:szCs w:val="24"/>
        </w:rPr>
        <w:t>爆炸危险区域划分</w:t>
      </w:r>
      <w:r>
        <w:rPr>
          <w:sz w:val="24"/>
          <w:szCs w:val="24"/>
        </w:rPr>
        <w:tab/>
      </w:r>
      <w:r>
        <w:rPr>
          <w:sz w:val="24"/>
          <w:szCs w:val="24"/>
        </w:rPr>
        <w:fldChar w:fldCharType="begin"/>
      </w:r>
      <w:r>
        <w:rPr>
          <w:sz w:val="24"/>
          <w:szCs w:val="24"/>
        </w:rPr>
        <w:instrText xml:space="preserve"> PAGEREF _Toc4519 \h </w:instrText>
      </w:r>
      <w:r>
        <w:rPr>
          <w:sz w:val="24"/>
          <w:szCs w:val="24"/>
        </w:rPr>
        <w:fldChar w:fldCharType="separate"/>
      </w:r>
      <w:r>
        <w:rPr>
          <w:sz w:val="24"/>
          <w:szCs w:val="24"/>
        </w:rPr>
        <w:t>42</w:t>
      </w:r>
      <w:r>
        <w:rPr>
          <w:sz w:val="24"/>
          <w:szCs w:val="24"/>
        </w:rPr>
        <w:fldChar w:fldCharType="end"/>
      </w:r>
      <w:r>
        <w:rPr>
          <w:rFonts w:ascii="Times New Roman" w:hAnsi="Times New Roman" w:cs="Times New Roman"/>
          <w:bCs/>
          <w:color w:val="auto"/>
          <w:sz w:val="24"/>
          <w:szCs w:val="24"/>
        </w:rPr>
        <w:fldChar w:fldCharType="end"/>
      </w:r>
    </w:p>
    <w:p w14:paraId="4B0183B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_Toc371 </w:instrText>
      </w:r>
      <w:r>
        <w:rPr>
          <w:rFonts w:ascii="Times New Roman" w:hAnsi="Times New Roman" w:cs="Times New Roman"/>
          <w:bCs/>
          <w:sz w:val="24"/>
          <w:szCs w:val="24"/>
        </w:rPr>
        <w:fldChar w:fldCharType="separate"/>
      </w:r>
      <w:r>
        <w:rPr>
          <w:rFonts w:ascii="Times New Roman" w:hAnsi="Times New Roman" w:cs="Times New Roman"/>
          <w:bCs/>
          <w:sz w:val="24"/>
          <w:szCs w:val="24"/>
        </w:rPr>
        <w:t xml:space="preserve">3.10 </w:t>
      </w:r>
      <w:r>
        <w:rPr>
          <w:rFonts w:hint="eastAsia" w:ascii="Times New Roman" w:hAnsi="Times New Roman" w:cs="宋体"/>
          <w:bCs/>
          <w:sz w:val="24"/>
          <w:szCs w:val="24"/>
        </w:rPr>
        <w:t>典型事故案例</w:t>
      </w:r>
      <w:r>
        <w:rPr>
          <w:sz w:val="24"/>
          <w:szCs w:val="24"/>
        </w:rPr>
        <w:tab/>
      </w:r>
      <w:r>
        <w:rPr>
          <w:sz w:val="24"/>
          <w:szCs w:val="24"/>
        </w:rPr>
        <w:fldChar w:fldCharType="begin"/>
      </w:r>
      <w:r>
        <w:rPr>
          <w:sz w:val="24"/>
          <w:szCs w:val="24"/>
        </w:rPr>
        <w:instrText xml:space="preserve"> PAGEREF _Toc371 \h </w:instrText>
      </w:r>
      <w:r>
        <w:rPr>
          <w:sz w:val="24"/>
          <w:szCs w:val="24"/>
        </w:rPr>
        <w:fldChar w:fldCharType="separate"/>
      </w:r>
      <w:r>
        <w:rPr>
          <w:sz w:val="24"/>
          <w:szCs w:val="24"/>
        </w:rPr>
        <w:t>43</w:t>
      </w:r>
      <w:r>
        <w:rPr>
          <w:sz w:val="24"/>
          <w:szCs w:val="24"/>
        </w:rPr>
        <w:fldChar w:fldCharType="end"/>
      </w:r>
      <w:r>
        <w:rPr>
          <w:rFonts w:ascii="Times New Roman" w:hAnsi="Times New Roman" w:cs="Times New Roman"/>
          <w:bCs/>
          <w:color w:val="auto"/>
          <w:sz w:val="24"/>
          <w:szCs w:val="24"/>
        </w:rPr>
        <w:fldChar w:fldCharType="end"/>
      </w:r>
    </w:p>
    <w:p w14:paraId="0F084055">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_Toc16599 </w:instrText>
      </w:r>
      <w:r>
        <w:rPr>
          <w:rFonts w:ascii="Times New Roman" w:hAnsi="Times New Roman" w:cs="Times New Roman"/>
          <w:bCs/>
          <w:sz w:val="24"/>
          <w:szCs w:val="24"/>
        </w:rPr>
        <w:fldChar w:fldCharType="separate"/>
      </w:r>
      <w:r>
        <w:rPr>
          <w:rFonts w:ascii="宋体" w:hAnsi="宋体"/>
          <w:sz w:val="24"/>
          <w:szCs w:val="24"/>
        </w:rPr>
        <w:t xml:space="preserve">4 </w:t>
      </w:r>
      <w:r>
        <w:rPr>
          <w:rFonts w:hint="eastAsia" w:ascii="宋体" w:hAnsi="宋体"/>
          <w:sz w:val="24"/>
          <w:szCs w:val="24"/>
        </w:rPr>
        <w:t>评价单元划分和评价方法选择</w:t>
      </w:r>
      <w:r>
        <w:rPr>
          <w:sz w:val="24"/>
          <w:szCs w:val="24"/>
        </w:rPr>
        <w:tab/>
      </w:r>
      <w:r>
        <w:rPr>
          <w:sz w:val="24"/>
          <w:szCs w:val="24"/>
        </w:rPr>
        <w:fldChar w:fldCharType="begin"/>
      </w:r>
      <w:r>
        <w:rPr>
          <w:sz w:val="24"/>
          <w:szCs w:val="24"/>
        </w:rPr>
        <w:instrText xml:space="preserve"> PAGEREF _Toc16599 \h </w:instrText>
      </w:r>
      <w:r>
        <w:rPr>
          <w:sz w:val="24"/>
          <w:szCs w:val="24"/>
        </w:rPr>
        <w:fldChar w:fldCharType="separate"/>
      </w:r>
      <w:r>
        <w:rPr>
          <w:sz w:val="24"/>
          <w:szCs w:val="24"/>
        </w:rPr>
        <w:t>45</w:t>
      </w:r>
      <w:r>
        <w:rPr>
          <w:sz w:val="24"/>
          <w:szCs w:val="24"/>
        </w:rPr>
        <w:fldChar w:fldCharType="end"/>
      </w:r>
      <w:r>
        <w:rPr>
          <w:rFonts w:ascii="Times New Roman" w:hAnsi="Times New Roman" w:cs="Times New Roman"/>
          <w:bCs/>
          <w:color w:val="auto"/>
          <w:sz w:val="24"/>
          <w:szCs w:val="24"/>
        </w:rPr>
        <w:fldChar w:fldCharType="end"/>
      </w:r>
    </w:p>
    <w:p w14:paraId="66C9EAE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_Toc6911 </w:instrText>
      </w:r>
      <w:r>
        <w:rPr>
          <w:rFonts w:ascii="Times New Roman" w:hAnsi="Times New Roman" w:cs="Times New Roman"/>
          <w:bCs/>
          <w:sz w:val="24"/>
          <w:szCs w:val="24"/>
        </w:rPr>
        <w:fldChar w:fldCharType="separate"/>
      </w:r>
      <w:r>
        <w:rPr>
          <w:rFonts w:ascii="宋体" w:hAnsi="宋体"/>
          <w:sz w:val="24"/>
          <w:szCs w:val="24"/>
        </w:rPr>
        <w:t xml:space="preserve">4.1 </w:t>
      </w:r>
      <w:r>
        <w:rPr>
          <w:rFonts w:hint="eastAsia" w:ascii="宋体" w:hAnsi="宋体"/>
          <w:sz w:val="24"/>
          <w:szCs w:val="24"/>
        </w:rPr>
        <w:t>评价单元的划分和评价方法选择</w:t>
      </w:r>
      <w:r>
        <w:rPr>
          <w:sz w:val="24"/>
          <w:szCs w:val="24"/>
        </w:rPr>
        <w:tab/>
      </w:r>
      <w:r>
        <w:rPr>
          <w:sz w:val="24"/>
          <w:szCs w:val="24"/>
        </w:rPr>
        <w:fldChar w:fldCharType="begin"/>
      </w:r>
      <w:r>
        <w:rPr>
          <w:sz w:val="24"/>
          <w:szCs w:val="24"/>
        </w:rPr>
        <w:instrText xml:space="preserve"> PAGEREF _Toc6911 \h </w:instrText>
      </w:r>
      <w:r>
        <w:rPr>
          <w:sz w:val="24"/>
          <w:szCs w:val="24"/>
        </w:rPr>
        <w:fldChar w:fldCharType="separate"/>
      </w:r>
      <w:r>
        <w:rPr>
          <w:sz w:val="24"/>
          <w:szCs w:val="24"/>
        </w:rPr>
        <w:t>45</w:t>
      </w:r>
      <w:r>
        <w:rPr>
          <w:sz w:val="24"/>
          <w:szCs w:val="24"/>
        </w:rPr>
        <w:fldChar w:fldCharType="end"/>
      </w:r>
      <w:r>
        <w:rPr>
          <w:rFonts w:ascii="Times New Roman" w:hAnsi="Times New Roman" w:cs="Times New Roman"/>
          <w:bCs/>
          <w:color w:val="auto"/>
          <w:sz w:val="24"/>
          <w:szCs w:val="24"/>
        </w:rPr>
        <w:fldChar w:fldCharType="end"/>
      </w:r>
    </w:p>
    <w:p w14:paraId="40C618C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_Toc13694 </w:instrText>
      </w:r>
      <w:r>
        <w:rPr>
          <w:rFonts w:ascii="Times New Roman" w:hAnsi="Times New Roman" w:cs="Times New Roman"/>
          <w:bCs/>
          <w:sz w:val="24"/>
          <w:szCs w:val="24"/>
        </w:rPr>
        <w:fldChar w:fldCharType="separate"/>
      </w:r>
      <w:r>
        <w:rPr>
          <w:rFonts w:ascii="宋体" w:hAnsi="宋体"/>
          <w:sz w:val="24"/>
          <w:szCs w:val="24"/>
        </w:rPr>
        <w:t>4.</w:t>
      </w:r>
      <w:r>
        <w:rPr>
          <w:rFonts w:hint="eastAsia" w:ascii="宋体" w:hAnsi="宋体"/>
          <w:sz w:val="24"/>
          <w:szCs w:val="24"/>
        </w:rPr>
        <w:t>2 评价方法简介</w:t>
      </w:r>
      <w:r>
        <w:rPr>
          <w:sz w:val="24"/>
          <w:szCs w:val="24"/>
        </w:rPr>
        <w:tab/>
      </w:r>
      <w:r>
        <w:rPr>
          <w:sz w:val="24"/>
          <w:szCs w:val="24"/>
        </w:rPr>
        <w:fldChar w:fldCharType="begin"/>
      </w:r>
      <w:r>
        <w:rPr>
          <w:sz w:val="24"/>
          <w:szCs w:val="24"/>
        </w:rPr>
        <w:instrText xml:space="preserve"> PAGEREF _Toc13694 \h </w:instrText>
      </w:r>
      <w:r>
        <w:rPr>
          <w:sz w:val="24"/>
          <w:szCs w:val="24"/>
        </w:rPr>
        <w:fldChar w:fldCharType="separate"/>
      </w:r>
      <w:r>
        <w:rPr>
          <w:sz w:val="24"/>
          <w:szCs w:val="24"/>
        </w:rPr>
        <w:t>45</w:t>
      </w:r>
      <w:r>
        <w:rPr>
          <w:sz w:val="24"/>
          <w:szCs w:val="24"/>
        </w:rPr>
        <w:fldChar w:fldCharType="end"/>
      </w:r>
      <w:r>
        <w:rPr>
          <w:rFonts w:ascii="Times New Roman" w:hAnsi="Times New Roman" w:cs="Times New Roman"/>
          <w:bCs/>
          <w:color w:val="auto"/>
          <w:sz w:val="24"/>
          <w:szCs w:val="24"/>
        </w:rPr>
        <w:fldChar w:fldCharType="end"/>
      </w:r>
    </w:p>
    <w:p w14:paraId="2765890C">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_Toc21842 </w:instrText>
      </w:r>
      <w:r>
        <w:rPr>
          <w:rFonts w:ascii="Times New Roman" w:hAnsi="Times New Roman" w:cs="Times New Roman"/>
          <w:bCs/>
          <w:sz w:val="24"/>
          <w:szCs w:val="24"/>
        </w:rPr>
        <w:fldChar w:fldCharType="separate"/>
      </w:r>
      <w:r>
        <w:rPr>
          <w:rFonts w:ascii="宋体" w:hAnsi="宋体"/>
          <w:sz w:val="24"/>
          <w:szCs w:val="24"/>
        </w:rPr>
        <w:t xml:space="preserve">5 </w:t>
      </w:r>
      <w:r>
        <w:rPr>
          <w:rFonts w:hint="eastAsia" w:ascii="宋体" w:hAnsi="宋体"/>
          <w:sz w:val="24"/>
          <w:szCs w:val="24"/>
        </w:rPr>
        <w:t>定性、定量评价</w:t>
      </w:r>
      <w:r>
        <w:rPr>
          <w:sz w:val="24"/>
          <w:szCs w:val="24"/>
        </w:rPr>
        <w:tab/>
      </w:r>
      <w:r>
        <w:rPr>
          <w:sz w:val="24"/>
          <w:szCs w:val="24"/>
        </w:rPr>
        <w:fldChar w:fldCharType="begin"/>
      </w:r>
      <w:r>
        <w:rPr>
          <w:sz w:val="24"/>
          <w:szCs w:val="24"/>
        </w:rPr>
        <w:instrText xml:space="preserve"> PAGEREF _Toc21842 \h </w:instrText>
      </w:r>
      <w:r>
        <w:rPr>
          <w:sz w:val="24"/>
          <w:szCs w:val="24"/>
        </w:rPr>
        <w:fldChar w:fldCharType="separate"/>
      </w:r>
      <w:r>
        <w:rPr>
          <w:sz w:val="24"/>
          <w:szCs w:val="24"/>
        </w:rPr>
        <w:t>50</w:t>
      </w:r>
      <w:r>
        <w:rPr>
          <w:sz w:val="24"/>
          <w:szCs w:val="24"/>
        </w:rPr>
        <w:fldChar w:fldCharType="end"/>
      </w:r>
      <w:r>
        <w:rPr>
          <w:rFonts w:ascii="Times New Roman" w:hAnsi="Times New Roman" w:cs="Times New Roman"/>
          <w:bCs/>
          <w:color w:val="auto"/>
          <w:sz w:val="24"/>
          <w:szCs w:val="24"/>
        </w:rPr>
        <w:fldChar w:fldCharType="end"/>
      </w:r>
    </w:p>
    <w:p w14:paraId="05B8E3C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_Toc10576 </w:instrText>
      </w:r>
      <w:r>
        <w:rPr>
          <w:rFonts w:ascii="Times New Roman" w:hAnsi="Times New Roman" w:cs="Times New Roman"/>
          <w:bCs/>
          <w:sz w:val="24"/>
          <w:szCs w:val="24"/>
        </w:rPr>
        <w:fldChar w:fldCharType="separate"/>
      </w:r>
      <w:r>
        <w:rPr>
          <w:rFonts w:ascii="宋体" w:hAnsi="宋体"/>
          <w:sz w:val="24"/>
          <w:szCs w:val="24"/>
        </w:rPr>
        <w:t>5.1 作业条件危险性评价法（</w:t>
      </w:r>
      <w:r>
        <w:rPr>
          <w:rFonts w:hint="eastAsia" w:ascii="宋体" w:hAnsi="宋体"/>
          <w:sz w:val="24"/>
          <w:szCs w:val="24"/>
        </w:rPr>
        <w:t>D＝</w:t>
      </w:r>
      <w:r>
        <w:rPr>
          <w:rFonts w:ascii="宋体" w:hAnsi="宋体"/>
          <w:sz w:val="24"/>
          <w:szCs w:val="24"/>
        </w:rPr>
        <w:t>LEC）</w:t>
      </w:r>
      <w:r>
        <w:rPr>
          <w:sz w:val="24"/>
          <w:szCs w:val="24"/>
        </w:rPr>
        <w:tab/>
      </w:r>
      <w:r>
        <w:rPr>
          <w:sz w:val="24"/>
          <w:szCs w:val="24"/>
        </w:rPr>
        <w:fldChar w:fldCharType="begin"/>
      </w:r>
      <w:r>
        <w:rPr>
          <w:sz w:val="24"/>
          <w:szCs w:val="24"/>
        </w:rPr>
        <w:instrText xml:space="preserve"> PAGEREF _Toc10576 \h </w:instrText>
      </w:r>
      <w:r>
        <w:rPr>
          <w:sz w:val="24"/>
          <w:szCs w:val="24"/>
        </w:rPr>
        <w:fldChar w:fldCharType="separate"/>
      </w:r>
      <w:r>
        <w:rPr>
          <w:sz w:val="24"/>
          <w:szCs w:val="24"/>
        </w:rPr>
        <w:t>50</w:t>
      </w:r>
      <w:r>
        <w:rPr>
          <w:sz w:val="24"/>
          <w:szCs w:val="24"/>
        </w:rPr>
        <w:fldChar w:fldCharType="end"/>
      </w:r>
      <w:r>
        <w:rPr>
          <w:rFonts w:ascii="Times New Roman" w:hAnsi="Times New Roman" w:cs="Times New Roman"/>
          <w:bCs/>
          <w:color w:val="auto"/>
          <w:sz w:val="24"/>
          <w:szCs w:val="24"/>
        </w:rPr>
        <w:fldChar w:fldCharType="end"/>
      </w:r>
    </w:p>
    <w:p w14:paraId="61F4E35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_Toc20117 </w:instrText>
      </w:r>
      <w:r>
        <w:rPr>
          <w:rFonts w:ascii="Times New Roman" w:hAnsi="Times New Roman" w:cs="Times New Roman"/>
          <w:bCs/>
          <w:sz w:val="24"/>
          <w:szCs w:val="24"/>
        </w:rPr>
        <w:fldChar w:fldCharType="separate"/>
      </w:r>
      <w:r>
        <w:rPr>
          <w:rFonts w:ascii="宋体" w:hAnsi="宋体"/>
          <w:sz w:val="24"/>
          <w:szCs w:val="24"/>
        </w:rPr>
        <w:t xml:space="preserve">5.2 </w:t>
      </w:r>
      <w:r>
        <w:rPr>
          <w:rFonts w:hint="eastAsia" w:ascii="宋体" w:hAnsi="宋体"/>
          <w:sz w:val="24"/>
          <w:szCs w:val="24"/>
        </w:rPr>
        <w:t>危险度评价</w:t>
      </w:r>
      <w:r>
        <w:rPr>
          <w:sz w:val="24"/>
          <w:szCs w:val="24"/>
        </w:rPr>
        <w:tab/>
      </w:r>
      <w:r>
        <w:rPr>
          <w:sz w:val="24"/>
          <w:szCs w:val="24"/>
        </w:rPr>
        <w:fldChar w:fldCharType="begin"/>
      </w:r>
      <w:r>
        <w:rPr>
          <w:sz w:val="24"/>
          <w:szCs w:val="24"/>
        </w:rPr>
        <w:instrText xml:space="preserve"> PAGEREF _Toc20117 \h </w:instrText>
      </w:r>
      <w:r>
        <w:rPr>
          <w:sz w:val="24"/>
          <w:szCs w:val="24"/>
        </w:rPr>
        <w:fldChar w:fldCharType="separate"/>
      </w:r>
      <w:r>
        <w:rPr>
          <w:sz w:val="24"/>
          <w:szCs w:val="24"/>
        </w:rPr>
        <w:t>52</w:t>
      </w:r>
      <w:r>
        <w:rPr>
          <w:sz w:val="24"/>
          <w:szCs w:val="24"/>
        </w:rPr>
        <w:fldChar w:fldCharType="end"/>
      </w:r>
      <w:r>
        <w:rPr>
          <w:rFonts w:ascii="Times New Roman" w:hAnsi="Times New Roman" w:cs="Times New Roman"/>
          <w:bCs/>
          <w:color w:val="auto"/>
          <w:sz w:val="24"/>
          <w:szCs w:val="24"/>
        </w:rPr>
        <w:fldChar w:fldCharType="end"/>
      </w:r>
    </w:p>
    <w:p w14:paraId="60297BC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_Toc2043 </w:instrText>
      </w:r>
      <w:r>
        <w:rPr>
          <w:rFonts w:ascii="Times New Roman" w:hAnsi="Times New Roman" w:cs="Times New Roman"/>
          <w:bCs/>
          <w:sz w:val="24"/>
          <w:szCs w:val="24"/>
        </w:rPr>
        <w:fldChar w:fldCharType="separate"/>
      </w:r>
      <w:r>
        <w:rPr>
          <w:rFonts w:hint="eastAsia" w:ascii="宋体" w:hAnsi="宋体"/>
          <w:sz w:val="24"/>
          <w:szCs w:val="24"/>
        </w:rPr>
        <w:t xml:space="preserve">5.3 </w:t>
      </w:r>
      <w:r>
        <w:rPr>
          <w:rFonts w:ascii="宋体" w:hAnsi="宋体"/>
          <w:sz w:val="24"/>
          <w:szCs w:val="24"/>
        </w:rPr>
        <w:t>安全管理</w:t>
      </w:r>
      <w:r>
        <w:rPr>
          <w:sz w:val="24"/>
          <w:szCs w:val="24"/>
        </w:rPr>
        <w:tab/>
      </w:r>
      <w:r>
        <w:rPr>
          <w:sz w:val="24"/>
          <w:szCs w:val="24"/>
        </w:rPr>
        <w:fldChar w:fldCharType="begin"/>
      </w:r>
      <w:r>
        <w:rPr>
          <w:sz w:val="24"/>
          <w:szCs w:val="24"/>
        </w:rPr>
        <w:instrText xml:space="preserve"> PAGEREF _Toc2043 \h </w:instrText>
      </w:r>
      <w:r>
        <w:rPr>
          <w:sz w:val="24"/>
          <w:szCs w:val="24"/>
        </w:rPr>
        <w:fldChar w:fldCharType="separate"/>
      </w:r>
      <w:r>
        <w:rPr>
          <w:sz w:val="24"/>
          <w:szCs w:val="24"/>
        </w:rPr>
        <w:t>52</w:t>
      </w:r>
      <w:r>
        <w:rPr>
          <w:sz w:val="24"/>
          <w:szCs w:val="24"/>
        </w:rPr>
        <w:fldChar w:fldCharType="end"/>
      </w:r>
      <w:r>
        <w:rPr>
          <w:rFonts w:ascii="Times New Roman" w:hAnsi="Times New Roman" w:cs="Times New Roman"/>
          <w:bCs/>
          <w:color w:val="auto"/>
          <w:sz w:val="24"/>
          <w:szCs w:val="24"/>
        </w:rPr>
        <w:fldChar w:fldCharType="end"/>
      </w:r>
    </w:p>
    <w:p w14:paraId="7F77324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_Toc31067 </w:instrText>
      </w:r>
      <w:r>
        <w:rPr>
          <w:rFonts w:ascii="Times New Roman" w:hAnsi="Times New Roman" w:cs="Times New Roman"/>
          <w:bCs/>
          <w:sz w:val="24"/>
          <w:szCs w:val="24"/>
        </w:rPr>
        <w:fldChar w:fldCharType="separate"/>
      </w:r>
      <w:r>
        <w:rPr>
          <w:rFonts w:hint="eastAsia" w:ascii="宋体" w:hAnsi="宋体"/>
          <w:sz w:val="24"/>
          <w:szCs w:val="24"/>
        </w:rPr>
        <w:t>5.4 站址选择符合性评价</w:t>
      </w:r>
      <w:r>
        <w:rPr>
          <w:sz w:val="24"/>
          <w:szCs w:val="24"/>
        </w:rPr>
        <w:tab/>
      </w:r>
      <w:r>
        <w:rPr>
          <w:sz w:val="24"/>
          <w:szCs w:val="24"/>
        </w:rPr>
        <w:fldChar w:fldCharType="begin"/>
      </w:r>
      <w:r>
        <w:rPr>
          <w:sz w:val="24"/>
          <w:szCs w:val="24"/>
        </w:rPr>
        <w:instrText xml:space="preserve"> PAGEREF _Toc31067 \h </w:instrText>
      </w:r>
      <w:r>
        <w:rPr>
          <w:sz w:val="24"/>
          <w:szCs w:val="24"/>
        </w:rPr>
        <w:fldChar w:fldCharType="separate"/>
      </w:r>
      <w:r>
        <w:rPr>
          <w:sz w:val="24"/>
          <w:szCs w:val="24"/>
        </w:rPr>
        <w:t>54</w:t>
      </w:r>
      <w:r>
        <w:rPr>
          <w:sz w:val="24"/>
          <w:szCs w:val="24"/>
        </w:rPr>
        <w:fldChar w:fldCharType="end"/>
      </w:r>
      <w:r>
        <w:rPr>
          <w:rFonts w:ascii="Times New Roman" w:hAnsi="Times New Roman" w:cs="Times New Roman"/>
          <w:bCs/>
          <w:color w:val="auto"/>
          <w:sz w:val="24"/>
          <w:szCs w:val="24"/>
        </w:rPr>
        <w:fldChar w:fldCharType="end"/>
      </w:r>
    </w:p>
    <w:p w14:paraId="37D2D5A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_Toc16628 </w:instrText>
      </w:r>
      <w:r>
        <w:rPr>
          <w:rFonts w:ascii="Times New Roman" w:hAnsi="Times New Roman" w:cs="Times New Roman"/>
          <w:bCs/>
          <w:sz w:val="24"/>
          <w:szCs w:val="24"/>
        </w:rPr>
        <w:fldChar w:fldCharType="separate"/>
      </w:r>
      <w:r>
        <w:rPr>
          <w:rFonts w:hint="eastAsia" w:ascii="宋体" w:hAnsi="宋体"/>
          <w:sz w:val="24"/>
          <w:szCs w:val="24"/>
        </w:rPr>
        <w:t>5.5 平面布置符合性评价</w:t>
      </w:r>
      <w:r>
        <w:rPr>
          <w:sz w:val="24"/>
          <w:szCs w:val="24"/>
        </w:rPr>
        <w:tab/>
      </w:r>
      <w:r>
        <w:rPr>
          <w:sz w:val="24"/>
          <w:szCs w:val="24"/>
        </w:rPr>
        <w:fldChar w:fldCharType="begin"/>
      </w:r>
      <w:r>
        <w:rPr>
          <w:sz w:val="24"/>
          <w:szCs w:val="24"/>
        </w:rPr>
        <w:instrText xml:space="preserve"> PAGEREF _Toc16628 \h </w:instrText>
      </w:r>
      <w:r>
        <w:rPr>
          <w:sz w:val="24"/>
          <w:szCs w:val="24"/>
        </w:rPr>
        <w:fldChar w:fldCharType="separate"/>
      </w:r>
      <w:r>
        <w:rPr>
          <w:sz w:val="24"/>
          <w:szCs w:val="24"/>
        </w:rPr>
        <w:t>55</w:t>
      </w:r>
      <w:r>
        <w:rPr>
          <w:sz w:val="24"/>
          <w:szCs w:val="24"/>
        </w:rPr>
        <w:fldChar w:fldCharType="end"/>
      </w:r>
      <w:r>
        <w:rPr>
          <w:rFonts w:ascii="Times New Roman" w:hAnsi="Times New Roman" w:cs="Times New Roman"/>
          <w:bCs/>
          <w:color w:val="auto"/>
          <w:sz w:val="24"/>
          <w:szCs w:val="24"/>
        </w:rPr>
        <w:fldChar w:fldCharType="end"/>
      </w:r>
    </w:p>
    <w:p w14:paraId="4190709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_Toc31149 </w:instrText>
      </w:r>
      <w:r>
        <w:rPr>
          <w:rFonts w:ascii="Times New Roman" w:hAnsi="Times New Roman" w:cs="Times New Roman"/>
          <w:bCs/>
          <w:sz w:val="24"/>
          <w:szCs w:val="24"/>
        </w:rPr>
        <w:fldChar w:fldCharType="separate"/>
      </w:r>
      <w:r>
        <w:rPr>
          <w:rFonts w:hint="eastAsia" w:ascii="宋体" w:hAnsi="宋体"/>
          <w:sz w:val="24"/>
          <w:szCs w:val="24"/>
        </w:rPr>
        <w:t>5.6 工艺及设施符合性评价</w:t>
      </w:r>
      <w:r>
        <w:rPr>
          <w:sz w:val="24"/>
          <w:szCs w:val="24"/>
        </w:rPr>
        <w:tab/>
      </w:r>
      <w:r>
        <w:rPr>
          <w:sz w:val="24"/>
          <w:szCs w:val="24"/>
        </w:rPr>
        <w:fldChar w:fldCharType="begin"/>
      </w:r>
      <w:r>
        <w:rPr>
          <w:sz w:val="24"/>
          <w:szCs w:val="24"/>
        </w:rPr>
        <w:instrText xml:space="preserve"> PAGEREF _Toc31149 \h </w:instrText>
      </w:r>
      <w:r>
        <w:rPr>
          <w:sz w:val="24"/>
          <w:szCs w:val="24"/>
        </w:rPr>
        <w:fldChar w:fldCharType="separate"/>
      </w:r>
      <w:r>
        <w:rPr>
          <w:sz w:val="24"/>
          <w:szCs w:val="24"/>
        </w:rPr>
        <w:t>58</w:t>
      </w:r>
      <w:r>
        <w:rPr>
          <w:sz w:val="24"/>
          <w:szCs w:val="24"/>
        </w:rPr>
        <w:fldChar w:fldCharType="end"/>
      </w:r>
      <w:r>
        <w:rPr>
          <w:rFonts w:ascii="Times New Roman" w:hAnsi="Times New Roman" w:cs="Times New Roman"/>
          <w:bCs/>
          <w:color w:val="auto"/>
          <w:sz w:val="24"/>
          <w:szCs w:val="24"/>
        </w:rPr>
        <w:fldChar w:fldCharType="end"/>
      </w:r>
    </w:p>
    <w:p w14:paraId="4EECB06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_Toc14562 </w:instrText>
      </w:r>
      <w:r>
        <w:rPr>
          <w:rFonts w:ascii="Times New Roman" w:hAnsi="Times New Roman" w:cs="Times New Roman"/>
          <w:bCs/>
          <w:sz w:val="24"/>
          <w:szCs w:val="24"/>
        </w:rPr>
        <w:fldChar w:fldCharType="separate"/>
      </w:r>
      <w:r>
        <w:rPr>
          <w:rFonts w:hint="eastAsia" w:ascii="宋体" w:hAnsi="宋体"/>
          <w:sz w:val="24"/>
          <w:szCs w:val="24"/>
        </w:rPr>
        <w:t>5.7 消防设施及给排水符合性评价</w:t>
      </w:r>
      <w:r>
        <w:rPr>
          <w:sz w:val="24"/>
          <w:szCs w:val="24"/>
        </w:rPr>
        <w:tab/>
      </w:r>
      <w:r>
        <w:rPr>
          <w:sz w:val="24"/>
          <w:szCs w:val="24"/>
        </w:rPr>
        <w:fldChar w:fldCharType="begin"/>
      </w:r>
      <w:r>
        <w:rPr>
          <w:sz w:val="24"/>
          <w:szCs w:val="24"/>
        </w:rPr>
        <w:instrText xml:space="preserve"> PAGEREF _Toc14562 \h </w:instrText>
      </w:r>
      <w:r>
        <w:rPr>
          <w:sz w:val="24"/>
          <w:szCs w:val="24"/>
        </w:rPr>
        <w:fldChar w:fldCharType="separate"/>
      </w:r>
      <w:r>
        <w:rPr>
          <w:sz w:val="24"/>
          <w:szCs w:val="24"/>
        </w:rPr>
        <w:t>62</w:t>
      </w:r>
      <w:r>
        <w:rPr>
          <w:sz w:val="24"/>
          <w:szCs w:val="24"/>
        </w:rPr>
        <w:fldChar w:fldCharType="end"/>
      </w:r>
      <w:r>
        <w:rPr>
          <w:rFonts w:ascii="Times New Roman" w:hAnsi="Times New Roman" w:cs="Times New Roman"/>
          <w:bCs/>
          <w:color w:val="auto"/>
          <w:sz w:val="24"/>
          <w:szCs w:val="24"/>
        </w:rPr>
        <w:fldChar w:fldCharType="end"/>
      </w:r>
    </w:p>
    <w:p w14:paraId="62FD05C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_Toc14164 </w:instrText>
      </w:r>
      <w:r>
        <w:rPr>
          <w:rFonts w:ascii="Times New Roman" w:hAnsi="Times New Roman" w:cs="Times New Roman"/>
          <w:bCs/>
          <w:sz w:val="24"/>
          <w:szCs w:val="24"/>
        </w:rPr>
        <w:fldChar w:fldCharType="separate"/>
      </w:r>
      <w:r>
        <w:rPr>
          <w:rFonts w:hint="eastAsia" w:ascii="宋体" w:hAnsi="宋体"/>
          <w:sz w:val="24"/>
          <w:szCs w:val="24"/>
        </w:rPr>
        <w:t>5.8 电气、报警和紧急切断系统符合性评价</w:t>
      </w:r>
      <w:r>
        <w:rPr>
          <w:sz w:val="24"/>
          <w:szCs w:val="24"/>
        </w:rPr>
        <w:tab/>
      </w:r>
      <w:r>
        <w:rPr>
          <w:sz w:val="24"/>
          <w:szCs w:val="24"/>
        </w:rPr>
        <w:fldChar w:fldCharType="begin"/>
      </w:r>
      <w:r>
        <w:rPr>
          <w:sz w:val="24"/>
          <w:szCs w:val="24"/>
        </w:rPr>
        <w:instrText xml:space="preserve"> PAGEREF _Toc14164 \h </w:instrText>
      </w:r>
      <w:r>
        <w:rPr>
          <w:sz w:val="24"/>
          <w:szCs w:val="24"/>
        </w:rPr>
        <w:fldChar w:fldCharType="separate"/>
      </w:r>
      <w:r>
        <w:rPr>
          <w:sz w:val="24"/>
          <w:szCs w:val="24"/>
        </w:rPr>
        <w:t>63</w:t>
      </w:r>
      <w:r>
        <w:rPr>
          <w:sz w:val="24"/>
          <w:szCs w:val="24"/>
        </w:rPr>
        <w:fldChar w:fldCharType="end"/>
      </w:r>
      <w:r>
        <w:rPr>
          <w:rFonts w:ascii="Times New Roman" w:hAnsi="Times New Roman" w:cs="Times New Roman"/>
          <w:bCs/>
          <w:color w:val="auto"/>
          <w:sz w:val="24"/>
          <w:szCs w:val="24"/>
        </w:rPr>
        <w:fldChar w:fldCharType="end"/>
      </w:r>
    </w:p>
    <w:p w14:paraId="4EEC3F5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_Toc24383 </w:instrText>
      </w:r>
      <w:r>
        <w:rPr>
          <w:rFonts w:ascii="Times New Roman" w:hAnsi="Times New Roman" w:cs="Times New Roman"/>
          <w:bCs/>
          <w:sz w:val="24"/>
          <w:szCs w:val="24"/>
        </w:rPr>
        <w:fldChar w:fldCharType="separate"/>
      </w:r>
      <w:r>
        <w:rPr>
          <w:rFonts w:hint="eastAsia" w:ascii="宋体" w:hAnsi="宋体"/>
          <w:sz w:val="24"/>
          <w:szCs w:val="24"/>
        </w:rPr>
        <w:t>5.9 采暖通风、建（构）筑物、绿化符合性评价</w:t>
      </w:r>
      <w:r>
        <w:rPr>
          <w:sz w:val="24"/>
          <w:szCs w:val="24"/>
        </w:rPr>
        <w:tab/>
      </w:r>
      <w:r>
        <w:rPr>
          <w:sz w:val="24"/>
          <w:szCs w:val="24"/>
        </w:rPr>
        <w:fldChar w:fldCharType="begin"/>
      </w:r>
      <w:r>
        <w:rPr>
          <w:sz w:val="24"/>
          <w:szCs w:val="24"/>
        </w:rPr>
        <w:instrText xml:space="preserve"> PAGEREF _Toc24383 \h </w:instrText>
      </w:r>
      <w:r>
        <w:rPr>
          <w:sz w:val="24"/>
          <w:szCs w:val="24"/>
        </w:rPr>
        <w:fldChar w:fldCharType="separate"/>
      </w:r>
      <w:r>
        <w:rPr>
          <w:sz w:val="24"/>
          <w:szCs w:val="24"/>
        </w:rPr>
        <w:t>65</w:t>
      </w:r>
      <w:r>
        <w:rPr>
          <w:sz w:val="24"/>
          <w:szCs w:val="24"/>
        </w:rPr>
        <w:fldChar w:fldCharType="end"/>
      </w:r>
      <w:r>
        <w:rPr>
          <w:rFonts w:ascii="Times New Roman" w:hAnsi="Times New Roman" w:cs="Times New Roman"/>
          <w:bCs/>
          <w:color w:val="auto"/>
          <w:sz w:val="24"/>
          <w:szCs w:val="24"/>
        </w:rPr>
        <w:fldChar w:fldCharType="end"/>
      </w:r>
    </w:p>
    <w:p w14:paraId="7F93A17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_Toc14183 </w:instrText>
      </w:r>
      <w:r>
        <w:rPr>
          <w:rFonts w:ascii="Times New Roman" w:hAnsi="Times New Roman" w:cs="Times New Roman"/>
          <w:bCs/>
          <w:sz w:val="24"/>
          <w:szCs w:val="24"/>
        </w:rPr>
        <w:fldChar w:fldCharType="separate"/>
      </w:r>
      <w:r>
        <w:rPr>
          <w:rFonts w:hint="eastAsia" w:ascii="宋体" w:hAnsi="宋体"/>
          <w:sz w:val="24"/>
          <w:szCs w:val="24"/>
        </w:rPr>
        <w:t>5.10加油站作业安全规范评价</w:t>
      </w:r>
      <w:r>
        <w:rPr>
          <w:sz w:val="24"/>
          <w:szCs w:val="24"/>
        </w:rPr>
        <w:tab/>
      </w:r>
      <w:r>
        <w:rPr>
          <w:sz w:val="24"/>
          <w:szCs w:val="24"/>
        </w:rPr>
        <w:fldChar w:fldCharType="begin"/>
      </w:r>
      <w:r>
        <w:rPr>
          <w:sz w:val="24"/>
          <w:szCs w:val="24"/>
        </w:rPr>
        <w:instrText xml:space="preserve"> PAGEREF _Toc14183 \h </w:instrText>
      </w:r>
      <w:r>
        <w:rPr>
          <w:sz w:val="24"/>
          <w:szCs w:val="24"/>
        </w:rPr>
        <w:fldChar w:fldCharType="separate"/>
      </w:r>
      <w:r>
        <w:rPr>
          <w:sz w:val="24"/>
          <w:szCs w:val="24"/>
        </w:rPr>
        <w:t>67</w:t>
      </w:r>
      <w:r>
        <w:rPr>
          <w:sz w:val="24"/>
          <w:szCs w:val="24"/>
        </w:rPr>
        <w:fldChar w:fldCharType="end"/>
      </w:r>
      <w:r>
        <w:rPr>
          <w:rFonts w:ascii="Times New Roman" w:hAnsi="Times New Roman" w:cs="Times New Roman"/>
          <w:bCs/>
          <w:color w:val="auto"/>
          <w:sz w:val="24"/>
          <w:szCs w:val="24"/>
        </w:rPr>
        <w:fldChar w:fldCharType="end"/>
      </w:r>
    </w:p>
    <w:p w14:paraId="09C9EC2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_Toc21030 </w:instrText>
      </w:r>
      <w:r>
        <w:rPr>
          <w:rFonts w:ascii="Times New Roman" w:hAnsi="Times New Roman" w:cs="Times New Roman"/>
          <w:bCs/>
          <w:sz w:val="24"/>
          <w:szCs w:val="24"/>
        </w:rPr>
        <w:fldChar w:fldCharType="separate"/>
      </w:r>
      <w:r>
        <w:rPr>
          <w:rFonts w:hint="eastAsia" w:ascii="宋体" w:hAnsi="宋体"/>
          <w:sz w:val="24"/>
          <w:szCs w:val="24"/>
        </w:rPr>
        <w:t>5.11 重点监管的危险化学品安全措施落实情况</w:t>
      </w:r>
      <w:r>
        <w:rPr>
          <w:sz w:val="24"/>
          <w:szCs w:val="24"/>
        </w:rPr>
        <w:tab/>
      </w:r>
      <w:r>
        <w:rPr>
          <w:sz w:val="24"/>
          <w:szCs w:val="24"/>
        </w:rPr>
        <w:fldChar w:fldCharType="begin"/>
      </w:r>
      <w:r>
        <w:rPr>
          <w:sz w:val="24"/>
          <w:szCs w:val="24"/>
        </w:rPr>
        <w:instrText xml:space="preserve"> PAGEREF _Toc21030 \h </w:instrText>
      </w:r>
      <w:r>
        <w:rPr>
          <w:sz w:val="24"/>
          <w:szCs w:val="24"/>
        </w:rPr>
        <w:fldChar w:fldCharType="separate"/>
      </w:r>
      <w:r>
        <w:rPr>
          <w:sz w:val="24"/>
          <w:szCs w:val="24"/>
        </w:rPr>
        <w:t>72</w:t>
      </w:r>
      <w:r>
        <w:rPr>
          <w:sz w:val="24"/>
          <w:szCs w:val="24"/>
        </w:rPr>
        <w:fldChar w:fldCharType="end"/>
      </w:r>
      <w:r>
        <w:rPr>
          <w:rFonts w:ascii="Times New Roman" w:hAnsi="Times New Roman" w:cs="Times New Roman"/>
          <w:bCs/>
          <w:color w:val="auto"/>
          <w:sz w:val="24"/>
          <w:szCs w:val="24"/>
        </w:rPr>
        <w:fldChar w:fldCharType="end"/>
      </w:r>
    </w:p>
    <w:p w14:paraId="45E8692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_Toc8050 </w:instrText>
      </w:r>
      <w:r>
        <w:rPr>
          <w:rFonts w:ascii="Times New Roman" w:hAnsi="Times New Roman" w:cs="Times New Roman"/>
          <w:bCs/>
          <w:sz w:val="24"/>
          <w:szCs w:val="24"/>
        </w:rPr>
        <w:fldChar w:fldCharType="separate"/>
      </w:r>
      <w:r>
        <w:rPr>
          <w:rFonts w:hint="eastAsia" w:ascii="宋体" w:hAnsi="宋体"/>
          <w:sz w:val="24"/>
          <w:szCs w:val="24"/>
        </w:rPr>
        <w:t>5.12 重大事故隐患情况分析</w:t>
      </w:r>
      <w:r>
        <w:rPr>
          <w:sz w:val="24"/>
          <w:szCs w:val="24"/>
        </w:rPr>
        <w:tab/>
      </w:r>
      <w:r>
        <w:rPr>
          <w:sz w:val="24"/>
          <w:szCs w:val="24"/>
        </w:rPr>
        <w:fldChar w:fldCharType="begin"/>
      </w:r>
      <w:r>
        <w:rPr>
          <w:sz w:val="24"/>
          <w:szCs w:val="24"/>
        </w:rPr>
        <w:instrText xml:space="preserve"> PAGEREF _Toc8050 \h </w:instrText>
      </w:r>
      <w:r>
        <w:rPr>
          <w:sz w:val="24"/>
          <w:szCs w:val="24"/>
        </w:rPr>
        <w:fldChar w:fldCharType="separate"/>
      </w:r>
      <w:r>
        <w:rPr>
          <w:sz w:val="24"/>
          <w:szCs w:val="24"/>
        </w:rPr>
        <w:t>74</w:t>
      </w:r>
      <w:r>
        <w:rPr>
          <w:sz w:val="24"/>
          <w:szCs w:val="24"/>
        </w:rPr>
        <w:fldChar w:fldCharType="end"/>
      </w:r>
      <w:r>
        <w:rPr>
          <w:rFonts w:ascii="Times New Roman" w:hAnsi="Times New Roman" w:cs="Times New Roman"/>
          <w:bCs/>
          <w:color w:val="auto"/>
          <w:sz w:val="24"/>
          <w:szCs w:val="24"/>
        </w:rPr>
        <w:fldChar w:fldCharType="end"/>
      </w:r>
    </w:p>
    <w:p w14:paraId="4FA4879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_Toc2407 </w:instrText>
      </w:r>
      <w:r>
        <w:rPr>
          <w:rFonts w:ascii="Times New Roman" w:hAnsi="Times New Roman" w:cs="Times New Roman"/>
          <w:bCs/>
          <w:sz w:val="24"/>
          <w:szCs w:val="24"/>
        </w:rPr>
        <w:fldChar w:fldCharType="separate"/>
      </w:r>
      <w:r>
        <w:rPr>
          <w:rFonts w:hint="eastAsia" w:ascii="宋体" w:hAnsi="宋体"/>
          <w:sz w:val="24"/>
          <w:szCs w:val="24"/>
        </w:rPr>
        <w:t>5.13 安全分类整治评价</w:t>
      </w:r>
      <w:r>
        <w:rPr>
          <w:sz w:val="24"/>
          <w:szCs w:val="24"/>
        </w:rPr>
        <w:tab/>
      </w:r>
      <w:r>
        <w:rPr>
          <w:sz w:val="24"/>
          <w:szCs w:val="24"/>
        </w:rPr>
        <w:fldChar w:fldCharType="begin"/>
      </w:r>
      <w:r>
        <w:rPr>
          <w:sz w:val="24"/>
          <w:szCs w:val="24"/>
        </w:rPr>
        <w:instrText xml:space="preserve"> PAGEREF _Toc2407 \h </w:instrText>
      </w:r>
      <w:r>
        <w:rPr>
          <w:sz w:val="24"/>
          <w:szCs w:val="24"/>
        </w:rPr>
        <w:fldChar w:fldCharType="separate"/>
      </w:r>
      <w:r>
        <w:rPr>
          <w:sz w:val="24"/>
          <w:szCs w:val="24"/>
        </w:rPr>
        <w:t>76</w:t>
      </w:r>
      <w:r>
        <w:rPr>
          <w:sz w:val="24"/>
          <w:szCs w:val="24"/>
        </w:rPr>
        <w:fldChar w:fldCharType="end"/>
      </w:r>
      <w:r>
        <w:rPr>
          <w:rFonts w:ascii="Times New Roman" w:hAnsi="Times New Roman" w:cs="Times New Roman"/>
          <w:bCs/>
          <w:color w:val="auto"/>
          <w:sz w:val="24"/>
          <w:szCs w:val="24"/>
        </w:rPr>
        <w:fldChar w:fldCharType="end"/>
      </w:r>
    </w:p>
    <w:p w14:paraId="686D289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_Toc5807 </w:instrText>
      </w:r>
      <w:r>
        <w:rPr>
          <w:rFonts w:ascii="Times New Roman" w:hAnsi="Times New Roman" w:cs="Times New Roman"/>
          <w:bCs/>
          <w:sz w:val="24"/>
          <w:szCs w:val="24"/>
        </w:rPr>
        <w:fldChar w:fldCharType="separate"/>
      </w:r>
      <w:r>
        <w:rPr>
          <w:rFonts w:hint="eastAsia" w:ascii="宋体" w:hAnsi="宋体"/>
          <w:sz w:val="24"/>
          <w:szCs w:val="24"/>
        </w:rPr>
        <w:t>5.14 安全经营条件评价</w:t>
      </w:r>
      <w:r>
        <w:rPr>
          <w:sz w:val="24"/>
          <w:szCs w:val="24"/>
        </w:rPr>
        <w:tab/>
      </w:r>
      <w:r>
        <w:rPr>
          <w:sz w:val="24"/>
          <w:szCs w:val="24"/>
        </w:rPr>
        <w:fldChar w:fldCharType="begin"/>
      </w:r>
      <w:r>
        <w:rPr>
          <w:sz w:val="24"/>
          <w:szCs w:val="24"/>
        </w:rPr>
        <w:instrText xml:space="preserve"> PAGEREF _Toc5807 \h </w:instrText>
      </w:r>
      <w:r>
        <w:rPr>
          <w:sz w:val="24"/>
          <w:szCs w:val="24"/>
        </w:rPr>
        <w:fldChar w:fldCharType="separate"/>
      </w:r>
      <w:r>
        <w:rPr>
          <w:sz w:val="24"/>
          <w:szCs w:val="24"/>
        </w:rPr>
        <w:t>82</w:t>
      </w:r>
      <w:r>
        <w:rPr>
          <w:sz w:val="24"/>
          <w:szCs w:val="24"/>
        </w:rPr>
        <w:fldChar w:fldCharType="end"/>
      </w:r>
      <w:r>
        <w:rPr>
          <w:rFonts w:ascii="Times New Roman" w:hAnsi="Times New Roman" w:cs="Times New Roman"/>
          <w:bCs/>
          <w:color w:val="auto"/>
          <w:sz w:val="24"/>
          <w:szCs w:val="24"/>
        </w:rPr>
        <w:fldChar w:fldCharType="end"/>
      </w:r>
    </w:p>
    <w:p w14:paraId="288E319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_Toc2897 </w:instrText>
      </w:r>
      <w:r>
        <w:rPr>
          <w:rFonts w:ascii="Times New Roman" w:hAnsi="Times New Roman" w:cs="Times New Roman"/>
          <w:bCs/>
          <w:sz w:val="24"/>
          <w:szCs w:val="24"/>
        </w:rPr>
        <w:fldChar w:fldCharType="separate"/>
      </w:r>
      <w:r>
        <w:rPr>
          <w:rFonts w:hint="eastAsia" w:ascii="宋体" w:hAnsi="宋体"/>
          <w:sz w:val="24"/>
          <w:szCs w:val="24"/>
        </w:rPr>
        <w:t>5.15 安全设施符合性诊断及整改设计提出的对策措施采纳情况</w:t>
      </w:r>
      <w:r>
        <w:rPr>
          <w:sz w:val="24"/>
          <w:szCs w:val="24"/>
        </w:rPr>
        <w:tab/>
      </w:r>
      <w:r>
        <w:rPr>
          <w:sz w:val="24"/>
          <w:szCs w:val="24"/>
        </w:rPr>
        <w:fldChar w:fldCharType="begin"/>
      </w:r>
      <w:r>
        <w:rPr>
          <w:sz w:val="24"/>
          <w:szCs w:val="24"/>
        </w:rPr>
        <w:instrText xml:space="preserve"> PAGEREF _Toc2897 \h </w:instrText>
      </w:r>
      <w:r>
        <w:rPr>
          <w:sz w:val="24"/>
          <w:szCs w:val="24"/>
        </w:rPr>
        <w:fldChar w:fldCharType="separate"/>
      </w:r>
      <w:r>
        <w:rPr>
          <w:sz w:val="24"/>
          <w:szCs w:val="24"/>
        </w:rPr>
        <w:t>83</w:t>
      </w:r>
      <w:r>
        <w:rPr>
          <w:sz w:val="24"/>
          <w:szCs w:val="24"/>
        </w:rPr>
        <w:fldChar w:fldCharType="end"/>
      </w:r>
      <w:r>
        <w:rPr>
          <w:rFonts w:ascii="Times New Roman" w:hAnsi="Times New Roman" w:cs="Times New Roman"/>
          <w:bCs/>
          <w:color w:val="auto"/>
          <w:sz w:val="24"/>
          <w:szCs w:val="24"/>
        </w:rPr>
        <w:fldChar w:fldCharType="end"/>
      </w:r>
    </w:p>
    <w:p w14:paraId="1270FA6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_Toc7719 </w:instrText>
      </w:r>
      <w:r>
        <w:rPr>
          <w:rFonts w:ascii="Times New Roman" w:hAnsi="Times New Roman" w:cs="Times New Roman"/>
          <w:bCs/>
          <w:sz w:val="24"/>
          <w:szCs w:val="24"/>
        </w:rPr>
        <w:fldChar w:fldCharType="separate"/>
      </w:r>
      <w:r>
        <w:rPr>
          <w:rFonts w:ascii="宋体" w:hAnsi="宋体"/>
          <w:sz w:val="24"/>
          <w:szCs w:val="24"/>
        </w:rPr>
        <w:t>5.</w:t>
      </w:r>
      <w:r>
        <w:rPr>
          <w:rFonts w:hint="eastAsia" w:ascii="宋体" w:hAnsi="宋体"/>
          <w:sz w:val="24"/>
          <w:szCs w:val="24"/>
        </w:rPr>
        <w:t>16</w:t>
      </w:r>
      <w:r>
        <w:rPr>
          <w:rFonts w:ascii="宋体" w:hAnsi="宋体"/>
          <w:sz w:val="24"/>
          <w:szCs w:val="24"/>
        </w:rPr>
        <w:t xml:space="preserve"> 加油站安全检查表</w:t>
      </w:r>
      <w:r>
        <w:rPr>
          <w:sz w:val="24"/>
          <w:szCs w:val="24"/>
        </w:rPr>
        <w:tab/>
      </w:r>
      <w:r>
        <w:rPr>
          <w:sz w:val="24"/>
          <w:szCs w:val="24"/>
        </w:rPr>
        <w:fldChar w:fldCharType="begin"/>
      </w:r>
      <w:r>
        <w:rPr>
          <w:sz w:val="24"/>
          <w:szCs w:val="24"/>
        </w:rPr>
        <w:instrText xml:space="preserve"> PAGEREF _Toc7719 \h </w:instrText>
      </w:r>
      <w:r>
        <w:rPr>
          <w:sz w:val="24"/>
          <w:szCs w:val="24"/>
        </w:rPr>
        <w:fldChar w:fldCharType="separate"/>
      </w:r>
      <w:r>
        <w:rPr>
          <w:sz w:val="24"/>
          <w:szCs w:val="24"/>
        </w:rPr>
        <w:t>91</w:t>
      </w:r>
      <w:r>
        <w:rPr>
          <w:sz w:val="24"/>
          <w:szCs w:val="24"/>
        </w:rPr>
        <w:fldChar w:fldCharType="end"/>
      </w:r>
      <w:r>
        <w:rPr>
          <w:rFonts w:ascii="Times New Roman" w:hAnsi="Times New Roman" w:cs="Times New Roman"/>
          <w:bCs/>
          <w:color w:val="auto"/>
          <w:sz w:val="24"/>
          <w:szCs w:val="24"/>
        </w:rPr>
        <w:fldChar w:fldCharType="end"/>
      </w:r>
    </w:p>
    <w:p w14:paraId="34BD9D8A">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_Toc225 </w:instrText>
      </w:r>
      <w:r>
        <w:rPr>
          <w:rFonts w:ascii="Times New Roman" w:hAnsi="Times New Roman" w:cs="Times New Roman"/>
          <w:bCs/>
          <w:sz w:val="24"/>
          <w:szCs w:val="24"/>
        </w:rPr>
        <w:fldChar w:fldCharType="separate"/>
      </w:r>
      <w:r>
        <w:rPr>
          <w:rFonts w:hint="eastAsia" w:ascii="Times New Roman" w:hAnsi="Times New Roman" w:cs="Times New Roman"/>
          <w:bCs/>
          <w:kern w:val="36"/>
          <w:sz w:val="24"/>
          <w:szCs w:val="24"/>
        </w:rPr>
        <w:t>6</w:t>
      </w:r>
      <w:r>
        <w:rPr>
          <w:rFonts w:ascii="Times New Roman" w:hAnsi="Times New Roman" w:cs="Times New Roman"/>
          <w:bCs/>
          <w:kern w:val="36"/>
          <w:sz w:val="24"/>
          <w:szCs w:val="24"/>
        </w:rPr>
        <w:t xml:space="preserve"> </w:t>
      </w:r>
      <w:r>
        <w:rPr>
          <w:rFonts w:hint="eastAsia" w:ascii="Times New Roman" w:hAnsi="Times New Roman" w:cs="宋体"/>
          <w:bCs/>
          <w:kern w:val="36"/>
          <w:sz w:val="24"/>
          <w:szCs w:val="24"/>
        </w:rPr>
        <w:t>整改落实情况</w:t>
      </w:r>
      <w:r>
        <w:rPr>
          <w:sz w:val="24"/>
          <w:szCs w:val="24"/>
        </w:rPr>
        <w:tab/>
      </w:r>
      <w:r>
        <w:rPr>
          <w:sz w:val="24"/>
          <w:szCs w:val="24"/>
        </w:rPr>
        <w:fldChar w:fldCharType="begin"/>
      </w:r>
      <w:r>
        <w:rPr>
          <w:sz w:val="24"/>
          <w:szCs w:val="24"/>
        </w:rPr>
        <w:instrText xml:space="preserve"> PAGEREF _Toc225 \h </w:instrText>
      </w:r>
      <w:r>
        <w:rPr>
          <w:sz w:val="24"/>
          <w:szCs w:val="24"/>
        </w:rPr>
        <w:fldChar w:fldCharType="separate"/>
      </w:r>
      <w:r>
        <w:rPr>
          <w:sz w:val="24"/>
          <w:szCs w:val="24"/>
        </w:rPr>
        <w:t>98</w:t>
      </w:r>
      <w:r>
        <w:rPr>
          <w:sz w:val="24"/>
          <w:szCs w:val="24"/>
        </w:rPr>
        <w:fldChar w:fldCharType="end"/>
      </w:r>
      <w:r>
        <w:rPr>
          <w:rFonts w:ascii="Times New Roman" w:hAnsi="Times New Roman" w:cs="Times New Roman"/>
          <w:bCs/>
          <w:color w:val="auto"/>
          <w:sz w:val="24"/>
          <w:szCs w:val="24"/>
        </w:rPr>
        <w:fldChar w:fldCharType="end"/>
      </w:r>
    </w:p>
    <w:p w14:paraId="6194762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_Toc32436 </w:instrText>
      </w:r>
      <w:r>
        <w:rPr>
          <w:rFonts w:ascii="Times New Roman" w:hAnsi="Times New Roman" w:cs="Times New Roman"/>
          <w:bCs/>
          <w:sz w:val="24"/>
          <w:szCs w:val="24"/>
        </w:rPr>
        <w:fldChar w:fldCharType="separate"/>
      </w:r>
      <w:r>
        <w:rPr>
          <w:rFonts w:hint="eastAsia" w:ascii="Times New Roman" w:hAnsi="Times New Roman" w:cs="Times New Roman"/>
          <w:bCs/>
          <w:sz w:val="24"/>
          <w:szCs w:val="24"/>
        </w:rPr>
        <w:t>6.1</w:t>
      </w:r>
      <w:r>
        <w:rPr>
          <w:rFonts w:ascii="Times New Roman" w:hAnsi="Times New Roman" w:cs="Times New Roman"/>
          <w:bCs/>
          <w:sz w:val="24"/>
          <w:szCs w:val="24"/>
        </w:rPr>
        <w:t xml:space="preserve"> </w:t>
      </w:r>
      <w:r>
        <w:rPr>
          <w:rFonts w:hint="eastAsia" w:ascii="宋体" w:hAnsi="宋体" w:cs="宋体"/>
          <w:bCs/>
          <w:sz w:val="24"/>
          <w:szCs w:val="24"/>
        </w:rPr>
        <w:t>安全设施符合性诊断及整改设计提出的整改项落实情况</w:t>
      </w:r>
      <w:r>
        <w:rPr>
          <w:sz w:val="24"/>
          <w:szCs w:val="24"/>
        </w:rPr>
        <w:tab/>
      </w:r>
      <w:r>
        <w:rPr>
          <w:sz w:val="24"/>
          <w:szCs w:val="24"/>
        </w:rPr>
        <w:fldChar w:fldCharType="begin"/>
      </w:r>
      <w:r>
        <w:rPr>
          <w:sz w:val="24"/>
          <w:szCs w:val="24"/>
        </w:rPr>
        <w:instrText xml:space="preserve"> PAGEREF _Toc32436 \h </w:instrText>
      </w:r>
      <w:r>
        <w:rPr>
          <w:sz w:val="24"/>
          <w:szCs w:val="24"/>
        </w:rPr>
        <w:fldChar w:fldCharType="separate"/>
      </w:r>
      <w:r>
        <w:rPr>
          <w:sz w:val="24"/>
          <w:szCs w:val="24"/>
        </w:rPr>
        <w:t>98</w:t>
      </w:r>
      <w:r>
        <w:rPr>
          <w:sz w:val="24"/>
          <w:szCs w:val="24"/>
        </w:rPr>
        <w:fldChar w:fldCharType="end"/>
      </w:r>
      <w:r>
        <w:rPr>
          <w:rFonts w:ascii="Times New Roman" w:hAnsi="Times New Roman" w:cs="Times New Roman"/>
          <w:bCs/>
          <w:color w:val="auto"/>
          <w:sz w:val="24"/>
          <w:szCs w:val="24"/>
        </w:rPr>
        <w:fldChar w:fldCharType="end"/>
      </w:r>
    </w:p>
    <w:p w14:paraId="7E92F63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_Toc27687 </w:instrText>
      </w:r>
      <w:r>
        <w:rPr>
          <w:rFonts w:ascii="Times New Roman" w:hAnsi="Times New Roman" w:cs="Times New Roman"/>
          <w:bCs/>
          <w:sz w:val="24"/>
          <w:szCs w:val="24"/>
        </w:rPr>
        <w:fldChar w:fldCharType="separate"/>
      </w:r>
      <w:r>
        <w:rPr>
          <w:rFonts w:hint="eastAsia" w:ascii="Times New Roman" w:hAnsi="Times New Roman" w:cs="Times New Roman"/>
          <w:bCs/>
          <w:sz w:val="24"/>
          <w:szCs w:val="24"/>
        </w:rPr>
        <w:t>6</w:t>
      </w:r>
      <w:r>
        <w:rPr>
          <w:rFonts w:ascii="Times New Roman" w:hAnsi="Times New Roman" w:cs="Times New Roman"/>
          <w:bCs/>
          <w:sz w:val="24"/>
          <w:szCs w:val="24"/>
        </w:rPr>
        <w:t>.</w:t>
      </w:r>
      <w:r>
        <w:rPr>
          <w:rFonts w:hint="eastAsia" w:ascii="Times New Roman" w:hAnsi="Times New Roman" w:cs="Times New Roman"/>
          <w:bCs/>
          <w:sz w:val="24"/>
          <w:szCs w:val="24"/>
        </w:rPr>
        <w:t>2</w:t>
      </w:r>
      <w:r>
        <w:rPr>
          <w:rFonts w:hint="eastAsia" w:ascii="Times New Roman" w:hAnsi="Times New Roman" w:cs="宋体"/>
          <w:bCs/>
          <w:sz w:val="24"/>
          <w:szCs w:val="24"/>
        </w:rPr>
        <w:t>隐患整改措施</w:t>
      </w:r>
      <w:r>
        <w:rPr>
          <w:sz w:val="24"/>
          <w:szCs w:val="24"/>
        </w:rPr>
        <w:tab/>
      </w:r>
      <w:r>
        <w:rPr>
          <w:sz w:val="24"/>
          <w:szCs w:val="24"/>
        </w:rPr>
        <w:fldChar w:fldCharType="begin"/>
      </w:r>
      <w:r>
        <w:rPr>
          <w:sz w:val="24"/>
          <w:szCs w:val="24"/>
        </w:rPr>
        <w:instrText xml:space="preserve"> PAGEREF _Toc27687 \h </w:instrText>
      </w:r>
      <w:r>
        <w:rPr>
          <w:sz w:val="24"/>
          <w:szCs w:val="24"/>
        </w:rPr>
        <w:fldChar w:fldCharType="separate"/>
      </w:r>
      <w:r>
        <w:rPr>
          <w:sz w:val="24"/>
          <w:szCs w:val="24"/>
        </w:rPr>
        <w:t>98</w:t>
      </w:r>
      <w:r>
        <w:rPr>
          <w:sz w:val="24"/>
          <w:szCs w:val="24"/>
        </w:rPr>
        <w:fldChar w:fldCharType="end"/>
      </w:r>
      <w:r>
        <w:rPr>
          <w:rFonts w:ascii="Times New Roman" w:hAnsi="Times New Roman" w:cs="Times New Roman"/>
          <w:bCs/>
          <w:color w:val="auto"/>
          <w:sz w:val="24"/>
          <w:szCs w:val="24"/>
        </w:rPr>
        <w:fldChar w:fldCharType="end"/>
      </w:r>
    </w:p>
    <w:p w14:paraId="2613ACB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_Toc9275 </w:instrText>
      </w:r>
      <w:r>
        <w:rPr>
          <w:rFonts w:ascii="Times New Roman" w:hAnsi="Times New Roman" w:cs="Times New Roman"/>
          <w:bCs/>
          <w:sz w:val="24"/>
          <w:szCs w:val="24"/>
        </w:rPr>
        <w:fldChar w:fldCharType="separate"/>
      </w:r>
      <w:r>
        <w:rPr>
          <w:rFonts w:hint="eastAsia" w:ascii="Times New Roman" w:hAnsi="Times New Roman" w:cs="Times New Roman"/>
          <w:bCs/>
          <w:sz w:val="24"/>
          <w:szCs w:val="24"/>
        </w:rPr>
        <w:t>6</w:t>
      </w:r>
      <w:r>
        <w:rPr>
          <w:rFonts w:ascii="Times New Roman" w:hAnsi="Times New Roman" w:cs="Times New Roman"/>
          <w:bCs/>
          <w:sz w:val="24"/>
          <w:szCs w:val="24"/>
        </w:rPr>
        <w:t>.</w:t>
      </w:r>
      <w:r>
        <w:rPr>
          <w:rFonts w:hint="eastAsia" w:ascii="Times New Roman" w:hAnsi="Times New Roman" w:cs="Times New Roman"/>
          <w:bCs/>
          <w:sz w:val="24"/>
          <w:szCs w:val="24"/>
        </w:rPr>
        <w:t>3</w:t>
      </w:r>
      <w:r>
        <w:rPr>
          <w:rFonts w:ascii="Times New Roman" w:hAnsi="Times New Roman" w:cs="Times New Roman"/>
          <w:bCs/>
          <w:sz w:val="24"/>
          <w:szCs w:val="24"/>
        </w:rPr>
        <w:t xml:space="preserve"> </w:t>
      </w:r>
      <w:r>
        <w:rPr>
          <w:rFonts w:hint="eastAsia" w:ascii="Times New Roman" w:hAnsi="Times New Roman" w:cs="宋体"/>
          <w:bCs/>
          <w:sz w:val="24"/>
          <w:szCs w:val="24"/>
        </w:rPr>
        <w:t>整改落实情况</w:t>
      </w:r>
      <w:r>
        <w:rPr>
          <w:sz w:val="24"/>
          <w:szCs w:val="24"/>
        </w:rPr>
        <w:tab/>
      </w:r>
      <w:r>
        <w:rPr>
          <w:sz w:val="24"/>
          <w:szCs w:val="24"/>
        </w:rPr>
        <w:fldChar w:fldCharType="begin"/>
      </w:r>
      <w:r>
        <w:rPr>
          <w:sz w:val="24"/>
          <w:szCs w:val="24"/>
        </w:rPr>
        <w:instrText xml:space="preserve"> PAGEREF _Toc9275 \h </w:instrText>
      </w:r>
      <w:r>
        <w:rPr>
          <w:sz w:val="24"/>
          <w:szCs w:val="24"/>
        </w:rPr>
        <w:fldChar w:fldCharType="separate"/>
      </w:r>
      <w:r>
        <w:rPr>
          <w:sz w:val="24"/>
          <w:szCs w:val="24"/>
        </w:rPr>
        <w:t>98</w:t>
      </w:r>
      <w:r>
        <w:rPr>
          <w:sz w:val="24"/>
          <w:szCs w:val="24"/>
        </w:rPr>
        <w:fldChar w:fldCharType="end"/>
      </w:r>
      <w:r>
        <w:rPr>
          <w:rFonts w:ascii="Times New Roman" w:hAnsi="Times New Roman" w:cs="Times New Roman"/>
          <w:bCs/>
          <w:color w:val="auto"/>
          <w:sz w:val="24"/>
          <w:szCs w:val="24"/>
        </w:rPr>
        <w:fldChar w:fldCharType="end"/>
      </w:r>
    </w:p>
    <w:p w14:paraId="2647405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_Toc6951 </w:instrText>
      </w:r>
      <w:r>
        <w:rPr>
          <w:rFonts w:ascii="Times New Roman" w:hAnsi="Times New Roman" w:cs="Times New Roman"/>
          <w:bCs/>
          <w:sz w:val="24"/>
          <w:szCs w:val="24"/>
        </w:rPr>
        <w:fldChar w:fldCharType="separate"/>
      </w:r>
      <w:r>
        <w:rPr>
          <w:rFonts w:hint="eastAsia" w:ascii="Times New Roman" w:hAnsi="Times New Roman" w:cs="Times New Roman"/>
          <w:bCs/>
          <w:sz w:val="24"/>
          <w:szCs w:val="24"/>
        </w:rPr>
        <w:t>6</w:t>
      </w:r>
      <w:r>
        <w:rPr>
          <w:rFonts w:ascii="Times New Roman" w:hAnsi="Times New Roman" w:cs="Times New Roman"/>
          <w:bCs/>
          <w:sz w:val="24"/>
          <w:szCs w:val="24"/>
        </w:rPr>
        <w:t>.</w:t>
      </w:r>
      <w:r>
        <w:rPr>
          <w:rFonts w:hint="eastAsia" w:ascii="Times New Roman" w:hAnsi="Times New Roman" w:cs="Times New Roman"/>
          <w:bCs/>
          <w:sz w:val="24"/>
          <w:szCs w:val="24"/>
        </w:rPr>
        <w:t>4</w:t>
      </w:r>
      <w:r>
        <w:rPr>
          <w:rFonts w:ascii="Times New Roman" w:hAnsi="Times New Roman" w:cs="Times New Roman"/>
          <w:bCs/>
          <w:sz w:val="24"/>
          <w:szCs w:val="24"/>
        </w:rPr>
        <w:t xml:space="preserve"> </w:t>
      </w:r>
      <w:r>
        <w:rPr>
          <w:rFonts w:hint="eastAsia" w:ascii="Times New Roman" w:hAnsi="Times New Roman" w:cs="宋体"/>
          <w:bCs/>
          <w:sz w:val="24"/>
          <w:szCs w:val="24"/>
        </w:rPr>
        <w:t>建议补充的安全对策措施</w:t>
      </w:r>
      <w:r>
        <w:rPr>
          <w:sz w:val="24"/>
          <w:szCs w:val="24"/>
        </w:rPr>
        <w:tab/>
      </w:r>
      <w:r>
        <w:rPr>
          <w:sz w:val="24"/>
          <w:szCs w:val="24"/>
        </w:rPr>
        <w:fldChar w:fldCharType="begin"/>
      </w:r>
      <w:r>
        <w:rPr>
          <w:sz w:val="24"/>
          <w:szCs w:val="24"/>
        </w:rPr>
        <w:instrText xml:space="preserve"> PAGEREF _Toc6951 \h </w:instrText>
      </w:r>
      <w:r>
        <w:rPr>
          <w:sz w:val="24"/>
          <w:szCs w:val="24"/>
        </w:rPr>
        <w:fldChar w:fldCharType="separate"/>
      </w:r>
      <w:r>
        <w:rPr>
          <w:sz w:val="24"/>
          <w:szCs w:val="24"/>
        </w:rPr>
        <w:t>99</w:t>
      </w:r>
      <w:r>
        <w:rPr>
          <w:sz w:val="24"/>
          <w:szCs w:val="24"/>
        </w:rPr>
        <w:fldChar w:fldCharType="end"/>
      </w:r>
      <w:r>
        <w:rPr>
          <w:rFonts w:ascii="Times New Roman" w:hAnsi="Times New Roman" w:cs="Times New Roman"/>
          <w:bCs/>
          <w:color w:val="auto"/>
          <w:sz w:val="24"/>
          <w:szCs w:val="24"/>
        </w:rPr>
        <w:fldChar w:fldCharType="end"/>
      </w:r>
    </w:p>
    <w:p w14:paraId="19476276">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_Toc14235 </w:instrText>
      </w:r>
      <w:r>
        <w:rPr>
          <w:rFonts w:ascii="Times New Roman" w:hAnsi="Times New Roman" w:cs="Times New Roman"/>
          <w:bCs/>
          <w:sz w:val="24"/>
          <w:szCs w:val="24"/>
        </w:rPr>
        <w:fldChar w:fldCharType="separate"/>
      </w:r>
      <w:r>
        <w:rPr>
          <w:rFonts w:hint="eastAsia"/>
          <w:sz w:val="24"/>
          <w:szCs w:val="24"/>
        </w:rPr>
        <w:t>7</w:t>
      </w:r>
      <w:r>
        <w:rPr>
          <w:sz w:val="24"/>
          <w:szCs w:val="24"/>
        </w:rPr>
        <w:t xml:space="preserve"> </w:t>
      </w:r>
      <w:r>
        <w:rPr>
          <w:rFonts w:hint="eastAsia"/>
          <w:sz w:val="24"/>
          <w:szCs w:val="24"/>
        </w:rPr>
        <w:t>安全验收评价结论</w:t>
      </w:r>
      <w:r>
        <w:rPr>
          <w:sz w:val="24"/>
          <w:szCs w:val="24"/>
        </w:rPr>
        <w:tab/>
      </w:r>
      <w:r>
        <w:rPr>
          <w:sz w:val="24"/>
          <w:szCs w:val="24"/>
        </w:rPr>
        <w:fldChar w:fldCharType="begin"/>
      </w:r>
      <w:r>
        <w:rPr>
          <w:sz w:val="24"/>
          <w:szCs w:val="24"/>
        </w:rPr>
        <w:instrText xml:space="preserve"> PAGEREF _Toc14235 \h </w:instrText>
      </w:r>
      <w:r>
        <w:rPr>
          <w:sz w:val="24"/>
          <w:szCs w:val="24"/>
        </w:rPr>
        <w:fldChar w:fldCharType="separate"/>
      </w:r>
      <w:r>
        <w:rPr>
          <w:sz w:val="24"/>
          <w:szCs w:val="24"/>
        </w:rPr>
        <w:t>100</w:t>
      </w:r>
      <w:r>
        <w:rPr>
          <w:sz w:val="24"/>
          <w:szCs w:val="24"/>
        </w:rPr>
        <w:fldChar w:fldCharType="end"/>
      </w:r>
      <w:r>
        <w:rPr>
          <w:rFonts w:ascii="Times New Roman" w:hAnsi="Times New Roman" w:cs="Times New Roman"/>
          <w:bCs/>
          <w:color w:val="auto"/>
          <w:sz w:val="24"/>
          <w:szCs w:val="24"/>
        </w:rPr>
        <w:fldChar w:fldCharType="end"/>
      </w:r>
    </w:p>
    <w:p w14:paraId="52EAF561">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sz w:val="24"/>
          <w:szCs w:val="24"/>
        </w:rPr>
      </w:pPr>
      <w:r>
        <w:rPr>
          <w:rFonts w:ascii="Times New Roman" w:hAnsi="Times New Roman" w:cs="Times New Roman"/>
          <w:bCs/>
          <w:color w:val="auto"/>
          <w:sz w:val="24"/>
          <w:szCs w:val="24"/>
        </w:rPr>
        <w:fldChar w:fldCharType="begin"/>
      </w:r>
      <w:r>
        <w:rPr>
          <w:rFonts w:ascii="Times New Roman" w:hAnsi="Times New Roman" w:cs="Times New Roman"/>
          <w:bCs/>
          <w:sz w:val="24"/>
          <w:szCs w:val="24"/>
        </w:rPr>
        <w:instrText xml:space="preserve"> HYPERLINK \l _Toc646 </w:instrText>
      </w:r>
      <w:r>
        <w:rPr>
          <w:rFonts w:ascii="Times New Roman" w:hAnsi="Times New Roman" w:cs="Times New Roman"/>
          <w:bCs/>
          <w:sz w:val="24"/>
          <w:szCs w:val="24"/>
        </w:rPr>
        <w:fldChar w:fldCharType="separate"/>
      </w:r>
      <w:r>
        <w:rPr>
          <w:rFonts w:hint="eastAsia" w:ascii="宋体" w:hAnsi="宋体"/>
          <w:sz w:val="24"/>
          <w:szCs w:val="24"/>
        </w:rPr>
        <w:t>附件</w:t>
      </w:r>
      <w:r>
        <w:rPr>
          <w:sz w:val="24"/>
          <w:szCs w:val="24"/>
        </w:rPr>
        <w:tab/>
      </w:r>
      <w:r>
        <w:rPr>
          <w:sz w:val="24"/>
          <w:szCs w:val="24"/>
        </w:rPr>
        <w:fldChar w:fldCharType="begin"/>
      </w:r>
      <w:r>
        <w:rPr>
          <w:sz w:val="24"/>
          <w:szCs w:val="24"/>
        </w:rPr>
        <w:instrText xml:space="preserve"> PAGEREF _Toc646 \h </w:instrText>
      </w:r>
      <w:r>
        <w:rPr>
          <w:sz w:val="24"/>
          <w:szCs w:val="24"/>
        </w:rPr>
        <w:fldChar w:fldCharType="separate"/>
      </w:r>
      <w:r>
        <w:rPr>
          <w:sz w:val="24"/>
          <w:szCs w:val="24"/>
        </w:rPr>
        <w:t>102</w:t>
      </w:r>
      <w:r>
        <w:rPr>
          <w:sz w:val="24"/>
          <w:szCs w:val="24"/>
        </w:rPr>
        <w:fldChar w:fldCharType="end"/>
      </w:r>
      <w:r>
        <w:rPr>
          <w:rFonts w:ascii="Times New Roman" w:hAnsi="Times New Roman" w:cs="Times New Roman"/>
          <w:bCs/>
          <w:color w:val="auto"/>
          <w:sz w:val="24"/>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 w:val="24"/>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兴国石油分公司上社加油站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安全设施竣工验收评价报告</w:t>
      </w:r>
    </w:p>
    <w:p w14:paraId="4F3F2DD1">
      <w:pPr>
        <w:pStyle w:val="2"/>
        <w:rPr>
          <w:color w:val="auto"/>
          <w:sz w:val="32"/>
          <w:szCs w:val="32"/>
        </w:rPr>
      </w:pPr>
      <w:bookmarkStart w:id="0" w:name="_Toc16878"/>
      <w:bookmarkStart w:id="1" w:name="_Toc19274"/>
    </w:p>
    <w:p w14:paraId="77DDBEFE">
      <w:pPr>
        <w:pStyle w:val="2"/>
        <w:pageBreakBefore w:val="0"/>
        <w:kinsoku/>
        <w:wordWrap/>
        <w:overflowPunct/>
        <w:topLinePunct w:val="0"/>
        <w:autoSpaceDE/>
        <w:autoSpaceDN/>
        <w:bidi w:val="0"/>
        <w:spacing w:line="580" w:lineRule="exact"/>
        <w:textAlignment w:val="auto"/>
        <w:rPr>
          <w:color w:val="auto"/>
          <w:sz w:val="32"/>
          <w:szCs w:val="32"/>
        </w:rPr>
      </w:pPr>
      <w:r>
        <w:rPr>
          <w:color w:val="auto"/>
          <w:sz w:val="32"/>
          <w:szCs w:val="32"/>
        </w:rPr>
        <w:t xml:space="preserve">1 </w:t>
      </w:r>
      <w:r>
        <w:rPr>
          <w:rFonts w:hint="eastAsia" w:cs="宋体"/>
          <w:color w:val="auto"/>
          <w:sz w:val="32"/>
          <w:szCs w:val="32"/>
        </w:rPr>
        <w:t>评价概述</w:t>
      </w:r>
      <w:bookmarkEnd w:id="0"/>
      <w:bookmarkEnd w:id="1"/>
    </w:p>
    <w:p w14:paraId="6C23E7A4">
      <w:pPr>
        <w:pStyle w:val="3"/>
        <w:pageBreakBefore w:val="0"/>
        <w:kinsoku/>
        <w:wordWrap/>
        <w:overflowPunct/>
        <w:topLinePunct w:val="0"/>
        <w:autoSpaceDE/>
        <w:autoSpaceDN/>
        <w:bidi w:val="0"/>
        <w:spacing w:line="580" w:lineRule="exact"/>
        <w:textAlignment w:val="auto"/>
        <w:rPr>
          <w:color w:val="auto"/>
          <w:sz w:val="32"/>
          <w:szCs w:val="32"/>
        </w:rPr>
      </w:pPr>
      <w:bookmarkStart w:id="2" w:name="_Toc20305"/>
      <w:bookmarkStart w:id="3" w:name="_Toc343692239"/>
      <w:bookmarkStart w:id="4" w:name="_Toc11802"/>
      <w:r>
        <w:rPr>
          <w:color w:val="auto"/>
          <w:sz w:val="32"/>
          <w:szCs w:val="32"/>
        </w:rPr>
        <w:t>1.1</w:t>
      </w:r>
      <w:r>
        <w:rPr>
          <w:rFonts w:hint="eastAsia" w:cs="宋体"/>
          <w:color w:val="auto"/>
          <w:sz w:val="32"/>
          <w:szCs w:val="32"/>
        </w:rPr>
        <w:t>评价的目的和原则</w:t>
      </w:r>
      <w:bookmarkEnd w:id="2"/>
      <w:bookmarkEnd w:id="3"/>
      <w:bookmarkEnd w:id="4"/>
    </w:p>
    <w:p w14:paraId="5B8DCCF9">
      <w:pPr>
        <w:pStyle w:val="4"/>
        <w:pageBreakBefore w:val="0"/>
        <w:kinsoku/>
        <w:wordWrap/>
        <w:overflowPunct/>
        <w:topLinePunct w:val="0"/>
        <w:autoSpaceDE/>
        <w:autoSpaceDN/>
        <w:bidi w:val="0"/>
        <w:spacing w:line="580" w:lineRule="exact"/>
        <w:textAlignment w:val="auto"/>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pageBreakBefore w:val="0"/>
        <w:kinsoku/>
        <w:wordWrap/>
        <w:overflowPunct/>
        <w:topLinePunct w:val="0"/>
        <w:autoSpaceDE/>
        <w:autoSpaceDN/>
        <w:bidi w:val="0"/>
        <w:spacing w:line="580" w:lineRule="exact"/>
        <w:textAlignment w:val="auto"/>
        <w:rPr>
          <w:rFonts w:cs="Times New Roman"/>
          <w:color w:val="auto"/>
        </w:rPr>
      </w:pPr>
      <w:bookmarkStart w:id="6" w:name="_Toc17968"/>
      <w:r>
        <w:rPr>
          <w:color w:val="auto"/>
        </w:rPr>
        <w:t>1.1.2</w:t>
      </w:r>
      <w:r>
        <w:rPr>
          <w:rFonts w:hint="eastAsia" w:cs="宋体"/>
          <w:color w:val="auto"/>
        </w:rPr>
        <w:t>评价的原则</w:t>
      </w:r>
      <w:bookmarkEnd w:id="6"/>
    </w:p>
    <w:p w14:paraId="166BBAB8">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pageBreakBefore w:val="0"/>
        <w:kinsoku/>
        <w:wordWrap/>
        <w:overflowPunct/>
        <w:topLinePunct w:val="0"/>
        <w:autoSpaceDE/>
        <w:autoSpaceDN/>
        <w:bidi w:val="0"/>
        <w:spacing w:line="580" w:lineRule="exact"/>
        <w:textAlignment w:val="auto"/>
        <w:rPr>
          <w:color w:val="auto"/>
        </w:rPr>
      </w:pPr>
      <w:bookmarkStart w:id="7" w:name="_Toc26059"/>
      <w:bookmarkStart w:id="8" w:name="_Toc343692240"/>
      <w:bookmarkStart w:id="9" w:name="_Toc20206"/>
      <w:r>
        <w:rPr>
          <w:color w:val="auto"/>
        </w:rPr>
        <w:t>1.2</w:t>
      </w:r>
      <w:r>
        <w:rPr>
          <w:rFonts w:hint="eastAsia" w:cs="宋体"/>
          <w:color w:val="auto"/>
        </w:rPr>
        <w:t>评价依据</w:t>
      </w:r>
      <w:bookmarkEnd w:id="7"/>
      <w:bookmarkEnd w:id="8"/>
      <w:bookmarkEnd w:id="9"/>
    </w:p>
    <w:p w14:paraId="2A694DBD">
      <w:pPr>
        <w:pStyle w:val="4"/>
        <w:pageBreakBefore w:val="0"/>
        <w:kinsoku/>
        <w:wordWrap/>
        <w:overflowPunct/>
        <w:topLinePunct w:val="0"/>
        <w:autoSpaceDE/>
        <w:autoSpaceDN/>
        <w:bidi w:val="0"/>
        <w:spacing w:line="580" w:lineRule="exact"/>
        <w:textAlignment w:val="auto"/>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生产安全事故应急预案管理办法</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的决定》修正）</w:t>
      </w:r>
    </w:p>
    <w:p w14:paraId="6D762EA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《国家安全监督总局关于废止和修改劳动防护用品和安全培训等领域十部规章的决定》（国家安全生产监督管理总局令第80号，2015年7月修订）</w:t>
      </w:r>
    </w:p>
    <w:p w14:paraId="37CA8DF3">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pageBreakBefore w:val="0"/>
        <w:kinsoku/>
        <w:wordWrap/>
        <w:overflowPunct/>
        <w:topLinePunct w:val="0"/>
        <w:autoSpaceDE/>
        <w:autoSpaceDN/>
        <w:bidi w:val="0"/>
        <w:spacing w:line="580" w:lineRule="exact"/>
        <w:textAlignment w:val="auto"/>
        <w:rPr>
          <w:rFonts w:cs="Times New Roman"/>
          <w:color w:val="auto"/>
        </w:rPr>
      </w:pPr>
      <w:bookmarkStart w:id="11" w:name="_Toc17479"/>
      <w:r>
        <w:rPr>
          <w:color w:val="auto"/>
        </w:rPr>
        <w:t>1.2.2</w:t>
      </w:r>
      <w:r>
        <w:rPr>
          <w:rFonts w:hint="eastAsia" w:cs="宋体"/>
          <w:color w:val="auto"/>
        </w:rPr>
        <w:t>评价标准、规范</w:t>
      </w:r>
      <w:bookmarkEnd w:id="11"/>
    </w:p>
    <w:p w14:paraId="5AB35D3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3FD4DD7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CFAB6B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1AC59E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《建筑与市政工程抗震通用规范》GB55002-2021</w:t>
      </w:r>
    </w:p>
    <w:p w14:paraId="6610A9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《危险化学品企业雷电安全规范》GB15599-2025</w:t>
      </w:r>
    </w:p>
    <w:p w14:paraId="79647DDE">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《石油化工可燃气体和有毒气体检测报警设计标准》GB/T50493-2019</w:t>
      </w:r>
    </w:p>
    <w:p w14:paraId="091BA51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4F70AC6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35453ED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《构筑物抗震设计规范》(GB50191-2012)</w:t>
      </w:r>
    </w:p>
    <w:p w14:paraId="159F37B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pageBreakBefore w:val="0"/>
        <w:numPr>
          <w:ilvl w:val="0"/>
          <w:numId w:val="2"/>
        </w:numPr>
        <w:kinsoku/>
        <w:wordWrap/>
        <w:overflowPunct/>
        <w:topLinePunct w:val="0"/>
        <w:autoSpaceDE/>
        <w:autoSpaceDN/>
        <w:bidi w:val="0"/>
        <w:adjustRightInd w:val="0"/>
        <w:snapToGrid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pageBreakBefore w:val="0"/>
        <w:kinsoku/>
        <w:wordWrap/>
        <w:overflowPunct/>
        <w:topLinePunct w:val="0"/>
        <w:autoSpaceDE/>
        <w:autoSpaceDN/>
        <w:bidi w:val="0"/>
        <w:adjustRightInd w:val="0"/>
        <w:snapToGrid w:val="0"/>
        <w:spacing w:line="580" w:lineRule="exact"/>
        <w:ind w:left="420" w:leftChars="200"/>
        <w:jc w:val="righ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pageBreakBefore w:val="0"/>
        <w:kinsoku/>
        <w:wordWrap/>
        <w:overflowPunct/>
        <w:topLinePunct w:val="0"/>
        <w:autoSpaceDE/>
        <w:autoSpaceDN/>
        <w:bidi w:val="0"/>
        <w:spacing w:line="580" w:lineRule="exact"/>
        <w:textAlignment w:val="auto"/>
        <w:rPr>
          <w:rFonts w:cs="Times New Roman"/>
          <w:color w:val="auto"/>
        </w:rPr>
      </w:pPr>
      <w:bookmarkStart w:id="12" w:name="_Toc1957"/>
      <w:r>
        <w:rPr>
          <w:color w:val="auto"/>
        </w:rPr>
        <w:t>1.2.3</w:t>
      </w:r>
      <w:r>
        <w:rPr>
          <w:rFonts w:hint="eastAsia" w:cs="宋体"/>
          <w:color w:val="auto"/>
        </w:rPr>
        <w:t>相关资料</w:t>
      </w:r>
      <w:bookmarkEnd w:id="12"/>
    </w:p>
    <w:p w14:paraId="1883A06F">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营业执照、土地证明、防雷装置检测检验报告；设计单位资质；安全管理制度、操作规程、应急预案及备案、整改后总平面布置图等。</w:t>
      </w:r>
    </w:p>
    <w:p w14:paraId="716CCA6E">
      <w:pPr>
        <w:pStyle w:val="3"/>
        <w:pageBreakBefore w:val="0"/>
        <w:kinsoku/>
        <w:wordWrap/>
        <w:overflowPunct/>
        <w:topLinePunct w:val="0"/>
        <w:autoSpaceDE/>
        <w:autoSpaceDN/>
        <w:bidi w:val="0"/>
        <w:spacing w:line="580" w:lineRule="exact"/>
        <w:textAlignment w:val="auto"/>
        <w:rPr>
          <w:color w:val="auto"/>
        </w:rPr>
      </w:pPr>
      <w:bookmarkStart w:id="13" w:name="_Toc29244"/>
      <w:bookmarkStart w:id="14" w:name="_Toc21077"/>
      <w:r>
        <w:rPr>
          <w:color w:val="auto"/>
        </w:rPr>
        <w:t>1.3</w:t>
      </w:r>
      <w:r>
        <w:rPr>
          <w:rFonts w:hint="eastAsia" w:cs="宋体"/>
          <w:color w:val="auto"/>
        </w:rPr>
        <w:t>评价范围及内容</w:t>
      </w:r>
      <w:bookmarkEnd w:id="13"/>
      <w:bookmarkEnd w:id="14"/>
    </w:p>
    <w:p w14:paraId="49C278D6">
      <w:pPr>
        <w:pStyle w:val="4"/>
        <w:pageBreakBefore w:val="0"/>
        <w:kinsoku/>
        <w:wordWrap/>
        <w:overflowPunct/>
        <w:topLinePunct w:val="0"/>
        <w:autoSpaceDE/>
        <w:autoSpaceDN/>
        <w:bidi w:val="0"/>
        <w:spacing w:line="580" w:lineRule="exact"/>
        <w:textAlignment w:val="auto"/>
        <w:rPr>
          <w:rFonts w:cs="Times New Roman"/>
          <w:color w:val="auto"/>
        </w:rPr>
      </w:pPr>
      <w:bookmarkStart w:id="15" w:name="_Toc8274"/>
      <w:r>
        <w:rPr>
          <w:color w:val="auto"/>
        </w:rPr>
        <w:t>1.3.1</w:t>
      </w:r>
      <w:r>
        <w:rPr>
          <w:rFonts w:hint="eastAsia" w:cs="宋体"/>
          <w:color w:val="auto"/>
        </w:rPr>
        <w:t>评价范围</w:t>
      </w:r>
      <w:bookmarkEnd w:id="15"/>
    </w:p>
    <w:p w14:paraId="07E3CA84">
      <w:pPr>
        <w:pageBreakBefore w:val="0"/>
        <w:kinsoku/>
        <w:wordWrap/>
        <w:overflowPunct/>
        <w:topLinePunct w:val="0"/>
        <w:autoSpaceDE/>
        <w:autoSpaceDN/>
        <w:bidi w:val="0"/>
        <w:spacing w:line="580" w:lineRule="exact"/>
        <w:ind w:firstLine="536" w:firstLineChars="200"/>
        <w:textAlignment w:val="auto"/>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兴国上社</w:t>
      </w:r>
      <w:r>
        <w:rPr>
          <w:rFonts w:hint="eastAsia" w:ascii="Times New Roman" w:hAnsi="Times New Roman" w:cs="宋体"/>
          <w:color w:val="auto"/>
          <w:spacing w:val="-6"/>
          <w:sz w:val="28"/>
          <w:szCs w:val="28"/>
        </w:rPr>
        <w:t>加油站，主要包括加油区罩棚、站房及储罐区、经营、储存装置及其平面布置以及对项目的外部环境的评价，对企业安全管理、应急措施的评价。</w:t>
      </w:r>
    </w:p>
    <w:p w14:paraId="79729ECE">
      <w:pPr>
        <w:pageBreakBefore w:val="0"/>
        <w:kinsoku/>
        <w:wordWrap/>
        <w:overflowPunct/>
        <w:topLinePunct w:val="0"/>
        <w:autoSpaceDE/>
        <w:autoSpaceDN/>
        <w:bidi w:val="0"/>
        <w:spacing w:line="580" w:lineRule="exact"/>
        <w:ind w:firstLine="492" w:firstLineChars="200"/>
        <w:textAlignment w:val="auto"/>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p>
    <w:p w14:paraId="4D93C0FC">
      <w:pPr>
        <w:pageBreakBefore w:val="0"/>
        <w:kinsoku/>
        <w:wordWrap/>
        <w:overflowPunct/>
        <w:topLinePunct w:val="0"/>
        <w:autoSpaceDE/>
        <w:autoSpaceDN/>
        <w:bidi w:val="0"/>
        <w:spacing w:line="580" w:lineRule="exact"/>
        <w:ind w:firstLine="516" w:firstLineChars="200"/>
        <w:textAlignment w:val="auto"/>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pageBreakBefore w:val="0"/>
        <w:kinsoku/>
        <w:wordWrap/>
        <w:overflowPunct/>
        <w:topLinePunct w:val="0"/>
        <w:autoSpaceDE/>
        <w:autoSpaceDN/>
        <w:bidi w:val="0"/>
        <w:spacing w:line="580" w:lineRule="exact"/>
        <w:textAlignment w:val="auto"/>
        <w:rPr>
          <w:rFonts w:cs="Times New Roman"/>
          <w:color w:val="auto"/>
        </w:rPr>
      </w:pPr>
      <w:bookmarkStart w:id="16" w:name="_Toc26802"/>
      <w:r>
        <w:rPr>
          <w:color w:val="auto"/>
        </w:rPr>
        <w:t>1.3.2</w:t>
      </w:r>
      <w:r>
        <w:rPr>
          <w:rFonts w:hint="eastAsia" w:cs="宋体"/>
          <w:color w:val="auto"/>
        </w:rPr>
        <w:t>评价内容</w:t>
      </w:r>
      <w:bookmarkEnd w:id="16"/>
    </w:p>
    <w:p w14:paraId="603DCCE1">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pageBreakBefore w:val="0"/>
        <w:kinsoku/>
        <w:wordWrap/>
        <w:overflowPunct/>
        <w:topLinePunct w:val="0"/>
        <w:autoSpaceDE/>
        <w:autoSpaceDN/>
        <w:bidi w:val="0"/>
        <w:spacing w:line="580" w:lineRule="exact"/>
        <w:ind w:firstLine="536" w:firstLineChars="200"/>
        <w:jc w:val="left"/>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pageBreakBefore w:val="0"/>
        <w:kinsoku/>
        <w:wordWrap/>
        <w:overflowPunct/>
        <w:topLinePunct w:val="0"/>
        <w:autoSpaceDE/>
        <w:autoSpaceDN/>
        <w:bidi w:val="0"/>
        <w:spacing w:line="580" w:lineRule="exact"/>
        <w:textAlignment w:val="auto"/>
        <w:outlineLvl w:val="1"/>
        <w:rPr>
          <w:rStyle w:val="36"/>
          <w:color w:val="auto"/>
        </w:rPr>
      </w:pPr>
      <w:bookmarkStart w:id="17" w:name="_Toc4459"/>
      <w:bookmarkStart w:id="18" w:name="_Toc790"/>
      <w:bookmarkStart w:id="19" w:name="_Toc343692242"/>
      <w:r>
        <w:rPr>
          <w:rStyle w:val="36"/>
          <w:color w:val="auto"/>
        </w:rPr>
        <w:t>1.4</w:t>
      </w:r>
      <w:r>
        <w:rPr>
          <w:rStyle w:val="36"/>
          <w:rFonts w:hint="eastAsia" w:cs="宋体"/>
          <w:color w:val="auto"/>
        </w:rPr>
        <w:t>评价程序</w:t>
      </w:r>
      <w:bookmarkEnd w:id="17"/>
      <w:bookmarkEnd w:id="18"/>
      <w:bookmarkEnd w:id="19"/>
    </w:p>
    <w:p w14:paraId="04F0F201">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A9AC99F">
      <w:pPr>
        <w:rPr>
          <w:rFonts w:ascii="Times New Roman" w:hAnsi="Times New Roman" w:cs="Times New Roman"/>
          <w:color w:val="auto"/>
          <w:sz w:val="24"/>
          <w:szCs w:val="24"/>
        </w:rPr>
      </w:pPr>
    </w:p>
    <w:p w14:paraId="68CB86CC">
      <w:pPr>
        <w:pStyle w:val="33"/>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3"/>
        <w:rPr>
          <w:rFonts w:cs="Times New Roman"/>
          <w:color w:val="auto"/>
        </w:rPr>
      </w:pPr>
    </w:p>
    <w:p w14:paraId="4B41B4EE">
      <w:pPr>
        <w:pStyle w:val="33"/>
        <w:rPr>
          <w:rFonts w:cs="Times New Roman"/>
          <w:color w:val="auto"/>
        </w:rPr>
      </w:pPr>
    </w:p>
    <w:p w14:paraId="00A736DC">
      <w:pPr>
        <w:pStyle w:val="33"/>
        <w:rPr>
          <w:rFonts w:cs="Times New Roman"/>
          <w:color w:val="auto"/>
        </w:rPr>
      </w:pPr>
    </w:p>
    <w:p w14:paraId="145D5834">
      <w:pPr>
        <w:pStyle w:val="33"/>
        <w:rPr>
          <w:rFonts w:cs="Times New Roman"/>
          <w:color w:val="auto"/>
        </w:rPr>
      </w:pPr>
    </w:p>
    <w:p w14:paraId="4D890F11">
      <w:pPr>
        <w:pStyle w:val="33"/>
        <w:rPr>
          <w:rFonts w:cs="Times New Roman"/>
          <w:color w:val="auto"/>
        </w:rPr>
      </w:pPr>
    </w:p>
    <w:p w14:paraId="7B08B412">
      <w:pPr>
        <w:pStyle w:val="33"/>
        <w:rPr>
          <w:rFonts w:cs="Times New Roman"/>
          <w:color w:val="auto"/>
        </w:rPr>
      </w:pPr>
    </w:p>
    <w:p w14:paraId="078600A9">
      <w:pPr>
        <w:pStyle w:val="33"/>
        <w:rPr>
          <w:rFonts w:cs="Times New Roman"/>
          <w:color w:val="auto"/>
        </w:rPr>
      </w:pPr>
    </w:p>
    <w:p w14:paraId="561DD7E9">
      <w:pPr>
        <w:pStyle w:val="33"/>
        <w:rPr>
          <w:rFonts w:cs="Times New Roman"/>
          <w:color w:val="auto"/>
        </w:rPr>
      </w:pPr>
    </w:p>
    <w:p w14:paraId="0A669B41">
      <w:pPr>
        <w:pStyle w:val="33"/>
        <w:rPr>
          <w:rFonts w:cs="Times New Roman"/>
          <w:color w:val="auto"/>
        </w:rPr>
      </w:pPr>
    </w:p>
    <w:p w14:paraId="40AB3319">
      <w:pPr>
        <w:pStyle w:val="33"/>
        <w:rPr>
          <w:rFonts w:cs="Times New Roman"/>
          <w:color w:val="auto"/>
        </w:rPr>
      </w:pPr>
    </w:p>
    <w:p w14:paraId="33AE0939">
      <w:pPr>
        <w:pStyle w:val="33"/>
        <w:rPr>
          <w:rFonts w:cs="Times New Roman"/>
          <w:color w:val="auto"/>
        </w:rPr>
      </w:pPr>
    </w:p>
    <w:p w14:paraId="44199675">
      <w:pPr>
        <w:pStyle w:val="33"/>
        <w:rPr>
          <w:rFonts w:cs="Times New Roman"/>
          <w:color w:val="auto"/>
        </w:rPr>
      </w:pPr>
    </w:p>
    <w:p w14:paraId="0D27DF97">
      <w:pPr>
        <w:jc w:val="center"/>
        <w:rPr>
          <w:rFonts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3"/>
        <w:ind w:firstLine="0"/>
        <w:outlineLvl w:val="0"/>
        <w:rPr>
          <w:rStyle w:val="35"/>
          <w:color w:val="auto"/>
        </w:rPr>
      </w:pPr>
      <w:bookmarkStart w:id="20" w:name="_Toc22287"/>
      <w:bookmarkStart w:id="21" w:name="_Toc3289"/>
      <w:bookmarkStart w:id="22" w:name="_Toc343692243"/>
      <w:r>
        <w:rPr>
          <w:rStyle w:val="35"/>
          <w:color w:val="auto"/>
        </w:rPr>
        <w:br w:type="page"/>
      </w:r>
      <w:bookmarkStart w:id="23" w:name="_Toc18300"/>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7619"/>
      <w:bookmarkStart w:id="25" w:name="_Toc343692244"/>
      <w:bookmarkStart w:id="26" w:name="_Toc14502"/>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176E56F1">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兴国石油分公司上社加油站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兴国上社</w:t>
      </w:r>
      <w:r>
        <w:rPr>
          <w:rFonts w:hint="eastAsia" w:ascii="Times New Roman" w:hAnsi="Times New Roman" w:cs="Times New Roman"/>
          <w:color w:val="auto"/>
          <w:sz w:val="28"/>
          <w:szCs w:val="28"/>
        </w:rPr>
        <w:t>加油站”</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5</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06</w:t>
      </w:r>
      <w:r>
        <w:rPr>
          <w:rFonts w:hint="eastAsia" w:ascii="Times New Roman" w:hAnsi="Times New Roman" w:cs="Times New Roman"/>
          <w:color w:val="auto"/>
          <w:sz w:val="28"/>
          <w:szCs w:val="28"/>
        </w:rPr>
        <w:t>月2</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兴国县长冈乡上社村</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90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75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三</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17</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(赣)36073213202300014</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16</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446B838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兴国石油分公司上社加油站</w:t>
      </w:r>
      <w:r>
        <w:rPr>
          <w:rFonts w:hint="eastAsia" w:ascii="Times New Roman" w:hAnsi="Times New Roman" w:cs="宋体"/>
          <w:color w:val="auto"/>
          <w:sz w:val="28"/>
          <w:szCs w:val="28"/>
        </w:rPr>
        <w:t>安全设施符合性诊断及整改设计》。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兴国石油分公司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兴国上社</w:t>
      </w:r>
      <w:r>
        <w:rPr>
          <w:rFonts w:hint="eastAsia" w:ascii="Times New Roman" w:hAnsi="Times New Roman" w:cs="宋体"/>
          <w:color w:val="auto"/>
          <w:sz w:val="28"/>
          <w:szCs w:val="28"/>
        </w:rPr>
        <w:t>加油站进行安全设施符合性诊断及整改设计验收。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2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9"/>
        <w:gridCol w:w="433"/>
        <w:gridCol w:w="724"/>
        <w:gridCol w:w="511"/>
        <w:gridCol w:w="276"/>
        <w:gridCol w:w="202"/>
        <w:gridCol w:w="793"/>
        <w:gridCol w:w="433"/>
        <w:gridCol w:w="650"/>
        <w:gridCol w:w="212"/>
        <w:gridCol w:w="654"/>
        <w:gridCol w:w="108"/>
        <w:gridCol w:w="110"/>
        <w:gridCol w:w="538"/>
        <w:gridCol w:w="321"/>
        <w:gridCol w:w="551"/>
        <w:gridCol w:w="420"/>
        <w:gridCol w:w="133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402"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837"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兴国石油分公司上社加油站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02"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837"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兴国县长冈乡上社村</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02"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713"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26"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34" w:type="dxa"/>
            <w:gridSpan w:val="5"/>
            <w:vAlign w:val="center"/>
          </w:tcPr>
          <w:p w14:paraId="20224B41">
            <w:pPr>
              <w:spacing w:line="260" w:lineRule="exact"/>
              <w:jc w:val="center"/>
              <w:rPr>
                <w:rFonts w:ascii="Times New Roman" w:hAnsi="Times New Roman" w:cs="宋体"/>
                <w:color w:val="auto"/>
              </w:rPr>
            </w:pPr>
          </w:p>
        </w:tc>
        <w:tc>
          <w:tcPr>
            <w:tcW w:w="1410"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54"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02"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837"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02"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837"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02"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837"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02"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837"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02"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39"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李子丰</w:t>
            </w:r>
          </w:p>
        </w:tc>
        <w:tc>
          <w:tcPr>
            <w:tcW w:w="1516"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82"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丁聪炜</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02"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35"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602"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兴国县长冈乡上社村</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02" w:type="dxa"/>
            <w:gridSpan w:val="2"/>
            <w:vMerge w:val="continue"/>
            <w:vAlign w:val="center"/>
          </w:tcPr>
          <w:p w14:paraId="27B519DF">
            <w:pPr>
              <w:spacing w:line="260" w:lineRule="exact"/>
              <w:jc w:val="center"/>
              <w:rPr>
                <w:rFonts w:ascii="Times New Roman" w:hAnsi="Times New Roman" w:cs="宋体"/>
                <w:color w:val="auto"/>
              </w:rPr>
            </w:pPr>
          </w:p>
        </w:tc>
        <w:tc>
          <w:tcPr>
            <w:tcW w:w="1235"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602"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02"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35"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602"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兴国上社</w:t>
            </w:r>
            <w:r>
              <w:rPr>
                <w:rFonts w:hint="eastAsia" w:ascii="Times New Roman" w:hAnsi="Times New Roman" w:cs="宋体"/>
                <w:color w:val="auto"/>
              </w:rPr>
              <w:t>加油站内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02" w:type="dxa"/>
            <w:gridSpan w:val="2"/>
            <w:vMerge w:val="continue"/>
            <w:vAlign w:val="center"/>
          </w:tcPr>
          <w:p w14:paraId="1C883813">
            <w:pPr>
              <w:spacing w:line="260" w:lineRule="exact"/>
              <w:jc w:val="center"/>
              <w:rPr>
                <w:rFonts w:ascii="Times New Roman" w:hAnsi="Times New Roman" w:cs="宋体"/>
                <w:color w:val="auto"/>
              </w:rPr>
            </w:pPr>
          </w:p>
        </w:tc>
        <w:tc>
          <w:tcPr>
            <w:tcW w:w="1235"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66"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410"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26"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9</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7</w:t>
            </w:r>
            <w:r>
              <w:rPr>
                <w:rFonts w:hint="eastAsia" w:ascii="Times New Roman" w:hAnsi="Times New Roman" w:cs="宋体"/>
                <w:color w:val="auto"/>
              </w:rPr>
              <w:t>5m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02" w:type="dxa"/>
            <w:gridSpan w:val="2"/>
            <w:vMerge w:val="continue"/>
            <w:vAlign w:val="center"/>
          </w:tcPr>
          <w:p w14:paraId="6FE49949">
            <w:pPr>
              <w:spacing w:line="260" w:lineRule="exact"/>
              <w:jc w:val="center"/>
              <w:rPr>
                <w:rFonts w:ascii="Times New Roman" w:hAnsi="Times New Roman" w:cs="宋体"/>
                <w:color w:val="auto"/>
              </w:rPr>
            </w:pPr>
          </w:p>
        </w:tc>
        <w:tc>
          <w:tcPr>
            <w:tcW w:w="1235"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602"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923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913"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52"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74"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69"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57"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87"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95"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83"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74"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69"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71"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34"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69" w:type="dxa"/>
            <w:vAlign w:val="center"/>
          </w:tcPr>
          <w:p w14:paraId="6A2D74E5">
            <w:pPr>
              <w:spacing w:line="260" w:lineRule="exact"/>
              <w:jc w:val="center"/>
              <w:rPr>
                <w:rFonts w:ascii="Times New Roman" w:hAnsi="Times New Roman" w:cs="宋体"/>
                <w:color w:val="auto"/>
              </w:rPr>
            </w:pPr>
          </w:p>
        </w:tc>
        <w:tc>
          <w:tcPr>
            <w:tcW w:w="1157" w:type="dxa"/>
            <w:gridSpan w:val="2"/>
            <w:vAlign w:val="center"/>
          </w:tcPr>
          <w:p w14:paraId="6CB4BFAE">
            <w:pPr>
              <w:spacing w:line="260" w:lineRule="exact"/>
              <w:jc w:val="center"/>
              <w:rPr>
                <w:rFonts w:ascii="Times New Roman" w:hAnsi="Times New Roman" w:cs="宋体"/>
                <w:color w:val="auto"/>
              </w:rPr>
            </w:pPr>
          </w:p>
        </w:tc>
        <w:tc>
          <w:tcPr>
            <w:tcW w:w="787" w:type="dxa"/>
            <w:gridSpan w:val="2"/>
            <w:vAlign w:val="center"/>
          </w:tcPr>
          <w:p w14:paraId="309C1C94">
            <w:pPr>
              <w:spacing w:line="260" w:lineRule="exact"/>
              <w:jc w:val="center"/>
              <w:rPr>
                <w:rFonts w:ascii="Times New Roman" w:hAnsi="Times New Roman" w:cs="宋体"/>
                <w:color w:val="auto"/>
              </w:rPr>
            </w:pPr>
          </w:p>
        </w:tc>
        <w:tc>
          <w:tcPr>
            <w:tcW w:w="995"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83"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69" w:type="dxa"/>
            <w:gridSpan w:val="3"/>
            <w:vAlign w:val="center"/>
          </w:tcPr>
          <w:p w14:paraId="4CC05A04">
            <w:pPr>
              <w:spacing w:line="260" w:lineRule="exact"/>
              <w:jc w:val="center"/>
              <w:rPr>
                <w:rFonts w:ascii="Times New Roman" w:hAnsi="Times New Roman" w:cs="宋体"/>
                <w:color w:val="auto"/>
              </w:rPr>
            </w:pPr>
          </w:p>
        </w:tc>
        <w:tc>
          <w:tcPr>
            <w:tcW w:w="971" w:type="dxa"/>
            <w:gridSpan w:val="2"/>
            <w:vAlign w:val="center"/>
          </w:tcPr>
          <w:p w14:paraId="5C7C732F">
            <w:pPr>
              <w:spacing w:line="260" w:lineRule="exact"/>
              <w:jc w:val="center"/>
              <w:rPr>
                <w:rFonts w:ascii="Times New Roman" w:hAnsi="Times New Roman" w:cs="宋体"/>
                <w:color w:val="auto"/>
              </w:rPr>
            </w:pPr>
          </w:p>
        </w:tc>
        <w:tc>
          <w:tcPr>
            <w:tcW w:w="1334"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69" w:type="dxa"/>
            <w:vAlign w:val="center"/>
          </w:tcPr>
          <w:p w14:paraId="410C521F">
            <w:pPr>
              <w:spacing w:line="260" w:lineRule="exact"/>
              <w:jc w:val="center"/>
              <w:rPr>
                <w:rFonts w:ascii="Times New Roman" w:hAnsi="Times New Roman" w:cs="宋体"/>
                <w:color w:val="auto"/>
              </w:rPr>
            </w:pPr>
          </w:p>
        </w:tc>
        <w:tc>
          <w:tcPr>
            <w:tcW w:w="1157" w:type="dxa"/>
            <w:gridSpan w:val="2"/>
            <w:vAlign w:val="center"/>
          </w:tcPr>
          <w:p w14:paraId="362F30AC">
            <w:pPr>
              <w:spacing w:line="260" w:lineRule="exact"/>
              <w:jc w:val="center"/>
              <w:rPr>
                <w:rFonts w:ascii="Times New Roman" w:hAnsi="Times New Roman" w:cs="宋体"/>
                <w:color w:val="auto"/>
              </w:rPr>
            </w:pPr>
          </w:p>
        </w:tc>
        <w:tc>
          <w:tcPr>
            <w:tcW w:w="787" w:type="dxa"/>
            <w:gridSpan w:val="2"/>
            <w:vAlign w:val="center"/>
          </w:tcPr>
          <w:p w14:paraId="722DDC89">
            <w:pPr>
              <w:spacing w:line="260" w:lineRule="exact"/>
              <w:jc w:val="center"/>
              <w:rPr>
                <w:rFonts w:ascii="Times New Roman" w:hAnsi="Times New Roman" w:cs="宋体"/>
                <w:color w:val="auto"/>
              </w:rPr>
            </w:pPr>
          </w:p>
        </w:tc>
        <w:tc>
          <w:tcPr>
            <w:tcW w:w="995" w:type="dxa"/>
            <w:gridSpan w:val="2"/>
            <w:shd w:val="clear" w:color="auto" w:fill="auto"/>
            <w:vAlign w:val="center"/>
          </w:tcPr>
          <w:p w14:paraId="2AC86010">
            <w:pPr>
              <w:spacing w:line="260" w:lineRule="exact"/>
              <w:jc w:val="center"/>
              <w:rPr>
                <w:rFonts w:hint="eastAsia" w:ascii="Times New Roman" w:hAnsi="Times New Roman" w:cs="宋体"/>
                <w:color w:val="auto"/>
              </w:rPr>
            </w:pPr>
            <w:r>
              <w:rPr>
                <w:rFonts w:hint="eastAsia" w:ascii="Times New Roman" w:hAnsi="Times New Roman" w:cs="宋体"/>
                <w:color w:val="auto"/>
              </w:rPr>
              <w:t>92#汽油</w:t>
            </w:r>
          </w:p>
        </w:tc>
        <w:tc>
          <w:tcPr>
            <w:tcW w:w="1083" w:type="dxa"/>
            <w:gridSpan w:val="2"/>
            <w:shd w:val="clear" w:color="auto" w:fill="auto"/>
            <w:vAlign w:val="center"/>
          </w:tcPr>
          <w:p w14:paraId="2B6B5911">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shd w:val="clear" w:color="auto" w:fill="auto"/>
            <w:vAlign w:val="center"/>
          </w:tcPr>
          <w:p w14:paraId="197EB4F2">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69" w:type="dxa"/>
            <w:gridSpan w:val="3"/>
            <w:vAlign w:val="center"/>
          </w:tcPr>
          <w:p w14:paraId="56D8FB21">
            <w:pPr>
              <w:spacing w:line="260" w:lineRule="exact"/>
              <w:jc w:val="center"/>
              <w:rPr>
                <w:rFonts w:ascii="Times New Roman" w:hAnsi="Times New Roman" w:cs="宋体"/>
                <w:color w:val="auto"/>
              </w:rPr>
            </w:pPr>
          </w:p>
        </w:tc>
        <w:tc>
          <w:tcPr>
            <w:tcW w:w="971" w:type="dxa"/>
            <w:gridSpan w:val="2"/>
            <w:vAlign w:val="center"/>
          </w:tcPr>
          <w:p w14:paraId="0F153FA9">
            <w:pPr>
              <w:spacing w:line="260" w:lineRule="exact"/>
              <w:jc w:val="center"/>
              <w:rPr>
                <w:rFonts w:ascii="Times New Roman" w:hAnsi="Times New Roman" w:cs="宋体"/>
                <w:color w:val="auto"/>
              </w:rPr>
            </w:pPr>
          </w:p>
        </w:tc>
        <w:tc>
          <w:tcPr>
            <w:tcW w:w="1334" w:type="dxa"/>
            <w:vAlign w:val="center"/>
          </w:tcPr>
          <w:p w14:paraId="154DA748">
            <w:pPr>
              <w:spacing w:line="260" w:lineRule="exact"/>
              <w:jc w:val="center"/>
              <w:rPr>
                <w:rFonts w:ascii="Times New Roman" w:hAnsi="Times New Roman" w:cs="宋体"/>
                <w:color w:val="auto"/>
              </w:rPr>
            </w:pPr>
          </w:p>
        </w:tc>
      </w:tr>
      <w:tr w14:paraId="6B00B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69" w:type="dxa"/>
            <w:vAlign w:val="center"/>
          </w:tcPr>
          <w:p w14:paraId="2CB0FD3B">
            <w:pPr>
              <w:spacing w:line="260" w:lineRule="exact"/>
              <w:jc w:val="center"/>
              <w:rPr>
                <w:rFonts w:ascii="Times New Roman" w:hAnsi="Times New Roman" w:cs="宋体"/>
                <w:color w:val="auto"/>
              </w:rPr>
            </w:pPr>
          </w:p>
        </w:tc>
        <w:tc>
          <w:tcPr>
            <w:tcW w:w="1157" w:type="dxa"/>
            <w:gridSpan w:val="2"/>
            <w:vAlign w:val="center"/>
          </w:tcPr>
          <w:p w14:paraId="1E8FE1ED">
            <w:pPr>
              <w:spacing w:line="260" w:lineRule="exact"/>
              <w:jc w:val="center"/>
              <w:rPr>
                <w:rFonts w:ascii="Times New Roman" w:hAnsi="Times New Roman" w:cs="宋体"/>
                <w:color w:val="auto"/>
              </w:rPr>
            </w:pPr>
          </w:p>
        </w:tc>
        <w:tc>
          <w:tcPr>
            <w:tcW w:w="787" w:type="dxa"/>
            <w:gridSpan w:val="2"/>
            <w:vAlign w:val="center"/>
          </w:tcPr>
          <w:p w14:paraId="33210FEB">
            <w:pPr>
              <w:spacing w:line="260" w:lineRule="exact"/>
              <w:jc w:val="center"/>
              <w:rPr>
                <w:rFonts w:ascii="Times New Roman" w:hAnsi="Times New Roman" w:cs="宋体"/>
                <w:color w:val="auto"/>
              </w:rPr>
            </w:pPr>
          </w:p>
        </w:tc>
        <w:tc>
          <w:tcPr>
            <w:tcW w:w="995" w:type="dxa"/>
            <w:gridSpan w:val="2"/>
            <w:shd w:val="clear" w:color="auto" w:fill="auto"/>
            <w:vAlign w:val="center"/>
          </w:tcPr>
          <w:p w14:paraId="4529544E">
            <w:pPr>
              <w:spacing w:line="260" w:lineRule="exact"/>
              <w:jc w:val="center"/>
              <w:rPr>
                <w:rFonts w:hint="eastAsia" w:ascii="Times New Roman" w:hAnsi="Times New Roman" w:cs="宋体"/>
                <w:color w:val="auto"/>
              </w:rPr>
            </w:pPr>
            <w:r>
              <w:rPr>
                <w:rFonts w:hint="eastAsia" w:ascii="Times New Roman" w:hAnsi="Times New Roman" w:cs="宋体"/>
                <w:color w:val="auto"/>
              </w:rPr>
              <w:t>9</w:t>
            </w:r>
            <w:r>
              <w:rPr>
                <w:rFonts w:hint="eastAsia" w:ascii="Times New Roman" w:hAnsi="Times New Roman" w:cs="宋体"/>
                <w:color w:val="auto"/>
                <w:lang w:val="en-US" w:eastAsia="zh-CN"/>
              </w:rPr>
              <w:t>5</w:t>
            </w:r>
            <w:r>
              <w:rPr>
                <w:rFonts w:hint="eastAsia" w:ascii="Times New Roman" w:hAnsi="Times New Roman" w:cs="宋体"/>
                <w:color w:val="auto"/>
              </w:rPr>
              <w:t>#汽油</w:t>
            </w:r>
          </w:p>
        </w:tc>
        <w:tc>
          <w:tcPr>
            <w:tcW w:w="1083" w:type="dxa"/>
            <w:gridSpan w:val="2"/>
            <w:shd w:val="clear" w:color="auto" w:fill="auto"/>
            <w:vAlign w:val="center"/>
          </w:tcPr>
          <w:p w14:paraId="0FD1F930">
            <w:pPr>
              <w:spacing w:line="260" w:lineRule="exact"/>
              <w:jc w:val="center"/>
              <w:rPr>
                <w:rFonts w:hint="eastAsia" w:ascii="Times New Roman" w:hAnsi="Times New Roman" w:cs="宋体"/>
                <w:color w:val="auto"/>
              </w:rPr>
            </w:pPr>
            <w:r>
              <w:rPr>
                <w:rFonts w:hint="eastAsia" w:ascii="Times New Roman" w:hAnsi="Times New Roman" w:cs="宋体"/>
                <w:color w:val="auto"/>
              </w:rPr>
              <w:t>30m</w:t>
            </w:r>
            <w:r>
              <w:rPr>
                <w:rFonts w:hint="eastAsia" w:ascii="Times New Roman" w:hAnsi="Times New Roman" w:cs="宋体"/>
                <w:color w:val="auto"/>
                <w:vertAlign w:val="superscript"/>
              </w:rPr>
              <w:t>3</w:t>
            </w:r>
          </w:p>
        </w:tc>
        <w:tc>
          <w:tcPr>
            <w:tcW w:w="974" w:type="dxa"/>
            <w:gridSpan w:val="3"/>
            <w:shd w:val="clear" w:color="auto" w:fill="auto"/>
            <w:vAlign w:val="center"/>
          </w:tcPr>
          <w:p w14:paraId="63269DB9">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69" w:type="dxa"/>
            <w:gridSpan w:val="3"/>
            <w:vAlign w:val="center"/>
          </w:tcPr>
          <w:p w14:paraId="5BA8F62C">
            <w:pPr>
              <w:spacing w:line="260" w:lineRule="exact"/>
              <w:jc w:val="center"/>
              <w:rPr>
                <w:rFonts w:ascii="Times New Roman" w:hAnsi="Times New Roman" w:cs="宋体"/>
                <w:color w:val="auto"/>
              </w:rPr>
            </w:pPr>
          </w:p>
        </w:tc>
        <w:tc>
          <w:tcPr>
            <w:tcW w:w="971" w:type="dxa"/>
            <w:gridSpan w:val="2"/>
            <w:vAlign w:val="center"/>
          </w:tcPr>
          <w:p w14:paraId="552403A1">
            <w:pPr>
              <w:spacing w:line="260" w:lineRule="exact"/>
              <w:jc w:val="center"/>
              <w:rPr>
                <w:rFonts w:ascii="Times New Roman" w:hAnsi="Times New Roman" w:cs="宋体"/>
                <w:color w:val="auto"/>
              </w:rPr>
            </w:pPr>
          </w:p>
        </w:tc>
        <w:tc>
          <w:tcPr>
            <w:tcW w:w="1334" w:type="dxa"/>
            <w:vAlign w:val="center"/>
          </w:tcPr>
          <w:p w14:paraId="01E739E5">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26"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113"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2126"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113"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1</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兴国石油分公司上社加油站</w:t>
      </w:r>
      <w:r>
        <w:rPr>
          <w:rFonts w:hint="eastAsia" w:ascii="Times New Roman" w:hAnsi="Times New Roman" w:cs="宋体"/>
          <w:color w:val="auto"/>
          <w:spacing w:val="-6"/>
          <w:sz w:val="28"/>
          <w:szCs w:val="28"/>
        </w:rPr>
        <w:t>安全设施符合性诊断及整改设计》，并通过专家审查。</w:t>
      </w:r>
    </w:p>
    <w:p w14:paraId="651FAA7E">
      <w:pPr>
        <w:pStyle w:val="33"/>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3"/>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6"/>
          <w:color w:val="auto"/>
        </w:rPr>
      </w:pPr>
      <w:bookmarkStart w:id="28" w:name="_Toc31278"/>
      <w:r>
        <w:rPr>
          <w:rStyle w:val="36"/>
          <w:color w:val="auto"/>
        </w:rPr>
        <w:t xml:space="preserve">2.2 </w:t>
      </w:r>
      <w:r>
        <w:rPr>
          <w:rStyle w:val="36"/>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6085809E">
      <w:pPr>
        <w:spacing w:line="360" w:lineRule="auto"/>
        <w:ind w:firstLine="560" w:firstLineChars="200"/>
        <w:jc w:val="left"/>
        <w:rPr>
          <w:rFonts w:ascii="Times New Roman" w:hAnsi="Times New Roman" w:cs="Times New Roman"/>
          <w:color w:val="auto"/>
          <w:sz w:val="28"/>
          <w:szCs w:val="28"/>
        </w:rPr>
      </w:pPr>
      <w:r>
        <w:rPr>
          <w:rFonts w:ascii="Times New Roman" w:hAnsi="Times New Roman" w:cs="Times New Roman"/>
          <w:color w:val="auto"/>
          <w:sz w:val="28"/>
          <w:szCs w:val="28"/>
        </w:rPr>
        <w:t>加油站地处</w:t>
      </w:r>
      <w:r>
        <w:rPr>
          <w:rFonts w:hint="eastAsia" w:ascii="Times New Roman" w:hAnsi="Times New Roman" w:cs="Times New Roman"/>
          <w:color w:val="auto"/>
          <w:sz w:val="28"/>
          <w:szCs w:val="28"/>
          <w:lang w:eastAsia="zh-CN"/>
        </w:rPr>
        <w:t>兴国县长冈乡上社村</w:t>
      </w:r>
      <w:r>
        <w:rPr>
          <w:rFonts w:hint="eastAsia" w:ascii="Times New Roman" w:hAnsi="Times New Roman" w:cs="Times New Roman"/>
          <w:color w:val="auto"/>
          <w:sz w:val="28"/>
          <w:szCs w:val="28"/>
        </w:rPr>
        <w:t>。</w:t>
      </w:r>
    </w:p>
    <w:p w14:paraId="3414042E">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lang w:eastAsia="zh-CN"/>
        </w:rPr>
        <w:t>加油站西侧临长冈路，加油站出入口与长冈路连接。</w:t>
      </w:r>
    </w:p>
    <w:p w14:paraId="7510D572">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lang w:eastAsia="zh-CN"/>
        </w:rPr>
        <w:t>加油站北侧有民房（三类保护物）；</w:t>
      </w:r>
    </w:p>
    <w:p w14:paraId="603E719E">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lang w:eastAsia="zh-CN"/>
        </w:rPr>
        <w:t>南侧为有民房（三类保护物）；</w:t>
      </w:r>
    </w:p>
    <w:p w14:paraId="7AAD9D33">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lang w:eastAsia="zh-CN"/>
        </w:rPr>
        <w:t>东侧为农用地及污水处理设备（或有沼气聚集，甲类），设备旁有架空通讯线（H=6m）。</w:t>
      </w:r>
    </w:p>
    <w:p w14:paraId="52ACB481">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5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078"/>
        <w:gridCol w:w="1281"/>
        <w:gridCol w:w="4562"/>
        <w:gridCol w:w="1657"/>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078"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281"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562"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657"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078"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281" w:type="dxa"/>
            <w:shd w:val="clear" w:color="auto" w:fill="auto"/>
            <w:vAlign w:val="center"/>
          </w:tcPr>
          <w:p w14:paraId="29F5502D">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eastAsia="zh-CN"/>
              </w:rPr>
              <w:t>西侧</w:t>
            </w:r>
          </w:p>
        </w:tc>
        <w:tc>
          <w:tcPr>
            <w:tcW w:w="4562" w:type="dxa"/>
            <w:shd w:val="clear" w:color="auto" w:fill="auto"/>
            <w:vAlign w:val="center"/>
          </w:tcPr>
          <w:p w14:paraId="6A6C6792">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eastAsia="zh-CN"/>
              </w:rPr>
              <w:t>长冈路</w:t>
            </w:r>
          </w:p>
        </w:tc>
        <w:tc>
          <w:tcPr>
            <w:tcW w:w="1657"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10.8/10.8</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078" w:type="dxa"/>
            <w:vMerge w:val="continue"/>
            <w:vAlign w:val="center"/>
          </w:tcPr>
          <w:p w14:paraId="48212FAA">
            <w:pPr>
              <w:spacing w:line="240" w:lineRule="exact"/>
              <w:jc w:val="center"/>
              <w:rPr>
                <w:rFonts w:ascii="Times New Roman" w:hAnsi="Times New Roman" w:cs="Times New Roman"/>
                <w:bCs/>
                <w:color w:val="auto"/>
                <w:szCs w:val="24"/>
              </w:rPr>
            </w:pPr>
          </w:p>
        </w:tc>
        <w:tc>
          <w:tcPr>
            <w:tcW w:w="1281" w:type="dxa"/>
            <w:shd w:val="clear" w:color="auto" w:fill="auto"/>
            <w:vAlign w:val="center"/>
          </w:tcPr>
          <w:p w14:paraId="665B0E06">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eastAsia="zh-CN"/>
              </w:rPr>
              <w:t>北侧</w:t>
            </w:r>
          </w:p>
        </w:tc>
        <w:tc>
          <w:tcPr>
            <w:tcW w:w="4562" w:type="dxa"/>
            <w:shd w:val="clear" w:color="auto" w:fill="auto"/>
            <w:vAlign w:val="center"/>
          </w:tcPr>
          <w:p w14:paraId="21B79107">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eastAsia="zh-CN"/>
              </w:rPr>
              <w:t>民房（三类保护物）</w:t>
            </w:r>
          </w:p>
        </w:tc>
        <w:tc>
          <w:tcPr>
            <w:tcW w:w="1657"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41.7/32.8</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078" w:type="dxa"/>
            <w:vMerge w:val="continue"/>
            <w:vAlign w:val="center"/>
          </w:tcPr>
          <w:p w14:paraId="02BD73F0">
            <w:pPr>
              <w:spacing w:line="240" w:lineRule="exact"/>
              <w:jc w:val="center"/>
              <w:rPr>
                <w:rFonts w:ascii="Times New Roman" w:hAnsi="Times New Roman" w:cs="Times New Roman"/>
                <w:bCs/>
                <w:color w:val="auto"/>
                <w:szCs w:val="24"/>
              </w:rPr>
            </w:pPr>
          </w:p>
        </w:tc>
        <w:tc>
          <w:tcPr>
            <w:tcW w:w="1281" w:type="dxa"/>
            <w:shd w:val="clear" w:color="auto" w:fill="auto"/>
            <w:vAlign w:val="center"/>
          </w:tcPr>
          <w:p w14:paraId="6D0C8FD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eastAsia="zh-CN"/>
              </w:rPr>
              <w:t>南侧</w:t>
            </w:r>
          </w:p>
        </w:tc>
        <w:tc>
          <w:tcPr>
            <w:tcW w:w="4562" w:type="dxa"/>
            <w:shd w:val="clear" w:color="auto" w:fill="auto"/>
            <w:vAlign w:val="center"/>
          </w:tcPr>
          <w:p w14:paraId="3492C10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eastAsia="zh-CN"/>
              </w:rPr>
              <w:t>民房（三类保护物）</w:t>
            </w:r>
          </w:p>
        </w:tc>
        <w:tc>
          <w:tcPr>
            <w:tcW w:w="1657"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13.6/20.1</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078" w:type="dxa"/>
            <w:vMerge w:val="continue"/>
            <w:vAlign w:val="center"/>
          </w:tcPr>
          <w:p w14:paraId="02463B5F">
            <w:pPr>
              <w:spacing w:line="240" w:lineRule="exact"/>
              <w:jc w:val="center"/>
              <w:rPr>
                <w:rFonts w:ascii="Times New Roman" w:hAnsi="Times New Roman" w:cs="Times New Roman"/>
                <w:bCs/>
                <w:color w:val="auto"/>
                <w:szCs w:val="24"/>
              </w:rPr>
            </w:pPr>
          </w:p>
        </w:tc>
        <w:tc>
          <w:tcPr>
            <w:tcW w:w="1281" w:type="dxa"/>
            <w:shd w:val="clear" w:color="auto" w:fill="auto"/>
            <w:vAlign w:val="center"/>
          </w:tcPr>
          <w:p w14:paraId="5C86D44A">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eastAsia="zh-CN"/>
              </w:rPr>
              <w:t>东侧</w:t>
            </w:r>
          </w:p>
        </w:tc>
        <w:tc>
          <w:tcPr>
            <w:tcW w:w="4562" w:type="dxa"/>
            <w:shd w:val="clear" w:color="auto" w:fill="auto"/>
            <w:vAlign w:val="center"/>
          </w:tcPr>
          <w:p w14:paraId="6AE9C41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eastAsia="zh-CN"/>
              </w:rPr>
              <w:t>农用地及污水处理设备（或有沼气聚集，甲类）</w:t>
            </w:r>
          </w:p>
        </w:tc>
        <w:tc>
          <w:tcPr>
            <w:tcW w:w="1657" w:type="dxa"/>
            <w:vAlign w:val="center"/>
          </w:tcPr>
          <w:p w14:paraId="0B8CB9F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16.6/14.9</w:t>
            </w:r>
          </w:p>
        </w:tc>
      </w:tr>
      <w:tr w14:paraId="567AF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078" w:type="dxa"/>
            <w:vMerge w:val="continue"/>
            <w:vAlign w:val="center"/>
          </w:tcPr>
          <w:p w14:paraId="4BCAB829">
            <w:pPr>
              <w:spacing w:line="240" w:lineRule="exact"/>
              <w:jc w:val="center"/>
              <w:rPr>
                <w:rFonts w:ascii="Times New Roman" w:hAnsi="Times New Roman" w:cs="Times New Roman"/>
                <w:bCs/>
                <w:color w:val="auto"/>
                <w:szCs w:val="24"/>
              </w:rPr>
            </w:pPr>
          </w:p>
        </w:tc>
        <w:tc>
          <w:tcPr>
            <w:tcW w:w="1281" w:type="dxa"/>
            <w:shd w:val="clear" w:color="auto" w:fill="auto"/>
            <w:vAlign w:val="center"/>
          </w:tcPr>
          <w:p w14:paraId="784A9943">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eastAsia="zh-CN"/>
              </w:rPr>
              <w:t>东侧</w:t>
            </w:r>
          </w:p>
        </w:tc>
        <w:tc>
          <w:tcPr>
            <w:tcW w:w="4562" w:type="dxa"/>
            <w:shd w:val="clear" w:color="auto" w:fill="auto"/>
            <w:vAlign w:val="center"/>
          </w:tcPr>
          <w:p w14:paraId="3667D163">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eastAsia="zh-CN"/>
              </w:rPr>
              <w:t>架空通讯线（H=6m）</w:t>
            </w:r>
          </w:p>
        </w:tc>
        <w:tc>
          <w:tcPr>
            <w:tcW w:w="1657" w:type="dxa"/>
            <w:vAlign w:val="center"/>
          </w:tcPr>
          <w:p w14:paraId="4692F15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11.4/11.2</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078"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281" w:type="dxa"/>
            <w:shd w:val="clear" w:color="auto" w:fill="auto"/>
            <w:vAlign w:val="center"/>
          </w:tcPr>
          <w:p w14:paraId="41BEB26C">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eastAsia="zh-CN"/>
              </w:rPr>
              <w:t>西侧</w:t>
            </w:r>
          </w:p>
        </w:tc>
        <w:tc>
          <w:tcPr>
            <w:tcW w:w="4562" w:type="dxa"/>
            <w:shd w:val="clear" w:color="auto" w:fill="auto"/>
            <w:vAlign w:val="center"/>
          </w:tcPr>
          <w:p w14:paraId="579F926E">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长冈路</w:t>
            </w:r>
          </w:p>
        </w:tc>
        <w:tc>
          <w:tcPr>
            <w:tcW w:w="1657"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13.7/13.7</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078" w:type="dxa"/>
            <w:vMerge w:val="continue"/>
            <w:vAlign w:val="center"/>
          </w:tcPr>
          <w:p w14:paraId="014E808B">
            <w:pPr>
              <w:spacing w:line="240" w:lineRule="exact"/>
              <w:jc w:val="center"/>
              <w:rPr>
                <w:rFonts w:ascii="Times New Roman" w:hAnsi="Times New Roman" w:cs="Times New Roman"/>
                <w:bCs/>
                <w:color w:val="auto"/>
                <w:szCs w:val="24"/>
              </w:rPr>
            </w:pPr>
          </w:p>
        </w:tc>
        <w:tc>
          <w:tcPr>
            <w:tcW w:w="1281" w:type="dxa"/>
            <w:shd w:val="clear" w:color="auto" w:fill="auto"/>
            <w:vAlign w:val="center"/>
          </w:tcPr>
          <w:p w14:paraId="0B70D19F">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北侧</w:t>
            </w:r>
          </w:p>
        </w:tc>
        <w:tc>
          <w:tcPr>
            <w:tcW w:w="4562" w:type="dxa"/>
            <w:shd w:val="clear" w:color="auto" w:fill="auto"/>
            <w:vAlign w:val="center"/>
          </w:tcPr>
          <w:p w14:paraId="2BBA18E2">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民房（三类保护物）</w:t>
            </w:r>
          </w:p>
        </w:tc>
        <w:tc>
          <w:tcPr>
            <w:tcW w:w="1657"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41.2/41.2</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078" w:type="dxa"/>
            <w:vMerge w:val="continue"/>
            <w:vAlign w:val="center"/>
          </w:tcPr>
          <w:p w14:paraId="6BAE1339">
            <w:pPr>
              <w:spacing w:line="240" w:lineRule="exact"/>
              <w:jc w:val="center"/>
              <w:rPr>
                <w:rFonts w:ascii="Times New Roman" w:hAnsi="Times New Roman" w:cs="Times New Roman"/>
                <w:bCs/>
                <w:color w:val="auto"/>
                <w:szCs w:val="24"/>
              </w:rPr>
            </w:pPr>
          </w:p>
        </w:tc>
        <w:tc>
          <w:tcPr>
            <w:tcW w:w="1281" w:type="dxa"/>
            <w:shd w:val="clear" w:color="auto" w:fill="auto"/>
            <w:vAlign w:val="center"/>
          </w:tcPr>
          <w:p w14:paraId="6D95AE19">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eastAsia="zh-CN"/>
              </w:rPr>
              <w:t>南侧</w:t>
            </w:r>
          </w:p>
        </w:tc>
        <w:tc>
          <w:tcPr>
            <w:tcW w:w="4562" w:type="dxa"/>
            <w:shd w:val="clear" w:color="auto" w:fill="auto"/>
            <w:vAlign w:val="center"/>
          </w:tcPr>
          <w:p w14:paraId="0BF903B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民房（三类保护物）</w:t>
            </w:r>
          </w:p>
        </w:tc>
        <w:tc>
          <w:tcPr>
            <w:tcW w:w="1657" w:type="dxa"/>
            <w:vAlign w:val="center"/>
          </w:tcPr>
          <w:p w14:paraId="1142A2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18.9/18.9</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078" w:type="dxa"/>
            <w:vMerge w:val="continue"/>
            <w:vAlign w:val="center"/>
          </w:tcPr>
          <w:p w14:paraId="5155372B">
            <w:pPr>
              <w:spacing w:line="240" w:lineRule="exact"/>
              <w:jc w:val="center"/>
              <w:rPr>
                <w:rFonts w:ascii="Times New Roman" w:hAnsi="Times New Roman" w:cs="Times New Roman"/>
                <w:bCs/>
                <w:color w:val="auto"/>
                <w:szCs w:val="24"/>
              </w:rPr>
            </w:pPr>
          </w:p>
        </w:tc>
        <w:tc>
          <w:tcPr>
            <w:tcW w:w="1281" w:type="dxa"/>
            <w:shd w:val="clear" w:color="auto" w:fill="auto"/>
            <w:vAlign w:val="center"/>
          </w:tcPr>
          <w:p w14:paraId="683A4C5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东侧</w:t>
            </w:r>
          </w:p>
        </w:tc>
        <w:tc>
          <w:tcPr>
            <w:tcW w:w="4562" w:type="dxa"/>
            <w:shd w:val="clear" w:color="auto" w:fill="auto"/>
            <w:vAlign w:val="center"/>
          </w:tcPr>
          <w:p w14:paraId="417BD428">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农用地及污水处理设备（或有沼气聚集，甲类）</w:t>
            </w:r>
          </w:p>
        </w:tc>
        <w:tc>
          <w:tcPr>
            <w:tcW w:w="1657" w:type="dxa"/>
            <w:vAlign w:val="center"/>
          </w:tcPr>
          <w:p w14:paraId="095934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18.9/18.9</w:t>
            </w:r>
          </w:p>
        </w:tc>
      </w:tr>
      <w:tr w14:paraId="33BF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078" w:type="dxa"/>
            <w:vMerge w:val="continue"/>
            <w:vAlign w:val="center"/>
          </w:tcPr>
          <w:p w14:paraId="1D409610">
            <w:pPr>
              <w:spacing w:line="240" w:lineRule="exact"/>
              <w:jc w:val="center"/>
              <w:rPr>
                <w:rFonts w:ascii="Times New Roman" w:hAnsi="Times New Roman" w:cs="Times New Roman"/>
                <w:bCs/>
                <w:color w:val="auto"/>
                <w:szCs w:val="24"/>
              </w:rPr>
            </w:pPr>
          </w:p>
        </w:tc>
        <w:tc>
          <w:tcPr>
            <w:tcW w:w="1281" w:type="dxa"/>
            <w:shd w:val="clear" w:color="auto" w:fill="auto"/>
            <w:vAlign w:val="center"/>
          </w:tcPr>
          <w:p w14:paraId="149AB111">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东侧</w:t>
            </w:r>
          </w:p>
        </w:tc>
        <w:tc>
          <w:tcPr>
            <w:tcW w:w="4562" w:type="dxa"/>
            <w:shd w:val="clear" w:color="auto" w:fill="auto"/>
            <w:vAlign w:val="center"/>
          </w:tcPr>
          <w:p w14:paraId="2843946B">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架空通讯线（H=6m）</w:t>
            </w:r>
          </w:p>
        </w:tc>
        <w:tc>
          <w:tcPr>
            <w:tcW w:w="1657" w:type="dxa"/>
            <w:vAlign w:val="center"/>
          </w:tcPr>
          <w:p w14:paraId="6D7233B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14.6/14.6</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078"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281" w:type="dxa"/>
            <w:shd w:val="clear" w:color="auto" w:fill="auto"/>
            <w:vAlign w:val="center"/>
          </w:tcPr>
          <w:p w14:paraId="0B03ADE3">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eastAsia="zh-CN"/>
              </w:rPr>
              <w:t>西侧</w:t>
            </w:r>
          </w:p>
        </w:tc>
        <w:tc>
          <w:tcPr>
            <w:tcW w:w="4562" w:type="dxa"/>
            <w:shd w:val="clear" w:color="auto" w:fill="auto"/>
            <w:vAlign w:val="center"/>
          </w:tcPr>
          <w:p w14:paraId="7E73B51B">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长冈路</w:t>
            </w:r>
          </w:p>
        </w:tc>
        <w:tc>
          <w:tcPr>
            <w:tcW w:w="1657"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8.0/8.0</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078" w:type="dxa"/>
            <w:vMerge w:val="continue"/>
            <w:vAlign w:val="center"/>
          </w:tcPr>
          <w:p w14:paraId="55AA8D61">
            <w:pPr>
              <w:spacing w:line="240" w:lineRule="exact"/>
              <w:jc w:val="center"/>
              <w:rPr>
                <w:rFonts w:ascii="Times New Roman" w:hAnsi="Times New Roman" w:cs="Times New Roman"/>
                <w:bCs/>
                <w:color w:val="auto"/>
                <w:szCs w:val="24"/>
              </w:rPr>
            </w:pPr>
          </w:p>
        </w:tc>
        <w:tc>
          <w:tcPr>
            <w:tcW w:w="1281" w:type="dxa"/>
            <w:shd w:val="clear" w:color="auto" w:fill="auto"/>
            <w:vAlign w:val="center"/>
          </w:tcPr>
          <w:p w14:paraId="1A7E2FB3">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北侧</w:t>
            </w:r>
          </w:p>
        </w:tc>
        <w:tc>
          <w:tcPr>
            <w:tcW w:w="4562" w:type="dxa"/>
            <w:shd w:val="clear" w:color="auto" w:fill="auto"/>
            <w:vAlign w:val="center"/>
          </w:tcPr>
          <w:p w14:paraId="48F2012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民房（三类保护物）</w:t>
            </w:r>
          </w:p>
        </w:tc>
        <w:tc>
          <w:tcPr>
            <w:tcW w:w="1657"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28.4/24.8</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078" w:type="dxa"/>
            <w:vMerge w:val="continue"/>
            <w:vAlign w:val="center"/>
          </w:tcPr>
          <w:p w14:paraId="67D66688">
            <w:pPr>
              <w:spacing w:line="240" w:lineRule="exact"/>
              <w:jc w:val="center"/>
              <w:rPr>
                <w:rFonts w:ascii="Times New Roman" w:hAnsi="Times New Roman" w:cs="Times New Roman"/>
                <w:bCs/>
                <w:color w:val="auto"/>
                <w:szCs w:val="24"/>
              </w:rPr>
            </w:pPr>
          </w:p>
        </w:tc>
        <w:tc>
          <w:tcPr>
            <w:tcW w:w="1281" w:type="dxa"/>
            <w:shd w:val="clear" w:color="auto" w:fill="auto"/>
            <w:vAlign w:val="center"/>
          </w:tcPr>
          <w:p w14:paraId="33E49285">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南侧</w:t>
            </w:r>
          </w:p>
        </w:tc>
        <w:tc>
          <w:tcPr>
            <w:tcW w:w="4562" w:type="dxa"/>
            <w:shd w:val="clear" w:color="auto" w:fill="auto"/>
            <w:vAlign w:val="center"/>
          </w:tcPr>
          <w:p w14:paraId="5D45A3C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民房（三类保护物）</w:t>
            </w:r>
          </w:p>
        </w:tc>
        <w:tc>
          <w:tcPr>
            <w:tcW w:w="1657"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32.5/36.1</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078" w:type="dxa"/>
            <w:vMerge w:val="continue"/>
            <w:vAlign w:val="center"/>
          </w:tcPr>
          <w:p w14:paraId="0682E843">
            <w:pPr>
              <w:spacing w:line="240" w:lineRule="exact"/>
              <w:jc w:val="center"/>
              <w:rPr>
                <w:rFonts w:ascii="Times New Roman" w:hAnsi="Times New Roman" w:cs="Times New Roman"/>
                <w:bCs/>
                <w:color w:val="auto"/>
                <w:szCs w:val="24"/>
              </w:rPr>
            </w:pPr>
          </w:p>
        </w:tc>
        <w:tc>
          <w:tcPr>
            <w:tcW w:w="1281" w:type="dxa"/>
            <w:shd w:val="clear" w:color="auto" w:fill="auto"/>
            <w:vAlign w:val="center"/>
          </w:tcPr>
          <w:p w14:paraId="4D4BE1C8">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eastAsia="zh-CN"/>
              </w:rPr>
              <w:t>东侧</w:t>
            </w:r>
          </w:p>
        </w:tc>
        <w:tc>
          <w:tcPr>
            <w:tcW w:w="4562" w:type="dxa"/>
            <w:shd w:val="clear" w:color="auto" w:fill="auto"/>
            <w:vAlign w:val="center"/>
          </w:tcPr>
          <w:p w14:paraId="280A22EA">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农用地及污水处理设备（或有沼气聚集，甲类）</w:t>
            </w:r>
          </w:p>
        </w:tc>
        <w:tc>
          <w:tcPr>
            <w:tcW w:w="1657" w:type="dxa"/>
            <w:vAlign w:val="center"/>
          </w:tcPr>
          <w:p w14:paraId="2F5508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17.4/17</w:t>
            </w:r>
          </w:p>
        </w:tc>
      </w:tr>
      <w:tr w14:paraId="0D0C4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2078" w:type="dxa"/>
            <w:vMerge w:val="continue"/>
            <w:vAlign w:val="center"/>
          </w:tcPr>
          <w:p w14:paraId="0F38D9BB">
            <w:pPr>
              <w:spacing w:line="240" w:lineRule="exact"/>
              <w:jc w:val="center"/>
              <w:rPr>
                <w:rFonts w:ascii="Times New Roman" w:hAnsi="Times New Roman" w:cs="Times New Roman"/>
                <w:bCs/>
                <w:color w:val="auto"/>
                <w:szCs w:val="24"/>
              </w:rPr>
            </w:pPr>
          </w:p>
        </w:tc>
        <w:tc>
          <w:tcPr>
            <w:tcW w:w="1281" w:type="dxa"/>
            <w:shd w:val="clear" w:color="auto" w:fill="auto"/>
            <w:vAlign w:val="center"/>
          </w:tcPr>
          <w:p w14:paraId="178F22A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东侧</w:t>
            </w:r>
          </w:p>
        </w:tc>
        <w:tc>
          <w:tcPr>
            <w:tcW w:w="4562" w:type="dxa"/>
            <w:shd w:val="clear" w:color="auto" w:fill="auto"/>
            <w:vAlign w:val="center"/>
          </w:tcPr>
          <w:p w14:paraId="684EB990">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架空通讯线（H=6m）</w:t>
            </w:r>
          </w:p>
        </w:tc>
        <w:tc>
          <w:tcPr>
            <w:tcW w:w="1657" w:type="dxa"/>
            <w:vAlign w:val="center"/>
          </w:tcPr>
          <w:p w14:paraId="3A37311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19.4/19</w:t>
            </w:r>
          </w:p>
        </w:tc>
      </w:tr>
    </w:tbl>
    <w:p w14:paraId="0FB26A44">
      <w:pPr>
        <w:pStyle w:val="4"/>
        <w:spacing w:line="360" w:lineRule="auto"/>
        <w:rPr>
          <w:rFonts w:cs="Times New Roman"/>
          <w:color w:val="auto"/>
          <w:sz w:val="28"/>
          <w:szCs w:val="28"/>
        </w:rPr>
      </w:pPr>
      <w:bookmarkStart w:id="30" w:name="_Toc7824"/>
      <w:r>
        <w:rPr>
          <w:color w:val="auto"/>
          <w:sz w:val="28"/>
          <w:szCs w:val="28"/>
        </w:rPr>
        <w:t>2.2.3</w:t>
      </w:r>
      <w:r>
        <w:rPr>
          <w:rFonts w:hint="eastAsia" w:cs="宋体"/>
          <w:color w:val="auto"/>
          <w:sz w:val="28"/>
          <w:szCs w:val="28"/>
        </w:rPr>
        <w:t>总图及平面布置</w:t>
      </w:r>
      <w:bookmarkEnd w:id="30"/>
    </w:p>
    <w:p w14:paraId="50EA0E8C">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加油站总平面布置按功能划分为加油区、站房、油罐区（非承重）、密闭卸油口、隔油池等。</w:t>
      </w:r>
    </w:p>
    <w:p w14:paraId="4C883955">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加油站区内地势平坦，坡向道路，地面坡度&lt;2%。站内混凝土路面与长冈路相连，进口、出口分开设置。加油站除出入口外，站后设有高2.2m 的实体围墙与外部隔开。</w:t>
      </w:r>
    </w:p>
    <w:p w14:paraId="78175118">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宋体"/>
          <w:b/>
          <w:bCs/>
          <w:color w:val="auto"/>
          <w:sz w:val="28"/>
          <w:szCs w:val="28"/>
          <w:lang w:val="zh-CN"/>
        </w:rPr>
        <w:t>站房：</w:t>
      </w:r>
      <w:r>
        <w:rPr>
          <w:rFonts w:hint="eastAsia" w:ascii="Times New Roman" w:hAnsi="Times New Roman" w:cs="Times New Roman"/>
          <w:color w:val="auto"/>
          <w:sz w:val="28"/>
          <w:szCs w:val="28"/>
        </w:rPr>
        <w:t>位于站区中部，为一层建筑，砖混结构，砼地面，占地面积1</w:t>
      </w:r>
      <w:r>
        <w:rPr>
          <w:rFonts w:hint="eastAsia" w:ascii="Times New Roman" w:hAnsi="Times New Roman" w:cs="Times New Roman"/>
          <w:color w:val="auto"/>
          <w:sz w:val="28"/>
          <w:szCs w:val="28"/>
          <w:lang w:val="en-US" w:eastAsia="zh-CN"/>
        </w:rPr>
        <w:t>77</w:t>
      </w:r>
      <w:r>
        <w:rPr>
          <w:rFonts w:hint="eastAsia" w:ascii="Times New Roman" w:hAnsi="Times New Roman" w:cs="Times New Roman"/>
          <w:color w:val="auto"/>
          <w:sz w:val="28"/>
          <w:szCs w:val="28"/>
        </w:rPr>
        <w:t>.5m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w:t>
      </w:r>
      <w:r>
        <w:rPr>
          <w:rFonts w:hint="eastAsia" w:ascii="Times New Roman" w:hAnsi="Times New Roman" w:cs="Times New Roman"/>
          <w:color w:val="auto"/>
          <w:sz w:val="28"/>
          <w:szCs w:val="28"/>
          <w:lang w:val="en-US" w:eastAsia="zh-CN"/>
        </w:rPr>
        <w:t>配电间</w:t>
      </w:r>
      <w:r>
        <w:rPr>
          <w:rFonts w:hint="eastAsia" w:ascii="Times New Roman" w:hAnsi="Times New Roman" w:cs="Times New Roman"/>
          <w:color w:val="auto"/>
          <w:sz w:val="28"/>
          <w:szCs w:val="28"/>
        </w:rPr>
        <w:t>、卫生间等。</w:t>
      </w:r>
    </w:p>
    <w:p w14:paraId="5AC37D3C">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宋体"/>
          <w:b/>
          <w:bCs/>
          <w:color w:val="auto"/>
          <w:sz w:val="28"/>
          <w:szCs w:val="28"/>
          <w:lang w:val="zh-CN"/>
        </w:rPr>
        <w:t>加油区：</w:t>
      </w:r>
      <w:r>
        <w:rPr>
          <w:rFonts w:hint="eastAsia" w:ascii="Times New Roman" w:hAnsi="Times New Roman" w:cs="Times New Roman"/>
          <w:color w:val="auto"/>
          <w:sz w:val="28"/>
          <w:szCs w:val="28"/>
        </w:rPr>
        <w:t>位于站区西侧，罩棚高</w:t>
      </w:r>
      <w:r>
        <w:rPr>
          <w:rFonts w:hint="eastAsia" w:ascii="Times New Roman" w:hAnsi="Times New Roman" w:cs="Times New Roman"/>
          <w:color w:val="auto"/>
          <w:sz w:val="28"/>
          <w:szCs w:val="28"/>
          <w:lang w:val="en-US" w:eastAsia="zh-CN"/>
        </w:rPr>
        <w:t>6.0</w:t>
      </w:r>
      <w:r>
        <w:rPr>
          <w:rFonts w:hint="eastAsia" w:ascii="Times New Roman" w:hAnsi="Times New Roman" w:cs="Times New Roman"/>
          <w:color w:val="auto"/>
          <w:sz w:val="28"/>
          <w:szCs w:val="28"/>
        </w:rPr>
        <w:t>m，罩棚边缘突出加油机2.5m，罩棚共2 根现浇钢筋混凝土立柱，罩棚顶为混凝土结构，占地面积93.5m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，内设有1座通长加油岛，高0.2m，宽1.2m，长8.5m，加油岛上罩棚支柱距岛端部为0.6m，加油岛为1 台95#、95#、92#、92#四枪加油机和1台0#、0#双枪加油机。</w:t>
      </w:r>
    </w:p>
    <w:p w14:paraId="18F950B6">
      <w:pPr>
        <w:spacing w:line="360" w:lineRule="auto"/>
        <w:ind w:firstLine="538"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pacing w:val="-6"/>
          <w:sz w:val="28"/>
          <w:szCs w:val="28"/>
          <w:lang w:val="en-US" w:eastAsia="zh-CN"/>
        </w:rPr>
        <w:t>非</w:t>
      </w:r>
      <w:r>
        <w:rPr>
          <w:rFonts w:hint="eastAsia" w:ascii="Times New Roman" w:hAnsi="Times New Roman" w:cs="宋体"/>
          <w:b/>
          <w:bCs/>
          <w:color w:val="auto"/>
          <w:spacing w:val="-6"/>
          <w:sz w:val="28"/>
          <w:szCs w:val="28"/>
          <w:lang w:val="zh-CN"/>
        </w:rPr>
        <w:t>承重油罐区：</w:t>
      </w:r>
      <w:r>
        <w:rPr>
          <w:rFonts w:hint="eastAsia" w:ascii="Times New Roman" w:hAnsi="Times New Roman" w:cs="宋体"/>
          <w:color w:val="auto"/>
          <w:spacing w:val="-6"/>
          <w:sz w:val="28"/>
          <w:szCs w:val="28"/>
          <w:lang w:val="zh-CN"/>
        </w:rPr>
        <w:t>位于站区</w:t>
      </w:r>
      <w:r>
        <w:rPr>
          <w:rFonts w:hint="eastAsia" w:ascii="Times New Roman" w:hAnsi="Times New Roman" w:cs="宋体"/>
          <w:color w:val="auto"/>
          <w:spacing w:val="-6"/>
          <w:sz w:val="28"/>
          <w:szCs w:val="28"/>
          <w:lang w:val="en-US" w:eastAsia="zh-CN"/>
        </w:rPr>
        <w:t>南</w:t>
      </w:r>
      <w:r>
        <w:rPr>
          <w:rFonts w:hint="eastAsia" w:ascii="Times New Roman" w:hAnsi="Times New Roman" w:cs="宋体"/>
          <w:color w:val="auto"/>
          <w:spacing w:val="-6"/>
          <w:sz w:val="28"/>
          <w:szCs w:val="28"/>
          <w:lang w:val="zh-CN"/>
        </w:rPr>
        <w:t>侧，属</w:t>
      </w:r>
      <w:r>
        <w:rPr>
          <w:rFonts w:hint="eastAsia" w:ascii="Times New Roman" w:hAnsi="Times New Roman" w:cs="宋体"/>
          <w:color w:val="auto"/>
          <w:spacing w:val="-6"/>
          <w:sz w:val="28"/>
          <w:szCs w:val="28"/>
          <w:lang w:val="en-US" w:eastAsia="zh-CN"/>
        </w:rPr>
        <w:t>非</w:t>
      </w:r>
      <w:r>
        <w:rPr>
          <w:rFonts w:hint="eastAsia" w:ascii="Times New Roman" w:hAnsi="Times New Roman" w:cs="宋体"/>
          <w:color w:val="auto"/>
          <w:spacing w:val="-6"/>
          <w:sz w:val="28"/>
          <w:szCs w:val="28"/>
          <w:lang w:val="zh-CN"/>
        </w:rPr>
        <w:t>承重罐区，</w:t>
      </w:r>
      <w:r>
        <w:rPr>
          <w:rFonts w:hint="eastAsia" w:ascii="Times New Roman" w:hAnsi="Times New Roman" w:cs="宋体"/>
          <w:color w:val="auto"/>
          <w:spacing w:val="-6"/>
          <w:sz w:val="28"/>
          <w:szCs w:val="28"/>
          <w:lang w:val="en-US" w:eastAsia="zh-CN"/>
        </w:rPr>
        <w:t>3</w:t>
      </w:r>
      <w:r>
        <w:rPr>
          <w:rFonts w:hint="eastAsia" w:ascii="Times New Roman" w:hAnsi="Times New Roman" w:cs="宋体"/>
          <w:color w:val="auto"/>
          <w:spacing w:val="-6"/>
          <w:sz w:val="28"/>
          <w:szCs w:val="28"/>
          <w:lang w:val="zh-CN"/>
        </w:rPr>
        <w:t>个卧式埋地SF油罐由</w:t>
      </w:r>
      <w:r>
        <w:rPr>
          <w:rFonts w:hint="eastAsia" w:ascii="Times New Roman" w:hAnsi="Times New Roman" w:cs="宋体"/>
          <w:color w:val="auto"/>
          <w:spacing w:val="-6"/>
          <w:sz w:val="28"/>
          <w:szCs w:val="28"/>
          <w:lang w:val="en-US" w:eastAsia="zh-CN"/>
        </w:rPr>
        <w:t>北</w:t>
      </w:r>
      <w:r>
        <w:rPr>
          <w:rFonts w:hint="eastAsia" w:ascii="Times New Roman" w:hAnsi="Times New Roman" w:cs="宋体"/>
          <w:color w:val="auto"/>
          <w:spacing w:val="-6"/>
          <w:sz w:val="28"/>
          <w:szCs w:val="28"/>
          <w:lang w:val="zh-CN"/>
        </w:rPr>
        <w:t>向</w:t>
      </w:r>
      <w:r>
        <w:rPr>
          <w:rFonts w:hint="eastAsia" w:ascii="Times New Roman" w:hAnsi="Times New Roman" w:cs="宋体"/>
          <w:color w:val="auto"/>
          <w:spacing w:val="-6"/>
          <w:sz w:val="28"/>
          <w:szCs w:val="28"/>
          <w:lang w:val="en-US" w:eastAsia="zh-CN"/>
        </w:rPr>
        <w:t>南</w:t>
      </w:r>
      <w:r>
        <w:rPr>
          <w:rFonts w:hint="eastAsia" w:ascii="Times New Roman" w:hAnsi="Times New Roman" w:cs="宋体"/>
          <w:color w:val="auto"/>
          <w:spacing w:val="-6"/>
          <w:sz w:val="28"/>
          <w:szCs w:val="28"/>
          <w:lang w:val="zh-CN"/>
        </w:rPr>
        <w:t>呈单排设置，分别为容量为30m3 的0#柴油储罐1 个，容量为30m3 的92#汽油储罐1个，容量为30m3 的95#汽油储罐1 个。柴油通气管、汽油通气管设置于罐区内，为DN50 的无缝钢管，通气管管口高出地面4m。</w:t>
      </w:r>
    </w:p>
    <w:p w14:paraId="78A2FF4A">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密闭卸油口：</w:t>
      </w:r>
      <w:r>
        <w:rPr>
          <w:rFonts w:hint="eastAsia" w:ascii="Times New Roman" w:hAnsi="Times New Roman" w:cs="宋体"/>
          <w:color w:val="auto"/>
          <w:sz w:val="28"/>
          <w:szCs w:val="28"/>
          <w:lang w:val="zh-CN"/>
        </w:rPr>
        <w:t>位于罐区西侧，设置1 座2m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 xml:space="preserve"> 消防沙池，1 个消防器材箱，1个计量组合柜。</w:t>
      </w:r>
    </w:p>
    <w:p w14:paraId="67FB596C">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隔油池：</w:t>
      </w:r>
      <w:r>
        <w:rPr>
          <w:rFonts w:hint="eastAsia" w:ascii="Times New Roman" w:hAnsi="Times New Roman" w:cs="宋体"/>
          <w:color w:val="auto"/>
          <w:sz w:val="28"/>
          <w:szCs w:val="28"/>
          <w:lang w:val="zh-CN"/>
        </w:rPr>
        <w:t>设有隔油池一座，位于站区出口附近。</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491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923"/>
        <w:gridCol w:w="1893"/>
        <w:gridCol w:w="2616"/>
        <w:gridCol w:w="1902"/>
        <w:gridCol w:w="1615"/>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516"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057"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461"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062"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902"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516"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057"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461"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062"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902"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0.6</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516"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057"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461"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2"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902"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7.8</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516"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057"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461"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2"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902"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4.6</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516"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057"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461"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62"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902"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516"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057"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461"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62"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902"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516"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057"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461"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2"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902"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7.6</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516"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057"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461"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2"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902"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7.6</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516"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057"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461"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62"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902"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4.7</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516"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057"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461"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62"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902"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4.7</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516"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057"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461"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62"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902"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5.3</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516"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057"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461"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62"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902"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5.3</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516"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057"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461"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2"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902"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516"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057"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461"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2"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902"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516"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057"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461"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2"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902"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9.7</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516"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057"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461"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62"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902"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26.2</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516"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057"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461"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62"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902"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26</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516"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057"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461"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62"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902"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27.1</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516"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057"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461"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62"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902"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14.7</w:t>
            </w:r>
          </w:p>
        </w:tc>
      </w:tr>
    </w:tbl>
    <w:p w14:paraId="719FD588">
      <w:pPr>
        <w:pStyle w:val="4"/>
        <w:rPr>
          <w:rFonts w:cs="Times New Roman"/>
          <w:color w:val="auto"/>
        </w:rPr>
      </w:pPr>
      <w:r>
        <w:rPr>
          <w:color w:val="auto"/>
        </w:rPr>
        <w:t xml:space="preserve">2.2.2 </w:t>
      </w:r>
      <w:r>
        <w:rPr>
          <w:rFonts w:hint="eastAsia" w:cs="宋体"/>
          <w:color w:val="auto"/>
        </w:rPr>
        <w:t>气象条件</w:t>
      </w:r>
    </w:p>
    <w:p w14:paraId="203DAACA">
      <w:pPr>
        <w:pStyle w:val="33"/>
        <w:ind w:firstLine="536" w:firstLineChars="200"/>
        <w:rPr>
          <w:rFonts w:hint="eastAsia" w:ascii="Times New Roman" w:cs="Times New Roman"/>
          <w:color w:val="auto"/>
          <w:sz w:val="28"/>
          <w:szCs w:val="28"/>
        </w:rPr>
      </w:pPr>
      <w:r>
        <w:rPr>
          <w:rFonts w:hint="eastAsia" w:ascii="Times New Roman" w:cs="Times New Roman"/>
          <w:color w:val="auto"/>
          <w:spacing w:val="-6"/>
          <w:sz w:val="28"/>
          <w:szCs w:val="28"/>
        </w:rPr>
        <w:t>兴国县系亚热带季风湿润气候。气候温和，雨量充沛，光照充足，四季分明，无霜期长。年平均气温为18.8℃，日照1926.5小时，降雨量1560 毫米，年平均降雨量为1515.6 毫米，年平均无霜期284 天，适宜各种农作物生长。</w:t>
      </w:r>
    </w:p>
    <w:p w14:paraId="464E8AFC">
      <w:pPr>
        <w:pStyle w:val="33"/>
        <w:ind w:firstLine="560" w:firstLineChars="200"/>
        <w:rPr>
          <w:rFonts w:hint="eastAsia" w:ascii="Times New Roman" w:eastAsia="宋体" w:cs="Times New Roman"/>
          <w:color w:val="auto"/>
          <w:sz w:val="28"/>
          <w:szCs w:val="28"/>
          <w:lang w:val="en-US" w:eastAsia="zh-CN"/>
        </w:rPr>
      </w:pPr>
      <w:r>
        <w:rPr>
          <w:rFonts w:hint="eastAsia" w:ascii="Times New Roman" w:cs="Times New Roman"/>
          <w:color w:val="auto"/>
          <w:sz w:val="28"/>
          <w:szCs w:val="28"/>
        </w:rPr>
        <w:t>该项目在雷电易发区，年平均地闪密度5.97，雷电活动频繁，无历史雷电害灾</w:t>
      </w:r>
      <w:r>
        <w:rPr>
          <w:rFonts w:hint="eastAsia" w:ascii="Times New Roman" w:cs="Times New Roman"/>
          <w:color w:val="auto"/>
          <w:sz w:val="28"/>
          <w:szCs w:val="28"/>
          <w:lang w:val="en-US" w:eastAsia="zh-CN"/>
        </w:rPr>
        <w:t>。</w:t>
      </w:r>
    </w:p>
    <w:p w14:paraId="1458ACC0">
      <w:pPr>
        <w:pStyle w:val="3"/>
        <w:spacing w:line="580" w:lineRule="exact"/>
        <w:rPr>
          <w:color w:val="auto"/>
        </w:rPr>
      </w:pPr>
      <w:bookmarkStart w:id="31" w:name="_Toc19009"/>
      <w:bookmarkStart w:id="32" w:name="_Toc11545"/>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1622"/>
        <w:gridCol w:w="1915"/>
        <w:gridCol w:w="698"/>
        <w:gridCol w:w="698"/>
        <w:gridCol w:w="1622"/>
        <w:gridCol w:w="2031"/>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4"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1" w:type="pct"/>
            <w:vAlign w:val="center"/>
          </w:tcPr>
          <w:p w14:paraId="663FD794">
            <w:pPr>
              <w:spacing w:line="260" w:lineRule="exact"/>
              <w:jc w:val="center"/>
              <w:rPr>
                <w:bCs/>
                <w:color w:val="auto"/>
              </w:rPr>
            </w:pPr>
            <w:r>
              <w:rPr>
                <w:rFonts w:hint="eastAsia"/>
                <w:bCs/>
                <w:color w:val="auto"/>
              </w:rPr>
              <w:t>规格/型号</w:t>
            </w:r>
          </w:p>
        </w:tc>
        <w:tc>
          <w:tcPr>
            <w:tcW w:w="376" w:type="pct"/>
            <w:vAlign w:val="center"/>
          </w:tcPr>
          <w:p w14:paraId="20C08688">
            <w:pPr>
              <w:spacing w:line="260" w:lineRule="exact"/>
              <w:jc w:val="center"/>
              <w:rPr>
                <w:bCs/>
                <w:color w:val="auto"/>
              </w:rPr>
            </w:pPr>
            <w:r>
              <w:rPr>
                <w:rFonts w:hint="eastAsia"/>
                <w:bCs/>
                <w:color w:val="auto"/>
              </w:rPr>
              <w:t>单位</w:t>
            </w:r>
          </w:p>
        </w:tc>
        <w:tc>
          <w:tcPr>
            <w:tcW w:w="376"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3"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4"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p>
        </w:tc>
        <w:tc>
          <w:tcPr>
            <w:tcW w:w="1031" w:type="pct"/>
            <w:shd w:val="clear" w:color="auto" w:fill="auto"/>
            <w:vAlign w:val="center"/>
          </w:tcPr>
          <w:p w14:paraId="580982D5">
            <w:pPr>
              <w:spacing w:line="260" w:lineRule="exact"/>
              <w:jc w:val="center"/>
              <w:rPr>
                <w:bCs/>
                <w:color w:val="auto"/>
              </w:rPr>
            </w:pPr>
          </w:p>
        </w:tc>
        <w:tc>
          <w:tcPr>
            <w:tcW w:w="376" w:type="pct"/>
            <w:shd w:val="clear" w:color="auto" w:fill="auto"/>
            <w:vAlign w:val="center"/>
          </w:tcPr>
          <w:p w14:paraId="140C5233">
            <w:pPr>
              <w:spacing w:line="260" w:lineRule="exact"/>
              <w:jc w:val="center"/>
              <w:rPr>
                <w:bCs/>
                <w:color w:val="auto"/>
              </w:rPr>
            </w:pPr>
          </w:p>
        </w:tc>
        <w:tc>
          <w:tcPr>
            <w:tcW w:w="376" w:type="pct"/>
            <w:shd w:val="clear" w:color="auto" w:fill="auto"/>
            <w:vAlign w:val="center"/>
          </w:tcPr>
          <w:p w14:paraId="5F9A3C79">
            <w:pPr>
              <w:spacing w:line="260" w:lineRule="exact"/>
              <w:jc w:val="center"/>
              <w:rPr>
                <w:rFonts w:hint="eastAsia" w:eastAsia="宋体"/>
                <w:bCs/>
                <w:color w:val="auto"/>
                <w:lang w:eastAsia="zh-CN"/>
              </w:rPr>
            </w:pPr>
          </w:p>
        </w:tc>
        <w:tc>
          <w:tcPr>
            <w:tcW w:w="873" w:type="pct"/>
            <w:shd w:val="clear" w:color="auto" w:fill="auto"/>
            <w:vAlign w:val="center"/>
          </w:tcPr>
          <w:p w14:paraId="2378C459">
            <w:pPr>
              <w:spacing w:line="260" w:lineRule="exact"/>
              <w:jc w:val="center"/>
              <w:rPr>
                <w:bCs/>
                <w:color w:val="auto"/>
              </w:rPr>
            </w:pPr>
          </w:p>
        </w:tc>
        <w:tc>
          <w:tcPr>
            <w:tcW w:w="1093" w:type="pct"/>
            <w:shd w:val="clear" w:color="auto" w:fill="auto"/>
            <w:vAlign w:val="center"/>
          </w:tcPr>
          <w:p w14:paraId="5C7D2A47">
            <w:pPr>
              <w:spacing w:line="260" w:lineRule="exact"/>
              <w:jc w:val="center"/>
              <w:rPr>
                <w:bCs/>
                <w:color w:val="auto"/>
              </w:rPr>
            </w:pP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4"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2</w:t>
            </w:r>
          </w:p>
        </w:tc>
        <w:tc>
          <w:tcPr>
            <w:tcW w:w="873" w:type="pct"/>
            <w:shd w:val="clear" w:color="auto" w:fill="auto"/>
            <w:vAlign w:val="center"/>
          </w:tcPr>
          <w:p w14:paraId="12F38595">
            <w:pPr>
              <w:spacing w:line="260" w:lineRule="exact"/>
              <w:jc w:val="center"/>
              <w:rPr>
                <w:bCs/>
                <w:color w:val="auto"/>
              </w:rPr>
            </w:pPr>
          </w:p>
        </w:tc>
        <w:tc>
          <w:tcPr>
            <w:tcW w:w="1031" w:type="pct"/>
            <w:shd w:val="clear" w:color="auto" w:fill="auto"/>
            <w:vAlign w:val="center"/>
          </w:tcPr>
          <w:p w14:paraId="3589C42B">
            <w:pPr>
              <w:spacing w:line="260" w:lineRule="exact"/>
              <w:jc w:val="center"/>
              <w:rPr>
                <w:bCs/>
                <w:color w:val="auto"/>
              </w:rPr>
            </w:pPr>
          </w:p>
        </w:tc>
        <w:tc>
          <w:tcPr>
            <w:tcW w:w="376" w:type="pct"/>
            <w:shd w:val="clear" w:color="auto" w:fill="auto"/>
            <w:vAlign w:val="center"/>
          </w:tcPr>
          <w:p w14:paraId="781EEEA3">
            <w:pPr>
              <w:spacing w:line="260" w:lineRule="exact"/>
              <w:jc w:val="center"/>
              <w:rPr>
                <w:bCs/>
                <w:color w:val="auto"/>
              </w:rPr>
            </w:pPr>
          </w:p>
        </w:tc>
        <w:tc>
          <w:tcPr>
            <w:tcW w:w="376" w:type="pct"/>
            <w:shd w:val="clear" w:color="auto" w:fill="auto"/>
            <w:vAlign w:val="center"/>
          </w:tcPr>
          <w:p w14:paraId="1642EF81">
            <w:pPr>
              <w:spacing w:line="260" w:lineRule="exact"/>
              <w:jc w:val="center"/>
              <w:rPr>
                <w:bCs/>
                <w:color w:val="auto"/>
              </w:rPr>
            </w:pPr>
          </w:p>
        </w:tc>
        <w:tc>
          <w:tcPr>
            <w:tcW w:w="873" w:type="pct"/>
            <w:shd w:val="clear" w:color="auto" w:fill="auto"/>
            <w:vAlign w:val="center"/>
          </w:tcPr>
          <w:p w14:paraId="0AB70744">
            <w:pPr>
              <w:spacing w:line="260" w:lineRule="exact"/>
              <w:jc w:val="center"/>
              <w:rPr>
                <w:bCs/>
                <w:color w:val="auto"/>
              </w:rPr>
            </w:pPr>
          </w:p>
        </w:tc>
        <w:tc>
          <w:tcPr>
            <w:tcW w:w="1093" w:type="pct"/>
            <w:shd w:val="clear" w:color="auto" w:fill="auto"/>
            <w:vAlign w:val="center"/>
          </w:tcPr>
          <w:p w14:paraId="0AF29216">
            <w:pPr>
              <w:spacing w:line="260" w:lineRule="exact"/>
              <w:jc w:val="center"/>
              <w:rPr>
                <w:bCs/>
                <w:color w:val="auto"/>
              </w:rPr>
            </w:pP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5" w:type="dxa"/>
            <w:shd w:val="clear" w:color="auto" w:fill="auto"/>
            <w:vAlign w:val="center"/>
          </w:tcPr>
          <w:p w14:paraId="7E89D664">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3</w:t>
            </w:r>
          </w:p>
        </w:tc>
        <w:tc>
          <w:tcPr>
            <w:tcW w:w="873" w:type="pct"/>
            <w:vAlign w:val="center"/>
          </w:tcPr>
          <w:p w14:paraId="38FF651D">
            <w:pPr>
              <w:spacing w:line="260" w:lineRule="exact"/>
              <w:jc w:val="center"/>
              <w:rPr>
                <w:bCs/>
                <w:color w:val="auto"/>
              </w:rPr>
            </w:pPr>
          </w:p>
        </w:tc>
        <w:tc>
          <w:tcPr>
            <w:tcW w:w="1031" w:type="pct"/>
            <w:vAlign w:val="center"/>
          </w:tcPr>
          <w:p w14:paraId="64008698">
            <w:pPr>
              <w:spacing w:line="260" w:lineRule="exact"/>
              <w:rPr>
                <w:bCs/>
                <w:color w:val="auto"/>
              </w:rPr>
            </w:pPr>
          </w:p>
        </w:tc>
        <w:tc>
          <w:tcPr>
            <w:tcW w:w="376" w:type="pct"/>
            <w:vAlign w:val="center"/>
          </w:tcPr>
          <w:p w14:paraId="2CC071DE">
            <w:pPr>
              <w:spacing w:line="260" w:lineRule="exact"/>
              <w:jc w:val="center"/>
              <w:rPr>
                <w:bCs/>
                <w:color w:val="auto"/>
              </w:rPr>
            </w:pPr>
          </w:p>
        </w:tc>
        <w:tc>
          <w:tcPr>
            <w:tcW w:w="376" w:type="pct"/>
            <w:vAlign w:val="center"/>
          </w:tcPr>
          <w:p w14:paraId="19757907">
            <w:pPr>
              <w:spacing w:line="260" w:lineRule="exact"/>
              <w:jc w:val="center"/>
              <w:rPr>
                <w:rFonts w:hint="eastAsia" w:eastAsia="宋体"/>
                <w:bCs/>
                <w:color w:val="auto"/>
                <w:lang w:eastAsia="zh-CN"/>
              </w:rPr>
            </w:pPr>
          </w:p>
        </w:tc>
        <w:tc>
          <w:tcPr>
            <w:tcW w:w="873" w:type="pct"/>
            <w:vAlign w:val="center"/>
          </w:tcPr>
          <w:p w14:paraId="2908A827">
            <w:pPr>
              <w:spacing w:line="260" w:lineRule="exact"/>
              <w:jc w:val="center"/>
              <w:rPr>
                <w:bCs/>
                <w:color w:val="auto"/>
              </w:rPr>
            </w:pPr>
          </w:p>
        </w:tc>
        <w:tc>
          <w:tcPr>
            <w:tcW w:w="1093" w:type="pct"/>
            <w:vAlign w:val="center"/>
          </w:tcPr>
          <w:p w14:paraId="29C1063F">
            <w:pPr>
              <w:spacing w:line="260" w:lineRule="exact"/>
              <w:jc w:val="center"/>
              <w:rPr>
                <w:rFonts w:ascii="宋体" w:hAnsi="宋体"/>
                <w:bCs/>
                <w:color w:val="auto"/>
              </w:rPr>
            </w:pP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5" w:type="dxa"/>
            <w:shd w:val="clear" w:color="auto" w:fill="auto"/>
            <w:vAlign w:val="center"/>
          </w:tcPr>
          <w:p w14:paraId="50CAE71B">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4</w:t>
            </w:r>
          </w:p>
        </w:tc>
        <w:tc>
          <w:tcPr>
            <w:tcW w:w="873" w:type="pct"/>
            <w:vAlign w:val="center"/>
          </w:tcPr>
          <w:p w14:paraId="3B5F1E0E">
            <w:pPr>
              <w:spacing w:line="260" w:lineRule="exact"/>
              <w:jc w:val="center"/>
              <w:rPr>
                <w:bCs/>
                <w:color w:val="auto"/>
              </w:rPr>
            </w:pPr>
          </w:p>
        </w:tc>
        <w:tc>
          <w:tcPr>
            <w:tcW w:w="1031" w:type="pct"/>
            <w:vAlign w:val="center"/>
          </w:tcPr>
          <w:p w14:paraId="685A10D4">
            <w:pPr>
              <w:spacing w:line="260" w:lineRule="exact"/>
              <w:jc w:val="center"/>
              <w:rPr>
                <w:bCs/>
                <w:color w:val="auto"/>
              </w:rPr>
            </w:pPr>
          </w:p>
        </w:tc>
        <w:tc>
          <w:tcPr>
            <w:tcW w:w="376" w:type="pct"/>
            <w:vAlign w:val="center"/>
          </w:tcPr>
          <w:p w14:paraId="13C81D46">
            <w:pPr>
              <w:spacing w:line="260" w:lineRule="exact"/>
              <w:jc w:val="center"/>
              <w:rPr>
                <w:bCs/>
                <w:color w:val="auto"/>
              </w:rPr>
            </w:pPr>
          </w:p>
        </w:tc>
        <w:tc>
          <w:tcPr>
            <w:tcW w:w="376" w:type="pct"/>
            <w:vAlign w:val="center"/>
          </w:tcPr>
          <w:p w14:paraId="7EC95CB2">
            <w:pPr>
              <w:spacing w:line="260" w:lineRule="exact"/>
              <w:jc w:val="center"/>
              <w:rPr>
                <w:bCs/>
                <w:color w:val="auto"/>
              </w:rPr>
            </w:pPr>
          </w:p>
        </w:tc>
        <w:tc>
          <w:tcPr>
            <w:tcW w:w="873" w:type="pct"/>
            <w:vAlign w:val="center"/>
          </w:tcPr>
          <w:p w14:paraId="409E3EA3">
            <w:pPr>
              <w:spacing w:line="260" w:lineRule="exact"/>
              <w:jc w:val="center"/>
              <w:rPr>
                <w:bCs/>
                <w:color w:val="auto"/>
              </w:rPr>
            </w:pPr>
          </w:p>
        </w:tc>
        <w:tc>
          <w:tcPr>
            <w:tcW w:w="1093" w:type="pct"/>
            <w:vAlign w:val="center"/>
          </w:tcPr>
          <w:p w14:paraId="2C7CA1E4">
            <w:pPr>
              <w:spacing w:line="260" w:lineRule="exact"/>
              <w:jc w:val="center"/>
              <w:rPr>
                <w:rFonts w:ascii="宋体" w:hAnsi="宋体" w:cs="宋体"/>
                <w:bCs/>
                <w:color w:val="auto"/>
              </w:rPr>
            </w:pP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5" w:type="dxa"/>
            <w:shd w:val="clear" w:color="auto" w:fill="auto"/>
            <w:vAlign w:val="center"/>
          </w:tcPr>
          <w:p w14:paraId="7DE83CC0">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5</w:t>
            </w:r>
          </w:p>
        </w:tc>
        <w:tc>
          <w:tcPr>
            <w:tcW w:w="873" w:type="pct"/>
            <w:vAlign w:val="center"/>
          </w:tcPr>
          <w:p w14:paraId="56279505">
            <w:pPr>
              <w:spacing w:line="260" w:lineRule="exact"/>
              <w:jc w:val="center"/>
              <w:rPr>
                <w:bCs/>
                <w:color w:val="auto"/>
              </w:rPr>
            </w:pPr>
          </w:p>
        </w:tc>
        <w:tc>
          <w:tcPr>
            <w:tcW w:w="1031" w:type="pct"/>
            <w:vAlign w:val="center"/>
          </w:tcPr>
          <w:p w14:paraId="17113ADF">
            <w:pPr>
              <w:spacing w:line="260" w:lineRule="exact"/>
              <w:jc w:val="center"/>
              <w:rPr>
                <w:bCs/>
                <w:color w:val="auto"/>
              </w:rPr>
            </w:pPr>
          </w:p>
        </w:tc>
        <w:tc>
          <w:tcPr>
            <w:tcW w:w="376" w:type="pct"/>
            <w:vAlign w:val="center"/>
          </w:tcPr>
          <w:p w14:paraId="0FEAEC55">
            <w:pPr>
              <w:spacing w:line="260" w:lineRule="exact"/>
              <w:jc w:val="center"/>
              <w:rPr>
                <w:bCs/>
                <w:color w:val="auto"/>
              </w:rPr>
            </w:pPr>
          </w:p>
        </w:tc>
        <w:tc>
          <w:tcPr>
            <w:tcW w:w="376" w:type="pct"/>
            <w:vAlign w:val="center"/>
          </w:tcPr>
          <w:p w14:paraId="0DBD6027">
            <w:pPr>
              <w:spacing w:line="260" w:lineRule="exact"/>
              <w:jc w:val="center"/>
              <w:rPr>
                <w:bCs/>
                <w:color w:val="auto"/>
              </w:rPr>
            </w:pPr>
          </w:p>
        </w:tc>
        <w:tc>
          <w:tcPr>
            <w:tcW w:w="873" w:type="pct"/>
            <w:vAlign w:val="center"/>
          </w:tcPr>
          <w:p w14:paraId="35B6FDB2">
            <w:pPr>
              <w:spacing w:line="260" w:lineRule="exact"/>
              <w:jc w:val="center"/>
              <w:rPr>
                <w:bCs/>
                <w:color w:val="auto"/>
              </w:rPr>
            </w:pPr>
          </w:p>
        </w:tc>
        <w:tc>
          <w:tcPr>
            <w:tcW w:w="1093" w:type="pct"/>
            <w:vAlign w:val="center"/>
          </w:tcPr>
          <w:p w14:paraId="6030DE3A">
            <w:pPr>
              <w:spacing w:line="260" w:lineRule="exact"/>
              <w:jc w:val="center"/>
              <w:rPr>
                <w:bCs/>
                <w:color w:val="auto"/>
              </w:rPr>
            </w:pP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5" w:type="dxa"/>
            <w:shd w:val="clear" w:color="auto" w:fill="auto"/>
            <w:vAlign w:val="center"/>
          </w:tcPr>
          <w:p w14:paraId="46B5504E">
            <w:pPr>
              <w:spacing w:line="260" w:lineRule="exact"/>
              <w:jc w:val="center"/>
              <w:rPr>
                <w:rFonts w:hint="eastAsia" w:eastAsia="宋体"/>
                <w:bCs/>
                <w:color w:val="auto"/>
                <w:lang w:val="en-US" w:eastAsia="zh-CN"/>
              </w:rPr>
            </w:pPr>
            <w:r>
              <w:rPr>
                <w:rFonts w:hint="eastAsia"/>
                <w:bCs/>
                <w:color w:val="auto"/>
              </w:rPr>
              <w:t>6</w:t>
            </w:r>
          </w:p>
        </w:tc>
        <w:tc>
          <w:tcPr>
            <w:tcW w:w="873" w:type="pct"/>
            <w:vAlign w:val="center"/>
          </w:tcPr>
          <w:p w14:paraId="686B8C77">
            <w:pPr>
              <w:spacing w:line="260" w:lineRule="exact"/>
              <w:jc w:val="center"/>
              <w:rPr>
                <w:bCs/>
                <w:color w:val="auto"/>
              </w:rPr>
            </w:pPr>
          </w:p>
        </w:tc>
        <w:tc>
          <w:tcPr>
            <w:tcW w:w="1031" w:type="pct"/>
            <w:vAlign w:val="center"/>
          </w:tcPr>
          <w:p w14:paraId="27FDFD1D">
            <w:pPr>
              <w:spacing w:line="260" w:lineRule="exact"/>
              <w:jc w:val="center"/>
              <w:rPr>
                <w:bCs/>
                <w:color w:val="auto"/>
              </w:rPr>
            </w:pPr>
          </w:p>
        </w:tc>
        <w:tc>
          <w:tcPr>
            <w:tcW w:w="376" w:type="pct"/>
            <w:vAlign w:val="center"/>
          </w:tcPr>
          <w:p w14:paraId="73F64BB6">
            <w:pPr>
              <w:spacing w:line="260" w:lineRule="exact"/>
              <w:jc w:val="center"/>
              <w:rPr>
                <w:bCs/>
                <w:color w:val="auto"/>
              </w:rPr>
            </w:pPr>
          </w:p>
        </w:tc>
        <w:tc>
          <w:tcPr>
            <w:tcW w:w="376" w:type="pct"/>
            <w:vAlign w:val="center"/>
          </w:tcPr>
          <w:p w14:paraId="6BAD6ECD">
            <w:pPr>
              <w:spacing w:line="260" w:lineRule="exact"/>
              <w:jc w:val="center"/>
              <w:rPr>
                <w:bCs/>
                <w:color w:val="auto"/>
              </w:rPr>
            </w:pPr>
          </w:p>
        </w:tc>
        <w:tc>
          <w:tcPr>
            <w:tcW w:w="873" w:type="pct"/>
            <w:vAlign w:val="center"/>
          </w:tcPr>
          <w:p w14:paraId="199BBCD5">
            <w:pPr>
              <w:spacing w:line="260" w:lineRule="exact"/>
              <w:jc w:val="center"/>
              <w:rPr>
                <w:bCs/>
                <w:color w:val="auto"/>
              </w:rPr>
            </w:pPr>
          </w:p>
        </w:tc>
        <w:tc>
          <w:tcPr>
            <w:tcW w:w="1093" w:type="pct"/>
            <w:vAlign w:val="center"/>
          </w:tcPr>
          <w:p w14:paraId="46442572">
            <w:pPr>
              <w:spacing w:line="260" w:lineRule="exact"/>
              <w:jc w:val="center"/>
              <w:rPr>
                <w:bCs/>
                <w:color w:val="auto"/>
              </w:rPr>
            </w:pP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21"/>
        <w:gridCol w:w="717"/>
        <w:gridCol w:w="1102"/>
        <w:gridCol w:w="1251"/>
        <w:gridCol w:w="1770"/>
        <w:gridCol w:w="1907"/>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3B51431C">
            <w:pPr>
              <w:jc w:val="center"/>
              <w:rPr>
                <w:b/>
                <w:color w:val="auto"/>
              </w:rPr>
            </w:pPr>
            <w:r>
              <w:rPr>
                <w:rFonts w:hint="eastAsia"/>
                <w:b/>
                <w:color w:val="auto"/>
              </w:rPr>
              <w:t>序号</w:t>
            </w:r>
          </w:p>
        </w:tc>
        <w:tc>
          <w:tcPr>
            <w:tcW w:w="1621" w:type="dxa"/>
            <w:vAlign w:val="center"/>
          </w:tcPr>
          <w:p w14:paraId="6A0D1A1E">
            <w:pPr>
              <w:jc w:val="center"/>
              <w:rPr>
                <w:b/>
                <w:color w:val="auto"/>
              </w:rPr>
            </w:pPr>
            <w:r>
              <w:rPr>
                <w:rFonts w:hint="eastAsia"/>
                <w:b/>
                <w:color w:val="auto"/>
              </w:rPr>
              <w:t>名称</w:t>
            </w:r>
          </w:p>
        </w:tc>
        <w:tc>
          <w:tcPr>
            <w:tcW w:w="717" w:type="dxa"/>
            <w:vAlign w:val="center"/>
          </w:tcPr>
          <w:p w14:paraId="083D95C5">
            <w:pPr>
              <w:jc w:val="center"/>
              <w:rPr>
                <w:b/>
                <w:color w:val="auto"/>
              </w:rPr>
            </w:pPr>
            <w:r>
              <w:rPr>
                <w:rFonts w:hint="eastAsia"/>
                <w:b/>
                <w:color w:val="auto"/>
              </w:rPr>
              <w:t>数量</w:t>
            </w:r>
          </w:p>
        </w:tc>
        <w:tc>
          <w:tcPr>
            <w:tcW w:w="1102" w:type="dxa"/>
            <w:vAlign w:val="center"/>
          </w:tcPr>
          <w:p w14:paraId="175DD9A4">
            <w:pPr>
              <w:jc w:val="center"/>
              <w:rPr>
                <w:b/>
                <w:color w:val="auto"/>
              </w:rPr>
            </w:pPr>
            <w:r>
              <w:rPr>
                <w:rFonts w:hint="eastAsia"/>
                <w:b/>
                <w:color w:val="auto"/>
              </w:rPr>
              <w:t>占地面积</w:t>
            </w:r>
          </w:p>
        </w:tc>
        <w:tc>
          <w:tcPr>
            <w:tcW w:w="1251" w:type="dxa"/>
            <w:vAlign w:val="center"/>
          </w:tcPr>
          <w:p w14:paraId="428F297A">
            <w:pPr>
              <w:jc w:val="center"/>
              <w:rPr>
                <w:b/>
                <w:color w:val="auto"/>
              </w:rPr>
            </w:pPr>
            <w:r>
              <w:rPr>
                <w:rFonts w:hint="eastAsia"/>
                <w:b/>
                <w:color w:val="auto"/>
              </w:rPr>
              <w:t>耐火等级</w:t>
            </w:r>
          </w:p>
        </w:tc>
        <w:tc>
          <w:tcPr>
            <w:tcW w:w="1770" w:type="dxa"/>
            <w:vAlign w:val="center"/>
          </w:tcPr>
          <w:p w14:paraId="2EC47E2E">
            <w:pPr>
              <w:jc w:val="center"/>
              <w:rPr>
                <w:b/>
                <w:color w:val="auto"/>
              </w:rPr>
            </w:pPr>
            <w:r>
              <w:rPr>
                <w:rFonts w:hint="eastAsia"/>
                <w:b/>
                <w:color w:val="auto"/>
              </w:rPr>
              <w:t>结构类型</w:t>
            </w:r>
          </w:p>
        </w:tc>
        <w:tc>
          <w:tcPr>
            <w:tcW w:w="1907"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6B6F14C9">
            <w:pPr>
              <w:jc w:val="center"/>
              <w:rPr>
                <w:bCs/>
                <w:color w:val="auto"/>
              </w:rPr>
            </w:pPr>
            <w:r>
              <w:rPr>
                <w:bCs/>
                <w:color w:val="auto"/>
              </w:rPr>
              <w:t>1</w:t>
            </w:r>
          </w:p>
        </w:tc>
        <w:tc>
          <w:tcPr>
            <w:tcW w:w="1621" w:type="dxa"/>
            <w:vAlign w:val="center"/>
          </w:tcPr>
          <w:p w14:paraId="2F344382">
            <w:pPr>
              <w:jc w:val="center"/>
              <w:rPr>
                <w:bCs/>
                <w:color w:val="auto"/>
              </w:rPr>
            </w:pPr>
            <w:bookmarkStart w:id="278" w:name="_GoBack"/>
            <w:bookmarkEnd w:id="278"/>
          </w:p>
        </w:tc>
        <w:tc>
          <w:tcPr>
            <w:tcW w:w="717" w:type="dxa"/>
            <w:vAlign w:val="center"/>
          </w:tcPr>
          <w:p w14:paraId="5CAE8C9E">
            <w:pPr>
              <w:jc w:val="center"/>
              <w:rPr>
                <w:color w:val="auto"/>
              </w:rPr>
            </w:pPr>
          </w:p>
        </w:tc>
        <w:tc>
          <w:tcPr>
            <w:tcW w:w="1102" w:type="dxa"/>
            <w:vAlign w:val="center"/>
          </w:tcPr>
          <w:p w14:paraId="1C62B322">
            <w:pPr>
              <w:jc w:val="center"/>
              <w:rPr>
                <w:bCs/>
                <w:color w:val="auto"/>
              </w:rPr>
            </w:pPr>
          </w:p>
        </w:tc>
        <w:tc>
          <w:tcPr>
            <w:tcW w:w="1251" w:type="dxa"/>
            <w:vAlign w:val="center"/>
          </w:tcPr>
          <w:p w14:paraId="059C6B94">
            <w:pPr>
              <w:jc w:val="center"/>
              <w:rPr>
                <w:bCs/>
                <w:color w:val="auto"/>
              </w:rPr>
            </w:pPr>
          </w:p>
        </w:tc>
        <w:tc>
          <w:tcPr>
            <w:tcW w:w="1770" w:type="dxa"/>
            <w:vAlign w:val="center"/>
          </w:tcPr>
          <w:p w14:paraId="2D4B0A76">
            <w:pPr>
              <w:jc w:val="center"/>
              <w:rPr>
                <w:bCs/>
                <w:color w:val="auto"/>
              </w:rPr>
            </w:pPr>
          </w:p>
        </w:tc>
        <w:tc>
          <w:tcPr>
            <w:tcW w:w="1907"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1F1F385C">
            <w:pPr>
              <w:jc w:val="center"/>
              <w:rPr>
                <w:bCs/>
                <w:color w:val="auto"/>
              </w:rPr>
            </w:pPr>
            <w:r>
              <w:rPr>
                <w:rFonts w:hint="eastAsia"/>
                <w:bCs/>
                <w:color w:val="auto"/>
              </w:rPr>
              <w:t>2</w:t>
            </w:r>
          </w:p>
        </w:tc>
        <w:tc>
          <w:tcPr>
            <w:tcW w:w="1621" w:type="dxa"/>
            <w:vAlign w:val="center"/>
          </w:tcPr>
          <w:p w14:paraId="506AC7DB">
            <w:pPr>
              <w:jc w:val="center"/>
              <w:rPr>
                <w:bCs/>
                <w:color w:val="auto"/>
              </w:rPr>
            </w:pPr>
          </w:p>
        </w:tc>
        <w:tc>
          <w:tcPr>
            <w:tcW w:w="717" w:type="dxa"/>
            <w:vAlign w:val="center"/>
          </w:tcPr>
          <w:p w14:paraId="1FD7E647">
            <w:pPr>
              <w:jc w:val="center"/>
              <w:rPr>
                <w:bCs/>
                <w:color w:val="auto"/>
              </w:rPr>
            </w:pPr>
          </w:p>
        </w:tc>
        <w:tc>
          <w:tcPr>
            <w:tcW w:w="1102" w:type="dxa"/>
            <w:vAlign w:val="center"/>
          </w:tcPr>
          <w:p w14:paraId="6D7524ED">
            <w:pPr>
              <w:jc w:val="center"/>
              <w:rPr>
                <w:bCs/>
                <w:color w:val="auto"/>
              </w:rPr>
            </w:pPr>
          </w:p>
        </w:tc>
        <w:tc>
          <w:tcPr>
            <w:tcW w:w="1251" w:type="dxa"/>
            <w:vAlign w:val="center"/>
          </w:tcPr>
          <w:p w14:paraId="7F8CB4BD">
            <w:pPr>
              <w:jc w:val="center"/>
              <w:rPr>
                <w:bCs/>
                <w:color w:val="auto"/>
              </w:rPr>
            </w:pPr>
          </w:p>
        </w:tc>
        <w:tc>
          <w:tcPr>
            <w:tcW w:w="1770" w:type="dxa"/>
            <w:vAlign w:val="center"/>
          </w:tcPr>
          <w:p w14:paraId="18777D8D">
            <w:pPr>
              <w:jc w:val="center"/>
              <w:rPr>
                <w:bCs/>
                <w:color w:val="auto"/>
              </w:rPr>
            </w:pPr>
          </w:p>
        </w:tc>
        <w:tc>
          <w:tcPr>
            <w:tcW w:w="1907" w:type="dxa"/>
            <w:vAlign w:val="center"/>
          </w:tcPr>
          <w:p w14:paraId="2DD227D4">
            <w:pPr>
              <w:jc w:val="center"/>
              <w:rPr>
                <w:bCs/>
                <w:color w:val="auto"/>
              </w:rPr>
            </w:pP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6BEA1FCE">
            <w:pPr>
              <w:jc w:val="center"/>
              <w:rPr>
                <w:bCs/>
                <w:color w:val="auto"/>
              </w:rPr>
            </w:pPr>
            <w:r>
              <w:rPr>
                <w:rFonts w:hint="eastAsia"/>
                <w:bCs/>
                <w:color w:val="auto"/>
              </w:rPr>
              <w:t>3</w:t>
            </w:r>
          </w:p>
        </w:tc>
        <w:tc>
          <w:tcPr>
            <w:tcW w:w="1621" w:type="dxa"/>
            <w:vAlign w:val="center"/>
          </w:tcPr>
          <w:p w14:paraId="009EA450">
            <w:pPr>
              <w:jc w:val="center"/>
              <w:rPr>
                <w:bCs/>
                <w:color w:val="auto"/>
              </w:rPr>
            </w:pPr>
          </w:p>
        </w:tc>
        <w:tc>
          <w:tcPr>
            <w:tcW w:w="717" w:type="dxa"/>
            <w:vAlign w:val="center"/>
          </w:tcPr>
          <w:p w14:paraId="19C95E2B">
            <w:pPr>
              <w:jc w:val="center"/>
              <w:rPr>
                <w:bCs/>
                <w:color w:val="auto"/>
              </w:rPr>
            </w:pPr>
          </w:p>
        </w:tc>
        <w:tc>
          <w:tcPr>
            <w:tcW w:w="1102" w:type="dxa"/>
            <w:vAlign w:val="center"/>
          </w:tcPr>
          <w:p w14:paraId="261D4DD4">
            <w:pPr>
              <w:jc w:val="center"/>
              <w:rPr>
                <w:rFonts w:hint="eastAsia" w:eastAsia="宋体"/>
                <w:bCs/>
                <w:color w:val="auto"/>
                <w:lang w:eastAsia="zh-CN"/>
              </w:rPr>
            </w:pPr>
          </w:p>
        </w:tc>
        <w:tc>
          <w:tcPr>
            <w:tcW w:w="1251" w:type="dxa"/>
            <w:vAlign w:val="center"/>
          </w:tcPr>
          <w:p w14:paraId="634FB456">
            <w:pPr>
              <w:jc w:val="center"/>
              <w:rPr>
                <w:bCs/>
                <w:color w:val="auto"/>
              </w:rPr>
            </w:pPr>
          </w:p>
        </w:tc>
        <w:tc>
          <w:tcPr>
            <w:tcW w:w="1770" w:type="dxa"/>
            <w:vAlign w:val="center"/>
          </w:tcPr>
          <w:p w14:paraId="4E89FCD2">
            <w:pPr>
              <w:jc w:val="center"/>
              <w:rPr>
                <w:bCs/>
                <w:color w:val="auto"/>
              </w:rPr>
            </w:pPr>
          </w:p>
        </w:tc>
        <w:tc>
          <w:tcPr>
            <w:tcW w:w="1907" w:type="dxa"/>
            <w:vAlign w:val="center"/>
          </w:tcPr>
          <w:p w14:paraId="4ADF93F0">
            <w:pPr>
              <w:jc w:val="center"/>
              <w:rPr>
                <w:bCs/>
                <w:color w:val="auto"/>
              </w:rPr>
            </w:pP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7CDC71B3">
            <w:pPr>
              <w:jc w:val="center"/>
              <w:rPr>
                <w:bCs/>
                <w:color w:val="auto"/>
              </w:rPr>
            </w:pPr>
            <w:r>
              <w:rPr>
                <w:rFonts w:hint="eastAsia"/>
                <w:bCs/>
                <w:color w:val="auto"/>
              </w:rPr>
              <w:t>4</w:t>
            </w:r>
          </w:p>
        </w:tc>
        <w:tc>
          <w:tcPr>
            <w:tcW w:w="1621" w:type="dxa"/>
            <w:vAlign w:val="center"/>
          </w:tcPr>
          <w:p w14:paraId="33D54701">
            <w:pPr>
              <w:jc w:val="center"/>
              <w:rPr>
                <w:bCs/>
                <w:color w:val="auto"/>
              </w:rPr>
            </w:pPr>
          </w:p>
        </w:tc>
        <w:tc>
          <w:tcPr>
            <w:tcW w:w="717" w:type="dxa"/>
            <w:vAlign w:val="center"/>
          </w:tcPr>
          <w:p w14:paraId="5EAD8CB8">
            <w:pPr>
              <w:jc w:val="center"/>
              <w:rPr>
                <w:bCs/>
                <w:color w:val="auto"/>
              </w:rPr>
            </w:pPr>
          </w:p>
        </w:tc>
        <w:tc>
          <w:tcPr>
            <w:tcW w:w="1102" w:type="dxa"/>
            <w:vAlign w:val="center"/>
          </w:tcPr>
          <w:p w14:paraId="6519AF4B">
            <w:pPr>
              <w:jc w:val="center"/>
              <w:rPr>
                <w:bCs/>
                <w:color w:val="auto"/>
              </w:rPr>
            </w:pPr>
          </w:p>
        </w:tc>
        <w:tc>
          <w:tcPr>
            <w:tcW w:w="1251" w:type="dxa"/>
            <w:vAlign w:val="center"/>
          </w:tcPr>
          <w:p w14:paraId="6E7590C8">
            <w:pPr>
              <w:jc w:val="center"/>
              <w:rPr>
                <w:bCs/>
                <w:color w:val="auto"/>
              </w:rPr>
            </w:pPr>
          </w:p>
        </w:tc>
        <w:tc>
          <w:tcPr>
            <w:tcW w:w="1770" w:type="dxa"/>
            <w:vAlign w:val="center"/>
          </w:tcPr>
          <w:p w14:paraId="64A96C9F">
            <w:pPr>
              <w:jc w:val="center"/>
              <w:rPr>
                <w:bCs/>
                <w:color w:val="auto"/>
              </w:rPr>
            </w:pPr>
          </w:p>
        </w:tc>
        <w:tc>
          <w:tcPr>
            <w:tcW w:w="1907" w:type="dxa"/>
            <w:vAlign w:val="center"/>
          </w:tcPr>
          <w:p w14:paraId="5A0D8739">
            <w:pPr>
              <w:jc w:val="center"/>
              <w:rPr>
                <w:bCs/>
                <w:color w:val="auto"/>
              </w:rPr>
            </w:pPr>
          </w:p>
        </w:tc>
      </w:tr>
    </w:tbl>
    <w:p w14:paraId="7185E348">
      <w:pPr>
        <w:keepNext/>
        <w:keepLines/>
        <w:spacing w:line="580" w:lineRule="exact"/>
        <w:outlineLvl w:val="2"/>
        <w:rPr>
          <w:rFonts w:ascii="Times New Roman" w:hAnsi="Times New Roman" w:cs="Times New Roman"/>
          <w:b/>
          <w:bCs/>
          <w:color w:val="auto"/>
          <w:sz w:val="28"/>
          <w:szCs w:val="28"/>
        </w:rPr>
      </w:pPr>
      <w:bookmarkStart w:id="34" w:name="_Toc24392"/>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7343"/>
      <w:bookmarkStart w:id="39" w:name="_Toc20461"/>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p w14:paraId="1DDBE2E1">
      <w:pPr>
        <w:spacing w:line="240" w:lineRule="atLeast"/>
        <w:ind w:firstLine="480" w:firstLineChars="200"/>
        <w:rPr>
          <w:rFonts w:ascii="Times New Roman" w:hAnsi="Times New Roman" w:cs="Times New Roman"/>
          <w:color w:val="auto"/>
          <w:sz w:val="24"/>
          <w:szCs w:val="24"/>
        </w:rPr>
      </w:pPr>
    </w:p>
    <w:p w14:paraId="2AD95958">
      <w:pPr>
        <w:spacing w:line="240" w:lineRule="atLeast"/>
        <w:ind w:firstLine="480" w:firstLineChars="200"/>
        <w:rPr>
          <w:rFonts w:ascii="Times New Roman" w:hAnsi="Times New Roman" w:cs="Times New Roman"/>
          <w:color w:val="auto"/>
          <w:sz w:val="24"/>
          <w:szCs w:val="24"/>
        </w:rPr>
      </w:pPr>
    </w:p>
    <w:bookmarkEnd w:id="36"/>
    <w:p w14:paraId="2A4DE6B4">
      <w:pPr>
        <w:keepNext/>
        <w:keepLines/>
        <w:spacing w:line="580" w:lineRule="exact"/>
        <w:outlineLvl w:val="1"/>
        <w:rPr>
          <w:rFonts w:ascii="Times New Roman" w:hAnsi="Times New Roman" w:cs="Times New Roman"/>
          <w:b/>
          <w:bCs/>
          <w:color w:val="auto"/>
          <w:sz w:val="28"/>
          <w:szCs w:val="28"/>
        </w:rPr>
      </w:pPr>
      <w:bookmarkStart w:id="40" w:name="_Toc18944"/>
    </w:p>
    <w:p w14:paraId="1F5B38E2">
      <w:pPr>
        <w:keepNext/>
        <w:keepLines/>
        <w:spacing w:line="580" w:lineRule="exact"/>
        <w:outlineLvl w:val="1"/>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加油站用电由市政供电电网统一供电，供电电源380V／220V 采用铠装电缆引至配电间对站内各用电设备和场所进行供电，设独立的计量装置。通过埋地填沙电缆沟敷设到加油机，照明使用220V交流电压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398F6405">
      <w:pPr>
        <w:tabs>
          <w:tab w:val="left" w:pos="3465"/>
        </w:tabs>
        <w:spacing w:line="600" w:lineRule="exact"/>
        <w:ind w:firstLine="536" w:firstLineChars="200"/>
        <w:rPr>
          <w:color w:val="auto"/>
          <w:sz w:val="28"/>
          <w:szCs w:val="28"/>
        </w:rPr>
      </w:pPr>
      <w:r>
        <w:rPr>
          <w:rFonts w:hint="eastAsia"/>
          <w:color w:val="auto"/>
          <w:spacing w:val="-6"/>
          <w:sz w:val="28"/>
          <w:szCs w:val="28"/>
        </w:rPr>
        <w:t>站房属于</w:t>
      </w:r>
      <w:r>
        <w:rPr>
          <w:rFonts w:hint="eastAsia"/>
          <w:color w:val="auto"/>
          <w:spacing w:val="-6"/>
          <w:sz w:val="28"/>
          <w:szCs w:val="28"/>
          <w:lang w:val="en-US" w:eastAsia="zh-CN"/>
        </w:rPr>
        <w:t>二</w:t>
      </w:r>
      <w:r>
        <w:rPr>
          <w:rFonts w:hint="eastAsia"/>
          <w:color w:val="auto"/>
          <w:spacing w:val="-6"/>
          <w:sz w:val="28"/>
          <w:szCs w:val="28"/>
        </w:rPr>
        <w:t>类防雷建筑物，沿屋面四周采用</w:t>
      </w:r>
      <w:r>
        <w:rPr>
          <w:rFonts w:ascii="Times New Roman" w:hAnsi="Times New Roman" w:cs="Times New Roman"/>
          <w:color w:val="auto"/>
          <w:spacing w:val="-6"/>
          <w:sz w:val="28"/>
          <w:szCs w:val="28"/>
        </w:rPr>
        <w:t>φ</w:t>
      </w:r>
      <w:r>
        <w:rPr>
          <w:rFonts w:hint="eastAsia"/>
          <w:color w:val="auto"/>
          <w:spacing w:val="-6"/>
          <w:sz w:val="28"/>
          <w:szCs w:val="28"/>
        </w:rPr>
        <w:t>1</w:t>
      </w:r>
      <w:r>
        <w:rPr>
          <w:rFonts w:hint="eastAsia"/>
          <w:color w:val="auto"/>
          <w:spacing w:val="-6"/>
          <w:sz w:val="28"/>
          <w:szCs w:val="28"/>
          <w:lang w:val="en-US" w:eastAsia="zh-CN"/>
        </w:rPr>
        <w:t>0</w:t>
      </w:r>
      <w:r>
        <w:rPr>
          <w:rFonts w:hint="eastAsia"/>
          <w:color w:val="auto"/>
          <w:spacing w:val="-6"/>
          <w:sz w:val="28"/>
          <w:szCs w:val="28"/>
        </w:rPr>
        <w:t>的镀锌圆钢做接闪带，利用柱内钢筋（不小于</w:t>
      </w:r>
      <w:r>
        <w:rPr>
          <w:rFonts w:ascii="Times New Roman" w:hAnsi="Times New Roman" w:cs="Times New Roman"/>
          <w:color w:val="auto"/>
          <w:spacing w:val="-6"/>
          <w:sz w:val="28"/>
          <w:szCs w:val="28"/>
        </w:rPr>
        <w:t>Ф</w:t>
      </w:r>
      <w:r>
        <w:rPr>
          <w:rFonts w:hint="eastAsia"/>
          <w:color w:val="auto"/>
          <w:spacing w:val="-6"/>
          <w:sz w:val="28"/>
          <w:szCs w:val="28"/>
        </w:rPr>
        <w:t>10）作引下线。通气管与接地网焊接成可靠的电气线路。</w:t>
      </w:r>
    </w:p>
    <w:p w14:paraId="395098D3">
      <w:pPr>
        <w:tabs>
          <w:tab w:val="left" w:pos="3465"/>
        </w:tabs>
        <w:spacing w:line="600" w:lineRule="exact"/>
        <w:ind w:firstLine="560" w:firstLineChars="200"/>
        <w:rPr>
          <w:color w:val="auto"/>
          <w:sz w:val="28"/>
          <w:szCs w:val="28"/>
        </w:rPr>
      </w:pPr>
      <w:r>
        <w:rPr>
          <w:rFonts w:hint="eastAsia"/>
          <w:color w:val="auto"/>
          <w:sz w:val="28"/>
          <w:szCs w:val="28"/>
        </w:rPr>
        <w:t>加油区罩棚按二类防雷建筑物，利用其金属屋面作防雷接闪器，利用檩条、屋架及柱子可靠接地作为防雷装置，利用混凝土钢筋柱作为引下线，经过断接卡与加油站人工接地系统可靠连接。</w:t>
      </w:r>
    </w:p>
    <w:p w14:paraId="27BDC26D">
      <w:pPr>
        <w:tabs>
          <w:tab w:val="left" w:pos="3465"/>
        </w:tabs>
        <w:spacing w:line="600" w:lineRule="exact"/>
        <w:ind w:firstLine="560" w:firstLineChars="200"/>
        <w:rPr>
          <w:rFonts w:ascii="宋体" w:hAnsi="宋体" w:cs="宋体"/>
          <w:color w:val="auto"/>
          <w:kern w:val="0"/>
          <w:sz w:val="28"/>
          <w:szCs w:val="28"/>
          <w:lang w:bidi="ar"/>
        </w:rPr>
      </w:pPr>
      <w:r>
        <w:rPr>
          <w:rFonts w:hint="eastAsia"/>
          <w:color w:val="auto"/>
          <w:sz w:val="28"/>
          <w:szCs w:val="28"/>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202DC72">
      <w:pPr>
        <w:widowControl/>
        <w:ind w:firstLine="420"/>
        <w:jc w:val="left"/>
        <w:rPr>
          <w:rStyle w:val="31"/>
          <w:color w:val="auto"/>
        </w:rPr>
      </w:pPr>
      <w:r>
        <w:rPr>
          <w:rFonts w:hint="eastAsia" w:ascii="Times New Roman" w:hAnsi="Times New Roman" w:cs="Times New Roman"/>
          <w:color w:val="auto"/>
          <w:sz w:val="28"/>
          <w:szCs w:val="28"/>
        </w:rPr>
        <w:t>该站防雷设施经</w:t>
      </w:r>
      <w:r>
        <w:rPr>
          <w:rFonts w:hint="eastAsia" w:ascii="Times New Roman" w:hAnsi="Times New Roman" w:cs="Times New Roman"/>
          <w:color w:val="auto"/>
          <w:sz w:val="28"/>
          <w:szCs w:val="28"/>
          <w:lang w:val="en-US" w:eastAsia="zh-CN"/>
        </w:rPr>
        <w:t>江西赣象防雷检测中心</w:t>
      </w:r>
      <w:r>
        <w:rPr>
          <w:rFonts w:hint="eastAsia" w:ascii="Times New Roman" w:hAnsi="Times New Roman" w:cs="Times New Roman"/>
          <w:color w:val="auto"/>
          <w:sz w:val="28"/>
          <w:szCs w:val="28"/>
        </w:rPr>
        <w:t>有限公司</w:t>
      </w:r>
      <w:r>
        <w:rPr>
          <w:rFonts w:hint="eastAsia" w:ascii="Times New Roman" w:hAnsi="Times New Roman" w:cs="Times New Roman"/>
          <w:color w:val="auto"/>
          <w:sz w:val="28"/>
          <w:szCs w:val="28"/>
          <w:lang w:val="en-US" w:eastAsia="zh-CN"/>
        </w:rPr>
        <w:t>赣州分公司</w:t>
      </w:r>
      <w:r>
        <w:rPr>
          <w:rFonts w:hint="eastAsia" w:ascii="Times New Roman" w:hAnsi="Times New Roman" w:cs="Times New Roman"/>
          <w:color w:val="auto"/>
          <w:sz w:val="28"/>
          <w:szCs w:val="28"/>
        </w:rPr>
        <w:t>进行检测，检测结论为合格，有效期至2026年</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22</w:t>
      </w:r>
      <w:r>
        <w:rPr>
          <w:rFonts w:hint="eastAsia" w:ascii="Times New Roman" w:hAnsi="Times New Roman" w:cs="Times New Roman"/>
          <w:color w:val="auto"/>
          <w:sz w:val="28"/>
          <w:szCs w:val="28"/>
        </w:rPr>
        <w:t>日。该站雷电防护装置检测报告详见附件</w:t>
      </w:r>
      <w:r>
        <w:rPr>
          <w:rFonts w:hint="eastAsia" w:ascii="Times New Roman" w:hAnsi="Times New Roman" w:cs="宋体"/>
          <w:color w:val="auto"/>
          <w:sz w:val="28"/>
          <w:szCs w:val="28"/>
        </w:rPr>
        <w:t>。</w:t>
      </w:r>
    </w:p>
    <w:p w14:paraId="1134BC9A">
      <w:pPr>
        <w:widowControl/>
        <w:ind w:firstLine="42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该站防静电接地经</w:t>
      </w:r>
      <w:r>
        <w:rPr>
          <w:rFonts w:hint="eastAsia" w:ascii="Times New Roman" w:hAnsi="Times New Roman" w:cs="Times New Roman"/>
          <w:color w:val="auto"/>
          <w:sz w:val="28"/>
          <w:szCs w:val="28"/>
          <w:lang w:val="en-US" w:eastAsia="zh-CN"/>
        </w:rPr>
        <w:t>湖北雷特防雷检测</w:t>
      </w:r>
      <w:r>
        <w:rPr>
          <w:rFonts w:hint="eastAsia" w:ascii="Times New Roman" w:hAnsi="Times New Roman" w:cs="Times New Roman"/>
          <w:color w:val="auto"/>
          <w:sz w:val="28"/>
          <w:szCs w:val="28"/>
        </w:rPr>
        <w:t>有限公司进行检测，检测结论为合格，有效期至2026年</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22</w:t>
      </w:r>
      <w:r>
        <w:rPr>
          <w:rFonts w:hint="eastAsia" w:ascii="Times New Roman" w:hAnsi="Times New Roman" w:cs="Times New Roman"/>
          <w:color w:val="auto"/>
          <w:sz w:val="28"/>
          <w:szCs w:val="28"/>
        </w:rPr>
        <w:t>日。该站防静电接地检测检验报告详见附件</w:t>
      </w:r>
      <w:r>
        <w:rPr>
          <w:rFonts w:hint="eastAsia" w:ascii="Times New Roman" w:hAnsi="Times New Roman" w:cs="宋体"/>
          <w:color w:val="auto"/>
          <w:sz w:val="28"/>
          <w:szCs w:val="28"/>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加油站设置了视频监控系统，视频监控系统配UPS电源，容量为3kVA。系统中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UPS电源，UPS电源可供系统正常工作不小于60min，UPS容量为2kVA。现场</w:t>
      </w:r>
      <w:r>
        <w:rPr>
          <w:rFonts w:hint="eastAsia" w:ascii="Times New Roman" w:hAnsi="Times New Roman" w:cs="Times New Roman"/>
          <w:color w:val="auto"/>
          <w:sz w:val="28"/>
          <w:szCs w:val="24"/>
          <w:lang w:val="en-US" w:eastAsia="zh-CN"/>
        </w:rPr>
        <w:t>检查</w:t>
      </w:r>
      <w:r>
        <w:rPr>
          <w:rFonts w:hint="eastAsia" w:ascii="Times New Roman" w:hAnsi="Times New Roman" w:cs="Times New Roman"/>
          <w:color w:val="auto"/>
          <w:sz w:val="28"/>
          <w:szCs w:val="24"/>
        </w:rPr>
        <w:t>时</w:t>
      </w:r>
      <w:r>
        <w:rPr>
          <w:rFonts w:hint="eastAsia" w:ascii="Times New Roman" w:hAnsi="Times New Roman" w:cs="Times New Roman"/>
          <w:color w:val="auto"/>
          <w:sz w:val="28"/>
          <w:szCs w:val="24"/>
          <w:lang w:eastAsia="zh-CN"/>
        </w:rPr>
        <w:t>，安全系统（液位仪、泄漏检测仪）</w:t>
      </w:r>
      <w:r>
        <w:rPr>
          <w:rFonts w:hint="eastAsia" w:ascii="Times New Roman" w:hAnsi="Times New Roman" w:cs="Times New Roman"/>
          <w:color w:val="auto"/>
          <w:sz w:val="28"/>
          <w:szCs w:val="24"/>
        </w:rPr>
        <w:t>未连接不间断电源，整改后连接不间断电源。</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3"/>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3"/>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3"/>
        <w:spacing w:line="580" w:lineRule="exact"/>
        <w:ind w:firstLine="560" w:firstLineChars="200"/>
        <w:rPr>
          <w:rFonts w:hint="default" w:ascii="Times New Roman" w:eastAsia="宋体"/>
          <w:color w:val="auto"/>
          <w:kern w:val="2"/>
          <w:sz w:val="28"/>
          <w:szCs w:val="28"/>
          <w:lang w:val="en-US" w:eastAsia="zh-CN"/>
        </w:rPr>
      </w:pPr>
      <w:r>
        <w:rPr>
          <w:rFonts w:hint="eastAsia" w:ascii="Times New Roman"/>
          <w:color w:val="auto"/>
          <w:kern w:val="2"/>
          <w:sz w:val="28"/>
          <w:szCs w:val="28"/>
        </w:rPr>
        <w:t>加油站设置了2个紧急停车按钮（加油区1个，收银台1个），事故状态下能手动切断加油机控制箱电源，停加油机及潜油泵。事故紧急切断系统带失效保护功能，只能手动复位。</w:t>
      </w:r>
      <w:r>
        <w:rPr>
          <w:rFonts w:hint="eastAsia" w:ascii="Times New Roman"/>
          <w:color w:val="auto"/>
          <w:kern w:val="2"/>
          <w:sz w:val="28"/>
          <w:szCs w:val="28"/>
          <w:lang w:val="en-US" w:eastAsia="zh-CN"/>
        </w:rPr>
        <w:t>但</w:t>
      </w:r>
      <w:r>
        <w:rPr>
          <w:rFonts w:hint="eastAsia" w:ascii="Times New Roman"/>
          <w:color w:val="auto"/>
          <w:kern w:val="2"/>
          <w:sz w:val="28"/>
          <w:szCs w:val="28"/>
        </w:rPr>
        <w:t>紧急停车按钮未安装防护罩</w:t>
      </w:r>
      <w:r>
        <w:rPr>
          <w:rFonts w:hint="eastAsia" w:ascii="Times New Roman"/>
          <w:color w:val="auto"/>
          <w:kern w:val="2"/>
          <w:sz w:val="28"/>
          <w:szCs w:val="28"/>
          <w:lang w:eastAsia="zh-CN"/>
        </w:rPr>
        <w:t>，</w:t>
      </w:r>
      <w:r>
        <w:rPr>
          <w:rFonts w:hint="eastAsia" w:ascii="Times New Roman"/>
          <w:color w:val="auto"/>
          <w:kern w:val="2"/>
          <w:sz w:val="28"/>
          <w:szCs w:val="28"/>
          <w:lang w:val="en-US" w:eastAsia="zh-CN"/>
        </w:rPr>
        <w:t>整改后设防护罩。</w:t>
      </w:r>
    </w:p>
    <w:p w14:paraId="2AA466EF">
      <w:pPr>
        <w:pStyle w:val="33"/>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p>
    <w:p w14:paraId="0A4F2C32">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rPr>
      </w:pPr>
      <w:bookmarkStart w:id="41" w:name="_Toc30410"/>
      <w:bookmarkStart w:id="42" w:name="_Toc343692248"/>
      <w:bookmarkStart w:id="43" w:name="_Toc26568"/>
      <w:r>
        <w:rPr>
          <w:rFonts w:ascii="Times New Roman" w:hAnsi="Times New Roman" w:cs="Times New Roman"/>
          <w:b/>
          <w:bCs/>
          <w:color w:val="auto"/>
          <w:sz w:val="28"/>
          <w:szCs w:val="28"/>
        </w:rPr>
        <w:t xml:space="preserve">2.5 </w:t>
      </w:r>
      <w:r>
        <w:rPr>
          <w:rFonts w:hint="eastAsia" w:ascii="Times New Roman" w:hAnsi="Times New Roman" w:cs="宋体"/>
          <w:b/>
          <w:bCs/>
          <w:color w:val="auto"/>
          <w:sz w:val="28"/>
          <w:szCs w:val="28"/>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b/>
          <w:bCs/>
          <w:color w:val="auto"/>
          <w:sz w:val="28"/>
          <w:szCs w:val="28"/>
        </w:rPr>
        <w:t>、</w:t>
      </w:r>
      <w:r>
        <w:rPr>
          <w:rFonts w:hint="eastAsia" w:ascii="Times New Roman" w:hAnsi="Times New Roman" w:cs="宋体"/>
          <w:color w:val="auto"/>
          <w:sz w:val="28"/>
          <w:szCs w:val="28"/>
        </w:rPr>
        <w:t>消防设施：</w:t>
      </w:r>
    </w:p>
    <w:p w14:paraId="51506AF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该站于200</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月1</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日取得</w:t>
      </w:r>
      <w:r>
        <w:rPr>
          <w:rFonts w:hint="eastAsia" w:ascii="Times New Roman" w:hAnsi="Times New Roman" w:cs="Times New Roman"/>
          <w:color w:val="auto"/>
          <w:sz w:val="28"/>
          <w:szCs w:val="28"/>
          <w:lang w:val="en-US" w:eastAsia="zh-CN"/>
        </w:rPr>
        <w:t>兴国县</w:t>
      </w:r>
      <w:r>
        <w:rPr>
          <w:rFonts w:hint="eastAsia" w:ascii="Times New Roman" w:hAnsi="Times New Roman" w:cs="Times New Roman"/>
          <w:color w:val="auto"/>
          <w:sz w:val="28"/>
          <w:szCs w:val="28"/>
        </w:rPr>
        <w:t>公安消防</w:t>
      </w:r>
      <w:r>
        <w:rPr>
          <w:rFonts w:hint="eastAsia" w:ascii="Times New Roman" w:hAnsi="Times New Roman" w:cs="Times New Roman"/>
          <w:color w:val="auto"/>
          <w:sz w:val="28"/>
          <w:szCs w:val="28"/>
          <w:lang w:val="en-US" w:eastAsia="zh-CN"/>
        </w:rPr>
        <w:t>大队</w:t>
      </w:r>
      <w:r>
        <w:rPr>
          <w:rFonts w:hint="eastAsia" w:ascii="Times New Roman" w:hAnsi="Times New Roman" w:cs="Times New Roman"/>
          <w:color w:val="auto"/>
          <w:sz w:val="28"/>
          <w:szCs w:val="28"/>
        </w:rPr>
        <w:t>出具的建筑工程消防验收意见书。</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8957"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44"/>
        <w:gridCol w:w="1961"/>
        <w:gridCol w:w="851"/>
        <w:gridCol w:w="1227"/>
        <w:gridCol w:w="3174"/>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744"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1961"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51"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27"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174"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744"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1961" w:type="dxa"/>
            <w:vAlign w:val="center"/>
          </w:tcPr>
          <w:p w14:paraId="169BF006">
            <w:pPr>
              <w:spacing w:line="280" w:lineRule="exact"/>
              <w:jc w:val="center"/>
              <w:rPr>
                <w:rFonts w:ascii="Times New Roman" w:hAnsi="Times New Roman" w:cs="宋体"/>
                <w:color w:val="auto"/>
              </w:rPr>
            </w:pPr>
          </w:p>
        </w:tc>
        <w:tc>
          <w:tcPr>
            <w:tcW w:w="851" w:type="dxa"/>
            <w:vAlign w:val="center"/>
          </w:tcPr>
          <w:p w14:paraId="46933D41">
            <w:pPr>
              <w:spacing w:line="280" w:lineRule="exact"/>
              <w:jc w:val="center"/>
              <w:rPr>
                <w:rFonts w:ascii="Times New Roman" w:hAnsi="Times New Roman" w:cs="宋体"/>
                <w:color w:val="auto"/>
              </w:rPr>
            </w:pPr>
          </w:p>
        </w:tc>
        <w:tc>
          <w:tcPr>
            <w:tcW w:w="1227" w:type="dxa"/>
            <w:vAlign w:val="center"/>
          </w:tcPr>
          <w:p w14:paraId="564DF1EA">
            <w:pPr>
              <w:spacing w:line="280" w:lineRule="exact"/>
              <w:jc w:val="center"/>
              <w:rPr>
                <w:rFonts w:ascii="Times New Roman" w:hAnsi="Times New Roman" w:cs="宋体"/>
                <w:color w:val="auto"/>
              </w:rPr>
            </w:pPr>
          </w:p>
        </w:tc>
        <w:tc>
          <w:tcPr>
            <w:tcW w:w="3174" w:type="dxa"/>
            <w:vAlign w:val="center"/>
          </w:tcPr>
          <w:p w14:paraId="43E35088">
            <w:pPr>
              <w:spacing w:line="280" w:lineRule="exact"/>
              <w:jc w:val="center"/>
              <w:rPr>
                <w:rFonts w:hint="default" w:ascii="Times New Roman" w:hAnsi="Times New Roman" w:eastAsia="宋体" w:cs="宋体"/>
                <w:color w:val="auto"/>
                <w:lang w:val="en-US" w:eastAsia="zh-CN"/>
              </w:rPr>
            </w:pP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744"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1961" w:type="dxa"/>
            <w:vAlign w:val="center"/>
          </w:tcPr>
          <w:p w14:paraId="7F7B884D">
            <w:pPr>
              <w:spacing w:line="280" w:lineRule="exact"/>
              <w:jc w:val="center"/>
              <w:rPr>
                <w:rFonts w:ascii="Times New Roman" w:hAnsi="Times New Roman" w:cs="宋体"/>
                <w:color w:val="auto"/>
              </w:rPr>
            </w:pPr>
          </w:p>
        </w:tc>
        <w:tc>
          <w:tcPr>
            <w:tcW w:w="851" w:type="dxa"/>
            <w:vAlign w:val="center"/>
          </w:tcPr>
          <w:p w14:paraId="5CC3B2FF">
            <w:pPr>
              <w:spacing w:line="280" w:lineRule="exact"/>
              <w:jc w:val="center"/>
              <w:rPr>
                <w:rFonts w:ascii="Times New Roman" w:hAnsi="Times New Roman" w:cs="宋体"/>
                <w:color w:val="auto"/>
              </w:rPr>
            </w:pPr>
          </w:p>
        </w:tc>
        <w:tc>
          <w:tcPr>
            <w:tcW w:w="1227" w:type="dxa"/>
            <w:vAlign w:val="center"/>
          </w:tcPr>
          <w:p w14:paraId="198B7DBB">
            <w:pPr>
              <w:spacing w:line="280" w:lineRule="exact"/>
              <w:jc w:val="center"/>
              <w:rPr>
                <w:rFonts w:ascii="Times New Roman" w:hAnsi="Times New Roman" w:cs="宋体"/>
                <w:color w:val="auto"/>
              </w:rPr>
            </w:pPr>
          </w:p>
        </w:tc>
        <w:tc>
          <w:tcPr>
            <w:tcW w:w="3174" w:type="dxa"/>
            <w:vAlign w:val="center"/>
          </w:tcPr>
          <w:p w14:paraId="5C397C28">
            <w:pPr>
              <w:spacing w:line="280" w:lineRule="exact"/>
              <w:jc w:val="center"/>
              <w:rPr>
                <w:rFonts w:hint="eastAsia" w:ascii="Times New Roman" w:hAnsi="Times New Roman" w:eastAsia="宋体" w:cs="宋体"/>
                <w:color w:val="auto"/>
                <w:lang w:eastAsia="zh-CN"/>
              </w:rPr>
            </w:pPr>
          </w:p>
        </w:tc>
      </w:tr>
      <w:tr w14:paraId="75F03A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744" w:type="dxa"/>
            <w:vAlign w:val="center"/>
          </w:tcPr>
          <w:p w14:paraId="55E01C7A">
            <w:pPr>
              <w:spacing w:line="280" w:lineRule="exact"/>
              <w:jc w:val="center"/>
              <w:rPr>
                <w:rFonts w:hint="eastAsia" w:ascii="Times New Roman" w:hAnsi="Times New Roman" w:cs="宋体"/>
                <w:color w:val="auto"/>
              </w:rPr>
            </w:pPr>
            <w:r>
              <w:rPr>
                <w:rFonts w:hint="eastAsia" w:ascii="Times New Roman" w:hAnsi="Times New Roman" w:cs="宋体"/>
                <w:color w:val="auto"/>
              </w:rPr>
              <w:t>干粉灭火器</w:t>
            </w:r>
          </w:p>
        </w:tc>
        <w:tc>
          <w:tcPr>
            <w:tcW w:w="1961" w:type="dxa"/>
            <w:vAlign w:val="center"/>
          </w:tcPr>
          <w:p w14:paraId="34D06633">
            <w:pPr>
              <w:spacing w:line="280" w:lineRule="exact"/>
              <w:jc w:val="center"/>
              <w:rPr>
                <w:rFonts w:hint="eastAsia" w:ascii="Times New Roman" w:hAnsi="Times New Roman" w:cs="宋体"/>
                <w:color w:val="auto"/>
              </w:rPr>
            </w:pPr>
          </w:p>
        </w:tc>
        <w:tc>
          <w:tcPr>
            <w:tcW w:w="851" w:type="dxa"/>
            <w:vAlign w:val="center"/>
          </w:tcPr>
          <w:p w14:paraId="6E393A39">
            <w:pPr>
              <w:spacing w:line="280" w:lineRule="exact"/>
              <w:jc w:val="center"/>
              <w:rPr>
                <w:rFonts w:hint="eastAsia" w:ascii="Times New Roman" w:hAnsi="Times New Roman" w:cs="宋体"/>
                <w:color w:val="auto"/>
                <w:lang w:val="en-US" w:eastAsia="zh-CN"/>
              </w:rPr>
            </w:pPr>
          </w:p>
        </w:tc>
        <w:tc>
          <w:tcPr>
            <w:tcW w:w="1227" w:type="dxa"/>
            <w:vAlign w:val="center"/>
          </w:tcPr>
          <w:p w14:paraId="590211E4">
            <w:pPr>
              <w:spacing w:line="280" w:lineRule="exact"/>
              <w:jc w:val="center"/>
              <w:rPr>
                <w:rFonts w:hint="eastAsia" w:ascii="Times New Roman" w:hAnsi="Times New Roman" w:cs="宋体"/>
                <w:color w:val="auto"/>
              </w:rPr>
            </w:pPr>
          </w:p>
        </w:tc>
        <w:tc>
          <w:tcPr>
            <w:tcW w:w="3174" w:type="dxa"/>
            <w:vAlign w:val="center"/>
          </w:tcPr>
          <w:p w14:paraId="787808B3">
            <w:pPr>
              <w:spacing w:line="280" w:lineRule="exact"/>
              <w:jc w:val="center"/>
              <w:rPr>
                <w:rFonts w:hint="eastAsia" w:ascii="Times New Roman" w:hAnsi="Times New Roman" w:cs="宋体"/>
                <w:color w:val="auto"/>
              </w:rPr>
            </w:pP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744"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1961" w:type="dxa"/>
            <w:vAlign w:val="center"/>
          </w:tcPr>
          <w:p w14:paraId="138CBA09">
            <w:pPr>
              <w:spacing w:line="280" w:lineRule="exact"/>
              <w:jc w:val="center"/>
              <w:rPr>
                <w:rFonts w:hint="eastAsia" w:ascii="Times New Roman" w:hAnsi="Times New Roman" w:eastAsia="宋体" w:cs="宋体"/>
                <w:color w:val="auto"/>
                <w:lang w:eastAsia="zh-CN"/>
              </w:rPr>
            </w:pPr>
          </w:p>
        </w:tc>
        <w:tc>
          <w:tcPr>
            <w:tcW w:w="851" w:type="dxa"/>
            <w:vAlign w:val="center"/>
          </w:tcPr>
          <w:p w14:paraId="4C11FCBA">
            <w:pPr>
              <w:spacing w:line="280" w:lineRule="exact"/>
              <w:jc w:val="center"/>
              <w:rPr>
                <w:rFonts w:ascii="Times New Roman" w:hAnsi="Times New Roman" w:cs="宋体"/>
                <w:color w:val="auto"/>
              </w:rPr>
            </w:pPr>
          </w:p>
        </w:tc>
        <w:tc>
          <w:tcPr>
            <w:tcW w:w="1227" w:type="dxa"/>
            <w:vAlign w:val="center"/>
          </w:tcPr>
          <w:p w14:paraId="679629DF">
            <w:pPr>
              <w:spacing w:line="280" w:lineRule="exact"/>
              <w:jc w:val="center"/>
              <w:rPr>
                <w:rFonts w:ascii="Times New Roman" w:hAnsi="Times New Roman" w:cs="宋体"/>
                <w:color w:val="auto"/>
              </w:rPr>
            </w:pPr>
          </w:p>
        </w:tc>
        <w:tc>
          <w:tcPr>
            <w:tcW w:w="3174" w:type="dxa"/>
            <w:vAlign w:val="center"/>
          </w:tcPr>
          <w:p w14:paraId="40D3E5DE">
            <w:pPr>
              <w:spacing w:line="280" w:lineRule="exact"/>
              <w:jc w:val="center"/>
              <w:rPr>
                <w:rFonts w:ascii="Times New Roman" w:hAnsi="Times New Roman" w:cs="宋体"/>
                <w:color w:val="auto"/>
              </w:rPr>
            </w:pP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744"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1961" w:type="dxa"/>
            <w:vAlign w:val="center"/>
          </w:tcPr>
          <w:p w14:paraId="20320680">
            <w:pPr>
              <w:spacing w:line="280" w:lineRule="exact"/>
              <w:jc w:val="center"/>
              <w:rPr>
                <w:rFonts w:ascii="Times New Roman" w:hAnsi="Times New Roman" w:cs="宋体"/>
                <w:color w:val="auto"/>
              </w:rPr>
            </w:pPr>
          </w:p>
        </w:tc>
        <w:tc>
          <w:tcPr>
            <w:tcW w:w="851" w:type="dxa"/>
            <w:vAlign w:val="center"/>
          </w:tcPr>
          <w:p w14:paraId="4A21801F">
            <w:pPr>
              <w:spacing w:line="280" w:lineRule="exact"/>
              <w:jc w:val="center"/>
              <w:rPr>
                <w:rFonts w:ascii="Times New Roman" w:hAnsi="Times New Roman" w:cs="宋体"/>
                <w:color w:val="auto"/>
              </w:rPr>
            </w:pPr>
          </w:p>
        </w:tc>
        <w:tc>
          <w:tcPr>
            <w:tcW w:w="1227" w:type="dxa"/>
            <w:vAlign w:val="center"/>
          </w:tcPr>
          <w:p w14:paraId="543D47A8">
            <w:pPr>
              <w:spacing w:line="280" w:lineRule="exact"/>
              <w:jc w:val="center"/>
              <w:rPr>
                <w:rFonts w:ascii="Times New Roman" w:hAnsi="Times New Roman" w:cs="宋体"/>
                <w:color w:val="auto"/>
              </w:rPr>
            </w:pPr>
          </w:p>
        </w:tc>
        <w:tc>
          <w:tcPr>
            <w:tcW w:w="3174" w:type="dxa"/>
            <w:vAlign w:val="center"/>
          </w:tcPr>
          <w:p w14:paraId="5E8B77E6">
            <w:pPr>
              <w:spacing w:line="280" w:lineRule="exact"/>
              <w:jc w:val="center"/>
              <w:rPr>
                <w:rFonts w:ascii="Times New Roman" w:hAnsi="Times New Roman" w:cs="宋体"/>
                <w:color w:val="auto"/>
              </w:rPr>
            </w:pP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744"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1961" w:type="dxa"/>
            <w:vAlign w:val="center"/>
          </w:tcPr>
          <w:p w14:paraId="5979DD80">
            <w:pPr>
              <w:spacing w:line="280" w:lineRule="exact"/>
              <w:jc w:val="center"/>
              <w:rPr>
                <w:rFonts w:ascii="Times New Roman" w:hAnsi="Times New Roman" w:cs="宋体"/>
                <w:color w:val="auto"/>
              </w:rPr>
            </w:pPr>
          </w:p>
        </w:tc>
        <w:tc>
          <w:tcPr>
            <w:tcW w:w="851" w:type="dxa"/>
            <w:vAlign w:val="center"/>
          </w:tcPr>
          <w:p w14:paraId="2AA9C34F">
            <w:pPr>
              <w:spacing w:line="280" w:lineRule="exact"/>
              <w:jc w:val="center"/>
              <w:rPr>
                <w:rFonts w:ascii="Times New Roman" w:hAnsi="Times New Roman" w:cs="宋体"/>
                <w:color w:val="auto"/>
              </w:rPr>
            </w:pPr>
          </w:p>
        </w:tc>
        <w:tc>
          <w:tcPr>
            <w:tcW w:w="1227" w:type="dxa"/>
            <w:vAlign w:val="center"/>
          </w:tcPr>
          <w:p w14:paraId="77C0C346">
            <w:pPr>
              <w:spacing w:line="280" w:lineRule="exact"/>
              <w:jc w:val="center"/>
              <w:rPr>
                <w:rFonts w:ascii="Times New Roman" w:hAnsi="Times New Roman" w:cs="宋体"/>
                <w:color w:val="auto"/>
              </w:rPr>
            </w:pPr>
          </w:p>
        </w:tc>
        <w:tc>
          <w:tcPr>
            <w:tcW w:w="3174" w:type="dxa"/>
            <w:vAlign w:val="center"/>
          </w:tcPr>
          <w:p w14:paraId="5D481D18">
            <w:pPr>
              <w:spacing w:line="280" w:lineRule="exact"/>
              <w:jc w:val="center"/>
              <w:rPr>
                <w:rFonts w:ascii="Times New Roman" w:hAnsi="Times New Roman" w:cs="宋体"/>
                <w:color w:val="auto"/>
              </w:rPr>
            </w:pP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1744" w:type="dxa"/>
            <w:vAlign w:val="center"/>
          </w:tcPr>
          <w:p w14:paraId="41DF72C1">
            <w:pPr>
              <w:spacing w:line="280" w:lineRule="exact"/>
              <w:jc w:val="center"/>
              <w:rPr>
                <w:rFonts w:ascii="Times New Roman" w:hAnsi="Times New Roman" w:cs="宋体"/>
                <w:color w:val="auto"/>
              </w:rPr>
            </w:pPr>
            <w:r>
              <w:rPr>
                <w:rFonts w:hint="eastAsia" w:ascii="Times New Roman" w:hAnsi="Times New Roman" w:cs="宋体"/>
                <w:color w:val="auto"/>
              </w:rPr>
              <w:t>消防铲、桶</w:t>
            </w:r>
          </w:p>
        </w:tc>
        <w:tc>
          <w:tcPr>
            <w:tcW w:w="1961" w:type="dxa"/>
            <w:vAlign w:val="center"/>
          </w:tcPr>
          <w:p w14:paraId="4AAA628A">
            <w:pPr>
              <w:spacing w:line="280" w:lineRule="exact"/>
              <w:jc w:val="center"/>
              <w:rPr>
                <w:rFonts w:ascii="Times New Roman" w:hAnsi="Times New Roman" w:cs="宋体"/>
                <w:color w:val="auto"/>
              </w:rPr>
            </w:pPr>
          </w:p>
        </w:tc>
        <w:tc>
          <w:tcPr>
            <w:tcW w:w="851" w:type="dxa"/>
            <w:vAlign w:val="center"/>
          </w:tcPr>
          <w:p w14:paraId="5BBB5F3B">
            <w:pPr>
              <w:spacing w:line="280" w:lineRule="exact"/>
              <w:jc w:val="center"/>
              <w:rPr>
                <w:rFonts w:ascii="Times New Roman" w:hAnsi="Times New Roman" w:cs="宋体"/>
                <w:color w:val="auto"/>
              </w:rPr>
            </w:pPr>
          </w:p>
        </w:tc>
        <w:tc>
          <w:tcPr>
            <w:tcW w:w="1227" w:type="dxa"/>
            <w:vAlign w:val="center"/>
          </w:tcPr>
          <w:p w14:paraId="04092DB4">
            <w:pPr>
              <w:spacing w:line="280" w:lineRule="exact"/>
              <w:jc w:val="center"/>
              <w:rPr>
                <w:rFonts w:ascii="Times New Roman" w:hAnsi="Times New Roman" w:cs="宋体"/>
                <w:color w:val="auto"/>
              </w:rPr>
            </w:pPr>
          </w:p>
        </w:tc>
        <w:tc>
          <w:tcPr>
            <w:tcW w:w="3174" w:type="dxa"/>
            <w:vAlign w:val="center"/>
          </w:tcPr>
          <w:p w14:paraId="1A89A860">
            <w:pPr>
              <w:spacing w:line="280" w:lineRule="exact"/>
              <w:jc w:val="center"/>
              <w:rPr>
                <w:rFonts w:ascii="Times New Roman" w:hAnsi="Times New Roman" w:cs="宋体"/>
                <w:color w:val="auto"/>
              </w:rPr>
            </w:pP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该加油站</w:t>
      </w:r>
      <w:r>
        <w:rPr>
          <w:rFonts w:hint="eastAsia" w:ascii="Times New Roman" w:hAnsi="Times New Roman" w:cs="宋体"/>
          <w:color w:val="auto"/>
          <w:sz w:val="28"/>
          <w:szCs w:val="28"/>
          <w:lang w:val="zh-CN"/>
        </w:rPr>
        <w:t>柴油通气管、汽油通气管设置于罐区内，为DN50的无缝钢管，通气管高</w:t>
      </w:r>
      <w:r>
        <w:rPr>
          <w:rFonts w:hint="eastAsia" w:ascii="Times New Roman" w:hAnsi="Times New Roman" w:cs="宋体"/>
          <w:color w:val="auto"/>
          <w:sz w:val="28"/>
          <w:szCs w:val="28"/>
        </w:rPr>
        <w:t>4</w:t>
      </w:r>
      <w:r>
        <w:rPr>
          <w:rFonts w:hint="eastAsia" w:ascii="Times New Roman" w:hAnsi="Times New Roman" w:cs="宋体"/>
          <w:color w:val="auto"/>
          <w:sz w:val="28"/>
          <w:szCs w:val="28"/>
          <w:lang w:val="zh-CN"/>
        </w:rPr>
        <w:t>m。</w:t>
      </w:r>
      <w:r>
        <w:rPr>
          <w:rFonts w:hint="eastAsia" w:ascii="Times New Roman" w:hAnsi="Times New Roman" w:cs="宋体"/>
          <w:color w:val="auto"/>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兴国石油分公司上社加油站</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丁聪炜</w:t>
      </w:r>
      <w:r>
        <w:rPr>
          <w:rFonts w:hint="eastAsia" w:ascii="Times New Roman" w:hAnsi="Times New Roman" w:cs="宋体"/>
          <w:color w:val="auto"/>
          <w:sz w:val="28"/>
          <w:szCs w:val="28"/>
        </w:rPr>
        <w:t>和钟蔚椿分别取得危险化学品经营单位主要负责人、安全生产管理人员考核合格证，详见附件。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4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6"/>
        <w:gridCol w:w="1012"/>
        <w:gridCol w:w="1293"/>
        <w:gridCol w:w="2138"/>
        <w:gridCol w:w="2205"/>
        <w:gridCol w:w="2163"/>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646"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12"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93"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38"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205"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63"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646"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12" w:type="dxa"/>
            <w:vAlign w:val="center"/>
          </w:tcPr>
          <w:p w14:paraId="613E2222">
            <w:pPr>
              <w:spacing w:line="240" w:lineRule="exact"/>
              <w:jc w:val="center"/>
              <w:rPr>
                <w:rFonts w:hint="eastAsia" w:ascii="Times New Roman" w:hAnsi="Times New Roman" w:eastAsia="宋体" w:cs="Times New Roman"/>
                <w:color w:val="auto"/>
                <w:lang w:eastAsia="zh-CN"/>
              </w:rPr>
            </w:pPr>
          </w:p>
        </w:tc>
        <w:tc>
          <w:tcPr>
            <w:tcW w:w="1293" w:type="dxa"/>
            <w:vAlign w:val="center"/>
          </w:tcPr>
          <w:p w14:paraId="16BE0585">
            <w:pPr>
              <w:spacing w:line="240" w:lineRule="exact"/>
              <w:jc w:val="center"/>
              <w:rPr>
                <w:rFonts w:ascii="Times New Roman" w:hAnsi="Times New Roman" w:cs="Times New Roman"/>
                <w:color w:val="auto"/>
              </w:rPr>
            </w:pPr>
          </w:p>
        </w:tc>
        <w:tc>
          <w:tcPr>
            <w:tcW w:w="2138" w:type="dxa"/>
            <w:vAlign w:val="center"/>
          </w:tcPr>
          <w:p w14:paraId="55C2EA68">
            <w:pPr>
              <w:spacing w:line="240" w:lineRule="exact"/>
              <w:jc w:val="center"/>
              <w:rPr>
                <w:rFonts w:ascii="Times New Roman" w:hAnsi="Times New Roman" w:cs="Times New Roman"/>
                <w:color w:val="auto"/>
              </w:rPr>
            </w:pPr>
          </w:p>
        </w:tc>
        <w:tc>
          <w:tcPr>
            <w:tcW w:w="2205" w:type="dxa"/>
            <w:vAlign w:val="center"/>
          </w:tcPr>
          <w:p w14:paraId="650F6E01">
            <w:pPr>
              <w:spacing w:line="240" w:lineRule="exact"/>
              <w:jc w:val="center"/>
              <w:rPr>
                <w:rFonts w:hint="default" w:ascii="Times New Roman" w:hAnsi="Times New Roman" w:eastAsia="宋体" w:cs="Times New Roman"/>
                <w:color w:val="auto"/>
                <w:lang w:val="en-US" w:eastAsia="zh-CN"/>
              </w:rPr>
            </w:pPr>
          </w:p>
        </w:tc>
        <w:tc>
          <w:tcPr>
            <w:tcW w:w="2163" w:type="dxa"/>
            <w:vAlign w:val="center"/>
          </w:tcPr>
          <w:p w14:paraId="35D60086">
            <w:pPr>
              <w:spacing w:line="240" w:lineRule="exact"/>
              <w:jc w:val="center"/>
              <w:rPr>
                <w:rFonts w:ascii="Times New Roman" w:hAnsi="Times New Roman" w:cs="Times New Roman"/>
                <w:color w:val="auto"/>
              </w:rPr>
            </w:pP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46"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12" w:type="dxa"/>
            <w:vAlign w:val="center"/>
          </w:tcPr>
          <w:p w14:paraId="0DF335F9">
            <w:pPr>
              <w:spacing w:line="240" w:lineRule="exact"/>
              <w:jc w:val="center"/>
              <w:rPr>
                <w:rFonts w:hint="eastAsia" w:ascii="Times New Roman" w:hAnsi="Times New Roman" w:eastAsia="宋体" w:cs="Times New Roman"/>
                <w:color w:val="auto"/>
                <w:lang w:eastAsia="zh-CN"/>
              </w:rPr>
            </w:pPr>
          </w:p>
        </w:tc>
        <w:tc>
          <w:tcPr>
            <w:tcW w:w="1293" w:type="dxa"/>
            <w:vAlign w:val="center"/>
          </w:tcPr>
          <w:p w14:paraId="74F4141E">
            <w:pPr>
              <w:spacing w:line="240" w:lineRule="exact"/>
              <w:jc w:val="center"/>
              <w:rPr>
                <w:rFonts w:ascii="Times New Roman" w:hAnsi="Times New Roman" w:cs="Times New Roman"/>
                <w:color w:val="auto"/>
              </w:rPr>
            </w:pPr>
          </w:p>
        </w:tc>
        <w:tc>
          <w:tcPr>
            <w:tcW w:w="2138" w:type="dxa"/>
            <w:vAlign w:val="center"/>
          </w:tcPr>
          <w:p w14:paraId="6EE6D12A">
            <w:pPr>
              <w:spacing w:line="240" w:lineRule="exact"/>
              <w:jc w:val="center"/>
              <w:rPr>
                <w:rFonts w:ascii="Times New Roman" w:hAnsi="Times New Roman" w:cs="Times New Roman"/>
                <w:color w:val="auto"/>
              </w:rPr>
            </w:pPr>
          </w:p>
        </w:tc>
        <w:tc>
          <w:tcPr>
            <w:tcW w:w="2205" w:type="dxa"/>
            <w:vAlign w:val="center"/>
          </w:tcPr>
          <w:p w14:paraId="7BA1306C">
            <w:pPr>
              <w:spacing w:line="240" w:lineRule="exact"/>
              <w:jc w:val="center"/>
              <w:rPr>
                <w:rFonts w:hint="eastAsia" w:ascii="Times New Roman" w:hAnsi="Times New Roman" w:eastAsia="宋体" w:cs="Times New Roman"/>
                <w:color w:val="auto"/>
                <w:lang w:eastAsia="zh-CN"/>
              </w:rPr>
            </w:pPr>
          </w:p>
        </w:tc>
        <w:tc>
          <w:tcPr>
            <w:tcW w:w="2163" w:type="dxa"/>
            <w:vAlign w:val="center"/>
          </w:tcPr>
          <w:p w14:paraId="2D86F018">
            <w:pPr>
              <w:spacing w:line="240" w:lineRule="exact"/>
              <w:jc w:val="center"/>
              <w:rPr>
                <w:rFonts w:ascii="Times New Roman" w:hAnsi="Times New Roman" w:cs="Times New Roman"/>
                <w:color w:val="auto"/>
              </w:rPr>
            </w:pP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该站制定了各种安全管理制度，包括：全员安全生产责任制度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安全生产教育培训教育制度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加油站值班制度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安全检查和隐患整改管理制度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安全检维修管理制度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安全作业管理制度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危险化学品购销管理制度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生产设施安全管理制度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安全生产费用投入保障制度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安全生产奖惩制度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劳动防护用品(具)发放管理制度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事故管理制度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职业卫生管理制度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加油站加油区及储油罐区安全监控制度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安全生产会议制度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防火、防爆、防中毒、防泄漏管理制度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消防管理制度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法律、法规、标准及其他要求管理制度、“三同时”管理制度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监视和测量设备管理制度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设施安全拆除和报废制度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承包商管理制度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供应商管理制度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变更管理制度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应急管理制度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隐患排查治理管理制度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外来人员安全管理制度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站内道路交通管理制度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文件档案管理制度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禁火、禁烟管理制度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兴国石油分公司上社加油站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11</w:t>
      </w:r>
      <w:r>
        <w:rPr>
          <w:rFonts w:hint="eastAsia" w:ascii="Times New Roman" w:hAnsi="Times New Roman" w:cs="Times New Roman"/>
          <w:color w:val="auto"/>
          <w:spacing w:val="-6"/>
          <w:sz w:val="28"/>
          <w:szCs w:val="28"/>
        </w:rPr>
        <w:t>月30日在</w:t>
      </w:r>
      <w:r>
        <w:rPr>
          <w:rFonts w:hint="eastAsia" w:ascii="Times New Roman" w:hAnsi="Times New Roman" w:cs="Times New Roman"/>
          <w:color w:val="auto"/>
          <w:spacing w:val="-6"/>
          <w:sz w:val="28"/>
          <w:szCs w:val="28"/>
          <w:lang w:val="en-US" w:eastAsia="zh-CN"/>
        </w:rPr>
        <w:t>兴国县</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331F22B1">
      <w:pPr>
        <w:spacing w:line="600" w:lineRule="exact"/>
        <w:outlineLvl w:val="0"/>
        <w:rPr>
          <w:rFonts w:ascii="Times New Roman" w:hAnsi="Times New Roman" w:cs="Times New Roman"/>
          <w:b/>
          <w:bCs/>
          <w:color w:val="auto"/>
          <w:kern w:val="36"/>
          <w:sz w:val="32"/>
          <w:szCs w:val="32"/>
        </w:rPr>
      </w:pPr>
      <w:bookmarkStart w:id="44" w:name="_Toc17098"/>
      <w:r>
        <w:rPr>
          <w:rFonts w:ascii="Times New Roman" w:hAnsi="Times New Roman" w:cs="Times New Roman"/>
          <w:b/>
          <w:bCs/>
          <w:color w:val="auto"/>
          <w:kern w:val="36"/>
          <w:sz w:val="28"/>
          <w:szCs w:val="28"/>
        </w:rPr>
        <w:br w:type="page"/>
      </w:r>
      <w:bookmarkStart w:id="45" w:name="_Toc12459"/>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rPr>
      </w:pPr>
      <w:bookmarkStart w:id="46" w:name="_Toc12350"/>
      <w:bookmarkStart w:id="47" w:name="_Toc343692251"/>
      <w:bookmarkStart w:id="48" w:name="_Toc2209"/>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根据《危险化学品目录》（</w:t>
      </w:r>
      <w:r>
        <w:rPr>
          <w:rFonts w:ascii="Times New Roman" w:hAnsi="Times New Roman" w:cs="Times New Roman"/>
          <w:color w:val="auto"/>
          <w:sz w:val="28"/>
          <w:szCs w:val="28"/>
        </w:rPr>
        <w:t>20</w:t>
      </w:r>
      <w:r>
        <w:rPr>
          <w:rFonts w:hint="eastAsia" w:ascii="Times New Roman" w:hAnsi="Times New Roman" w:cs="Times New Roman"/>
          <w:color w:val="auto"/>
          <w:sz w:val="28"/>
          <w:szCs w:val="28"/>
        </w:rPr>
        <w:t>15</w:t>
      </w:r>
      <w:r>
        <w:rPr>
          <w:rFonts w:hint="eastAsia" w:ascii="Times New Roman" w:hAnsi="Times New Roman" w:cs="宋体"/>
          <w:color w:val="auto"/>
          <w:sz w:val="28"/>
          <w:szCs w:val="28"/>
        </w:rPr>
        <w:t>年版，202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年调整），该站涉及的危险化学品物质是汽油和柴油，汽油和柴油危险特性见下表所示。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8"/>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2695EA1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cs="宋体"/>
                <w:color w:val="auto"/>
              </w:rPr>
            </w:pPr>
            <w:r>
              <w:rPr>
                <w:rFonts w:hint="eastAsia" w:ascii="Times New Roman" w:hAnsi="Times New Roman" w:cs="宋体"/>
                <w:color w:val="auto"/>
              </w:rPr>
              <w:t xml:space="preserve">危险货物包装标志：7    </w:t>
            </w:r>
          </w:p>
          <w:p w14:paraId="3591ED6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包装类别：Ⅰ</w:t>
            </w:r>
          </w:p>
          <w:p w14:paraId="7D808FE3">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侵入途径：吸入，食入，经皮吸收。</w:t>
            </w:r>
          </w:p>
          <w:p w14:paraId="43880FFE">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6A411A8B">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rPr>
          <w:color w:val="auto"/>
        </w:rPr>
      </w:pPr>
      <w:bookmarkStart w:id="49" w:name="_Toc10889"/>
      <w:bookmarkStart w:id="50" w:name="_Toc8188"/>
      <w:bookmarkStart w:id="51" w:name="_Toc15326"/>
      <w:bookmarkStart w:id="52" w:name="_Toc343692252"/>
      <w:bookmarkStart w:id="53" w:name="_Toc17924"/>
      <w:r>
        <w:rPr>
          <w:color w:val="auto"/>
        </w:rPr>
        <w:t>3.2</w:t>
      </w:r>
      <w:r>
        <w:rPr>
          <w:rFonts w:hint="eastAsia" w:cs="宋体"/>
          <w:color w:val="auto"/>
        </w:rPr>
        <w:t>危险化学品及危险工艺辨识</w:t>
      </w:r>
      <w:bookmarkEnd w:id="49"/>
      <w:bookmarkEnd w:id="50"/>
      <w:bookmarkEnd w:id="51"/>
    </w:p>
    <w:p w14:paraId="376DE7A8">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spacing w:line="600" w:lineRule="exact"/>
        <w:ind w:firstLine="560" w:firstLineChars="200"/>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rPr>
      </w:pPr>
      <w:bookmarkStart w:id="54" w:name="_Toc19916"/>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2"/>
      <w:bookmarkEnd w:id="53"/>
      <w:bookmarkEnd w:id="54"/>
      <w:bookmarkStart w:id="55" w:name="_Toc32342"/>
      <w:bookmarkStart w:id="56" w:name="_Toc9706"/>
      <w:bookmarkStart w:id="57" w:name="_Toc343692253"/>
      <w:bookmarkStart w:id="58" w:name="_Toc28936"/>
    </w:p>
    <w:p w14:paraId="0ECA344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spacing w:line="560" w:lineRule="exact"/>
        <w:ind w:left="1679" w:leftChars="266" w:hanging="1120" w:hangingChars="4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spacing w:line="560" w:lineRule="exact"/>
        <w:ind w:left="1676" w:leftChars="665" w:hanging="280" w:hangingChars="100"/>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183C97B0">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112114C0">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59" w:name="_Toc15806"/>
      <w:bookmarkStart w:id="60" w:name="_Toc1761"/>
      <w:bookmarkStart w:id="61" w:name="_Toc23823"/>
      <w:bookmarkStart w:id="62" w:name="_Toc19249"/>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的柴油储罐1个、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2</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2</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45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rPr>
        <w:t>1</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25.5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1</w:t>
            </w:r>
            <w:r>
              <w:rPr>
                <w:rFonts w:ascii="Times New Roman" w:hAnsi="Times New Roman" w:cs="Times New Roman"/>
                <w:color w:val="auto"/>
              </w:rPr>
              <w:t>台</w:t>
            </w:r>
            <w:r>
              <w:rPr>
                <w:rFonts w:hint="eastAsia" w:ascii="Times New Roman" w:hAnsi="Times New Roman" w:cs="Times New Roman"/>
                <w:color w:val="auto"/>
                <w:lang w:val="en-US" w:eastAsia="zh-CN"/>
              </w:rPr>
              <w:t>四</w:t>
            </w:r>
            <w:r>
              <w:rPr>
                <w:rFonts w:ascii="Times New Roman" w:hAnsi="Times New Roman" w:cs="Times New Roman"/>
                <w:color w:val="auto"/>
              </w:rPr>
              <w:t>枪加油机</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1</w:t>
            </w:r>
            <w:r>
              <w:rPr>
                <w:rFonts w:ascii="Times New Roman" w:hAnsi="Times New Roman" w:cs="Times New Roman"/>
                <w:color w:val="auto"/>
              </w:rPr>
              <w:t>台</w:t>
            </w:r>
            <w:r>
              <w:rPr>
                <w:rFonts w:hint="eastAsia" w:ascii="Times New Roman" w:hAnsi="Times New Roman" w:cs="Times New Roman"/>
                <w:color w:val="auto"/>
                <w:lang w:val="en-US" w:eastAsia="zh-CN"/>
              </w:rPr>
              <w:t>双</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4</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24</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18</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17</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3"/>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3"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3"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lang w:val="en-US" w:eastAsia="zh-CN"/>
              </w:rPr>
              <w:t>0.225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3"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lang w:val="en-US" w:eastAsia="zh-CN"/>
              </w:rPr>
              <w:t>0.0051</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3"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2301</w:t>
            </w:r>
            <w:r>
              <w:rPr>
                <w:rFonts w:hint="eastAsia" w:ascii="Times New Roman" w:hAnsi="Times New Roman" w:cs="Times New Roman"/>
                <w:b/>
                <w:bCs/>
                <w:color w:val="auto"/>
              </w:rPr>
              <w:t>＜1</w:t>
            </w:r>
          </w:p>
        </w:tc>
      </w:tr>
    </w:tbl>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18</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09</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17</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0.0000</w:t>
            </w:r>
            <w:r>
              <w:rPr>
                <w:rFonts w:hint="eastAsia" w:ascii="Times New Roman" w:hAnsi="Times New Roman" w:cs="Times New Roman"/>
                <w:b/>
                <w:bCs/>
                <w:color w:val="auto"/>
                <w:lang w:val="en-US" w:eastAsia="zh-CN"/>
              </w:rPr>
              <w:t>34</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0934</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3" w:name="_Toc13295"/>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4" w:name="_Toc20706"/>
      <w:bookmarkStart w:id="65" w:name="_Toc16064"/>
      <w:bookmarkStart w:id="66" w:name="_Toc17404"/>
      <w:bookmarkStart w:id="67" w:name="_Toc16859"/>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16" w:firstLineChars="200"/>
        <w:rPr>
          <w:rFonts w:ascii="Times New Roman" w:hAnsi="Times New Roman" w:cs="Times New Roman"/>
          <w:color w:val="auto"/>
          <w:spacing w:val="-8"/>
          <w:sz w:val="28"/>
          <w:szCs w:val="28"/>
        </w:rPr>
      </w:pPr>
      <w:r>
        <w:rPr>
          <w:rFonts w:hint="eastAsia" w:ascii="Times New Roman" w:hAnsi="Times New Roman" w:cs="宋体"/>
          <w:color w:val="auto"/>
          <w:spacing w:val="-11"/>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11"/>
          <w:sz w:val="28"/>
          <w:szCs w:val="28"/>
        </w:rPr>
        <w:t>GB6441-</w:t>
      </w:r>
      <w:r>
        <w:rPr>
          <w:rFonts w:hint="eastAsia" w:ascii="Times New Roman" w:hAnsi="Times New Roman" w:cs="Times New Roman"/>
          <w:color w:val="auto"/>
          <w:spacing w:val="-11"/>
          <w:sz w:val="28"/>
          <w:szCs w:val="28"/>
          <w:lang w:val="en-US" w:eastAsia="zh-CN"/>
        </w:rPr>
        <w:t>2025</w:t>
      </w:r>
      <w:r>
        <w:rPr>
          <w:rFonts w:hint="eastAsia" w:ascii="Times New Roman" w:hAnsi="Times New Roman" w:cs="宋体"/>
          <w:color w:val="auto"/>
          <w:spacing w:val="-11"/>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val="en-US" w:eastAsia="zh-CN"/>
        </w:rPr>
      </w:pPr>
      <w:bookmarkStart w:id="68" w:name="_Toc9570"/>
      <w:bookmarkStart w:id="69" w:name="_Toc16083"/>
      <w:bookmarkStart w:id="70" w:name="_Toc12873"/>
      <w:r>
        <w:rPr>
          <w:rFonts w:ascii="Times New Roman" w:hAnsi="Times New Roman" w:cs="Times New Roman"/>
          <w:b/>
          <w:bCs/>
          <w:color w:val="auto"/>
          <w:kern w:val="0"/>
          <w:sz w:val="28"/>
          <w:szCs w:val="28"/>
        </w:rPr>
        <w:t>3.5.1</w:t>
      </w:r>
      <w:bookmarkEnd w:id="68"/>
      <w:bookmarkEnd w:id="69"/>
      <w:bookmarkEnd w:id="70"/>
      <w:r>
        <w:rPr>
          <w:rFonts w:hint="eastAsia" w:ascii="Times New Roman" w:hAnsi="Times New Roman" w:cs="宋体"/>
          <w:b/>
          <w:bCs/>
          <w:color w:val="auto"/>
          <w:kern w:val="0"/>
          <w:sz w:val="28"/>
          <w:szCs w:val="28"/>
        </w:rPr>
        <w:t>火灾、可燃液体蒸汽爆炸、容器爆</w:t>
      </w:r>
      <w:r>
        <w:rPr>
          <w:rFonts w:hint="eastAsia" w:ascii="Times New Roman" w:hAnsi="Times New Roman" w:cs="宋体"/>
          <w:b/>
          <w:bCs/>
          <w:color w:val="auto"/>
          <w:kern w:val="0"/>
          <w:sz w:val="28"/>
          <w:szCs w:val="28"/>
          <w:lang w:val="en-US" w:eastAsia="zh-CN"/>
        </w:rPr>
        <w:t>炸</w:t>
      </w:r>
    </w:p>
    <w:p w14:paraId="71EE621C">
      <w:pPr>
        <w:spacing w:line="600" w:lineRule="exact"/>
        <w:ind w:firstLine="536" w:firstLineChars="200"/>
        <w:rPr>
          <w:rFonts w:hint="eastAsia" w:ascii="Times New Roman" w:hAnsi="Times New Roman" w:cs="宋体"/>
          <w:color w:val="auto"/>
          <w:sz w:val="28"/>
          <w:szCs w:val="28"/>
        </w:rPr>
      </w:pPr>
      <w:r>
        <w:rPr>
          <w:rFonts w:hint="eastAsia" w:ascii="Times New Roman" w:hAnsi="Times New Roman" w:cs="宋体"/>
          <w:color w:val="auto"/>
          <w:spacing w:val="-6"/>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611946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771FC3D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2891952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3CD4AFC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w:t>
      </w:r>
      <w:r>
        <w:rPr>
          <w:rFonts w:hint="eastAsia" w:ascii="Times New Roman" w:hAnsi="Times New Roman" w:cs="Times New Roman"/>
          <w:b/>
          <w:bCs/>
          <w:color w:val="auto"/>
          <w:kern w:val="0"/>
          <w:sz w:val="28"/>
          <w:szCs w:val="28"/>
          <w:lang w:eastAsia="zh-CN"/>
        </w:rPr>
        <w:t>、</w:t>
      </w:r>
      <w:r>
        <w:rPr>
          <w:rFonts w:hint="eastAsia" w:ascii="Times New Roman" w:hAnsi="Times New Roman" w:cs="Times New Roman"/>
          <w:b/>
          <w:bCs/>
          <w:color w:val="auto"/>
          <w:kern w:val="0"/>
          <w:sz w:val="28"/>
          <w:szCs w:val="28"/>
        </w:rPr>
        <w:t>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7DD1CC2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868C0A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窒息。</w:t>
      </w:r>
    </w:p>
    <w:p w14:paraId="5886EC4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2CC099F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0EAC8B1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36" w:firstLineChars="200"/>
        <w:rPr>
          <w:rFonts w:hint="eastAsia" w:ascii="Times New Roman" w:hAnsi="Times New Roman" w:cs="宋体"/>
          <w:color w:val="auto"/>
          <w:sz w:val="28"/>
          <w:szCs w:val="28"/>
        </w:rPr>
      </w:pPr>
      <w:r>
        <w:rPr>
          <w:rFonts w:hint="eastAsia" w:ascii="Times New Roman" w:hAnsi="Times New Roman" w:cs="宋体"/>
          <w:color w:val="auto"/>
          <w:spacing w:val="-6"/>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550D3CD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116765B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4944034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加油站涉及罩棚、站房及其他建筑，如果安装质量不符合要求，可能会发生坍塌事故。</w:t>
      </w:r>
    </w:p>
    <w:p w14:paraId="7C9006E2">
      <w:pPr>
        <w:keepNext/>
        <w:keepLines/>
        <w:spacing w:line="600" w:lineRule="exact"/>
        <w:outlineLvl w:val="1"/>
        <w:rPr>
          <w:rFonts w:ascii="Times New Roman" w:hAnsi="Times New Roman" w:cs="Times New Roman"/>
          <w:b/>
          <w:bCs/>
          <w:color w:val="auto"/>
          <w:sz w:val="28"/>
          <w:szCs w:val="28"/>
        </w:rPr>
      </w:pPr>
      <w:bookmarkStart w:id="71" w:name="_Toc3570"/>
      <w:bookmarkStart w:id="72" w:name="_Toc258"/>
      <w:bookmarkStart w:id="73" w:name="_Toc719"/>
      <w:bookmarkStart w:id="74" w:name="_Toc24976"/>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rPr>
      </w:pPr>
      <w:bookmarkStart w:id="75" w:name="_Toc31394"/>
      <w:bookmarkStart w:id="76" w:name="_Toc101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03E4B9D">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049EA00C">
      <w:pPr>
        <w:keepNext/>
        <w:keepLines/>
        <w:spacing w:line="600" w:lineRule="exact"/>
        <w:outlineLvl w:val="1"/>
        <w:rPr>
          <w:rFonts w:ascii="Times New Roman" w:hAnsi="Times New Roman" w:cs="Times New Roman"/>
          <w:b/>
          <w:bCs/>
          <w:color w:val="auto"/>
          <w:sz w:val="28"/>
          <w:szCs w:val="28"/>
        </w:rPr>
      </w:pPr>
      <w:bookmarkStart w:id="77" w:name="_Toc29830"/>
      <w:bookmarkStart w:id="78" w:name="_Toc5009"/>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rPr>
      </w:pPr>
      <w:bookmarkStart w:id="79" w:name="_Toc14200"/>
      <w:bookmarkStart w:id="80" w:name="_Toc28615"/>
      <w:bookmarkStart w:id="81" w:name="_Toc1409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2" w:name="_Toc19293"/>
      <w:bookmarkStart w:id="83" w:name="_Toc20651"/>
      <w:bookmarkStart w:id="84" w:name="_Toc13751"/>
      <w:bookmarkStart w:id="85" w:name="_Toc5946"/>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rPr>
      </w:pPr>
      <w:bookmarkStart w:id="86" w:name="_Toc31633"/>
      <w:bookmarkStart w:id="87" w:name="_Toc18812"/>
      <w:bookmarkStart w:id="88" w:name="_Toc8607"/>
      <w:bookmarkStart w:id="89" w:name="_Toc25447"/>
      <w:bookmarkStart w:id="90" w:name="_Toc343692256"/>
      <w:bookmarkStart w:id="91" w:name="_Toc22089"/>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866"/>
        <w:gridCol w:w="2480"/>
        <w:gridCol w:w="3882"/>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30"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66"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480"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882"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830"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66"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480"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882"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30"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66"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480"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882"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30"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866"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480"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882"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30"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866"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480"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882"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30"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866"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480"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882"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30"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866"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480"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882"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30"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866"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480"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882"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30"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866"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480"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882"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30"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2" w:name="_Toc28553"/>
            <w:bookmarkStart w:id="93" w:name="_Toc30431"/>
            <w:bookmarkStart w:id="94" w:name="_Toc7354"/>
            <w:bookmarkStart w:id="95" w:name="_Toc1204"/>
            <w:bookmarkStart w:id="96" w:name="_Toc30502"/>
            <w:r>
              <w:rPr>
                <w:rFonts w:hint="eastAsia" w:ascii="Times New Roman" w:hAnsi="Times New Roman" w:cs="Times New Roman"/>
                <w:color w:val="auto"/>
                <w:lang w:val="en-US" w:eastAsia="zh-CN"/>
              </w:rPr>
              <w:t>9</w:t>
            </w:r>
          </w:p>
        </w:tc>
        <w:tc>
          <w:tcPr>
            <w:tcW w:w="1866"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480"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882"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30"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866"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480"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882"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30"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866"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480"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882"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30"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866"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480"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882"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30"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866" w:type="dxa"/>
            <w:shd w:val="clear" w:color="auto" w:fill="auto"/>
            <w:vAlign w:val="center"/>
          </w:tcPr>
          <w:p w14:paraId="30E74473">
            <w:pPr>
              <w:spacing w:line="32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480"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882" w:type="dxa"/>
            <w:shd w:val="clear" w:color="auto" w:fill="auto"/>
            <w:vAlign w:val="center"/>
          </w:tcPr>
          <w:p w14:paraId="7F3BF0E7">
            <w:pPr>
              <w:spacing w:line="320" w:lineRule="exact"/>
              <w:jc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7A457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830" w:type="dxa"/>
            <w:shd w:val="clear" w:color="auto" w:fill="auto"/>
            <w:vAlign w:val="center"/>
          </w:tcPr>
          <w:p w14:paraId="028235B6">
            <w:pPr>
              <w:spacing w:line="32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14</w:t>
            </w:r>
          </w:p>
        </w:tc>
        <w:tc>
          <w:tcPr>
            <w:tcW w:w="1866" w:type="dxa"/>
            <w:shd w:val="clear" w:color="auto" w:fill="auto"/>
            <w:vAlign w:val="center"/>
          </w:tcPr>
          <w:p w14:paraId="7BA3EB92">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480" w:type="dxa"/>
            <w:shd w:val="clear" w:color="auto" w:fill="auto"/>
            <w:vAlign w:val="center"/>
          </w:tcPr>
          <w:p w14:paraId="40D881C8">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882" w:type="dxa"/>
            <w:shd w:val="clear" w:color="auto" w:fill="auto"/>
            <w:vAlign w:val="center"/>
          </w:tcPr>
          <w:p w14:paraId="0EF4E720">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bookmarkStart w:id="97" w:name="_Toc4519"/>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0" o:title=""/>
                  <o:lock v:ext="edit" aspectratio="t"/>
                  <w10:wrap type="topAndBottom"/>
                </v:shape>
                <o:OLEObject Type="Embed" ProgID="Msxml2.SAXXMLReader.5.0" ShapeID="Picture 66" DrawAspect="Content" ObjectID="_1468075725" r:id="rId9">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1"/>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2"/>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8" w:name="_Toc371"/>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08A3BC1F">
      <w:pPr>
        <w:rPr>
          <w:rFonts w:ascii="宋体" w:hAnsi="宋体"/>
          <w:color w:val="auto"/>
          <w:sz w:val="32"/>
          <w:szCs w:val="32"/>
        </w:rPr>
      </w:pPr>
      <w:bookmarkStart w:id="99" w:name="_Toc8100"/>
      <w:bookmarkStart w:id="100" w:name="_Toc10015"/>
      <w:r>
        <w:rPr>
          <w:rFonts w:ascii="Times New Roman" w:hAnsi="Times New Roman" w:cs="Times New Roman"/>
          <w:b/>
          <w:bCs/>
          <w:color w:val="auto"/>
          <w:kern w:val="36"/>
          <w:sz w:val="28"/>
          <w:szCs w:val="28"/>
        </w:rPr>
        <w:br w:type="page"/>
      </w:r>
      <w:bookmarkEnd w:id="99"/>
      <w:bookmarkEnd w:id="100"/>
      <w:bookmarkStart w:id="101" w:name="_Toc19195"/>
    </w:p>
    <w:p w14:paraId="4A46093E">
      <w:pPr>
        <w:pStyle w:val="2"/>
        <w:jc w:val="center"/>
        <w:rPr>
          <w:rFonts w:ascii="宋体" w:hAnsi="宋体"/>
          <w:color w:val="auto"/>
          <w:sz w:val="32"/>
          <w:szCs w:val="32"/>
        </w:rPr>
      </w:pPr>
      <w:bookmarkStart w:id="102" w:name="_Toc16599"/>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1"/>
      <w:bookmarkEnd w:id="102"/>
    </w:p>
    <w:p w14:paraId="16AFE590">
      <w:pPr>
        <w:pStyle w:val="3"/>
        <w:jc w:val="center"/>
        <w:rPr>
          <w:rFonts w:ascii="宋体" w:hAnsi="宋体"/>
          <w:color w:val="auto"/>
          <w:sz w:val="30"/>
          <w:szCs w:val="30"/>
        </w:rPr>
      </w:pPr>
      <w:bookmarkStart w:id="103" w:name="_Toc20468418"/>
      <w:bookmarkStart w:id="104" w:name="_Toc18672"/>
      <w:bookmarkStart w:id="105" w:name="_Toc23345"/>
      <w:bookmarkStart w:id="106" w:name="_Toc1174"/>
      <w:bookmarkStart w:id="107" w:name="_Toc90566109"/>
      <w:bookmarkStart w:id="108" w:name="_Toc92712580"/>
      <w:bookmarkStart w:id="109" w:name="_Toc6911"/>
      <w:bookmarkStart w:id="110" w:name="_Toc11638"/>
      <w:r>
        <w:rPr>
          <w:rFonts w:ascii="宋体" w:hAnsi="宋体"/>
          <w:color w:val="auto"/>
          <w:sz w:val="30"/>
          <w:szCs w:val="30"/>
        </w:rPr>
        <w:t xml:space="preserve">4.1 </w:t>
      </w:r>
      <w:r>
        <w:rPr>
          <w:rFonts w:hint="eastAsia" w:ascii="宋体" w:hAnsi="宋体"/>
          <w:color w:val="auto"/>
          <w:sz w:val="30"/>
          <w:szCs w:val="30"/>
        </w:rPr>
        <w:t>评价单元的</w:t>
      </w:r>
      <w:bookmarkEnd w:id="103"/>
      <w:bookmarkEnd w:id="104"/>
      <w:bookmarkEnd w:id="105"/>
      <w:bookmarkEnd w:id="106"/>
      <w:r>
        <w:rPr>
          <w:rFonts w:hint="eastAsia" w:ascii="宋体" w:hAnsi="宋体"/>
          <w:color w:val="auto"/>
          <w:sz w:val="30"/>
          <w:szCs w:val="30"/>
        </w:rPr>
        <w:t>划分</w:t>
      </w:r>
      <w:bookmarkEnd w:id="107"/>
      <w:r>
        <w:rPr>
          <w:rFonts w:hint="eastAsia" w:ascii="宋体" w:hAnsi="宋体"/>
          <w:color w:val="auto"/>
          <w:sz w:val="30"/>
          <w:szCs w:val="30"/>
        </w:rPr>
        <w:t>和评价方法选择</w:t>
      </w:r>
      <w:bookmarkEnd w:id="108"/>
      <w:bookmarkEnd w:id="109"/>
      <w:bookmarkEnd w:id="110"/>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1" w:name="_Toc90566110"/>
      <w:bookmarkStart w:id="112" w:name="_Toc92712581"/>
      <w:bookmarkStart w:id="113" w:name="_Toc24868"/>
      <w:bookmarkStart w:id="114" w:name="_Toc13694"/>
      <w:r>
        <w:rPr>
          <w:rFonts w:ascii="宋体" w:hAnsi="宋体"/>
          <w:color w:val="auto"/>
          <w:sz w:val="30"/>
          <w:szCs w:val="30"/>
        </w:rPr>
        <w:t>4.</w:t>
      </w:r>
      <w:r>
        <w:rPr>
          <w:rFonts w:hint="eastAsia" w:ascii="宋体" w:hAnsi="宋体"/>
          <w:color w:val="auto"/>
          <w:sz w:val="30"/>
          <w:szCs w:val="30"/>
        </w:rPr>
        <w:t>2</w:t>
      </w:r>
      <w:bookmarkEnd w:id="111"/>
      <w:bookmarkStart w:id="115" w:name="_Toc90566111"/>
      <w:r>
        <w:rPr>
          <w:rFonts w:hint="eastAsia" w:ascii="宋体" w:hAnsi="宋体"/>
          <w:color w:val="auto"/>
          <w:sz w:val="30"/>
          <w:szCs w:val="30"/>
        </w:rPr>
        <w:t xml:space="preserve"> 评价方法简介</w:t>
      </w:r>
      <w:bookmarkEnd w:id="112"/>
      <w:bookmarkEnd w:id="113"/>
      <w:bookmarkEnd w:id="114"/>
      <w:bookmarkEnd w:id="115"/>
    </w:p>
    <w:p w14:paraId="31E3F98C">
      <w:pPr>
        <w:spacing w:line="600" w:lineRule="exact"/>
        <w:rPr>
          <w:rFonts w:ascii="宋体" w:hAnsi="宋体"/>
          <w:b/>
          <w:bCs/>
          <w:color w:val="auto"/>
          <w:sz w:val="28"/>
          <w:szCs w:val="28"/>
        </w:rPr>
      </w:pPr>
      <w:bookmarkStart w:id="116" w:name="_Toc13417"/>
      <w:bookmarkStart w:id="117" w:name="_Toc68180459"/>
      <w:bookmarkStart w:id="118" w:name="_Toc92712582"/>
      <w:bookmarkStart w:id="119" w:name="_Toc25391"/>
      <w:bookmarkStart w:id="120" w:name="_Toc20468420"/>
      <w:bookmarkStart w:id="121" w:name="_Toc28161"/>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6"/>
      <w:bookmarkEnd w:id="117"/>
      <w:bookmarkEnd w:id="118"/>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2" w:name="_Toc28176"/>
      <w:bookmarkStart w:id="123" w:name="_Toc92712583"/>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9"/>
      <w:bookmarkEnd w:id="120"/>
      <w:bookmarkEnd w:id="121"/>
      <w:bookmarkEnd w:id="122"/>
      <w:bookmarkEnd w:id="123"/>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74"/>
        <w:gridCol w:w="3608"/>
        <w:gridCol w:w="851"/>
        <w:gridCol w:w="3585"/>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9" w:hRule="atLeast"/>
          <w:tblHeader/>
          <w:jc w:val="center"/>
        </w:trPr>
        <w:tc>
          <w:tcPr>
            <w:tcW w:w="874" w:type="dxa"/>
            <w:vAlign w:val="center"/>
          </w:tcPr>
          <w:p w14:paraId="22E42498">
            <w:pPr>
              <w:jc w:val="center"/>
              <w:rPr>
                <w:rFonts w:ascii="宋体" w:hAnsi="宋体"/>
                <w:b/>
                <w:color w:val="auto"/>
              </w:rPr>
            </w:pPr>
            <w:r>
              <w:rPr>
                <w:rFonts w:hint="eastAsia" w:ascii="宋体" w:hAnsi="宋体"/>
                <w:b/>
                <w:color w:val="auto"/>
              </w:rPr>
              <w:t>分数值</w:t>
            </w:r>
          </w:p>
        </w:tc>
        <w:tc>
          <w:tcPr>
            <w:tcW w:w="3608"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51"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585"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jc w:val="center"/>
        </w:trPr>
        <w:tc>
          <w:tcPr>
            <w:tcW w:w="874" w:type="dxa"/>
            <w:vAlign w:val="center"/>
          </w:tcPr>
          <w:p w14:paraId="17CF6CCB">
            <w:pPr>
              <w:jc w:val="center"/>
              <w:rPr>
                <w:rFonts w:ascii="宋体" w:hAnsi="宋体"/>
                <w:color w:val="auto"/>
              </w:rPr>
            </w:pPr>
            <w:r>
              <w:rPr>
                <w:rFonts w:ascii="宋体" w:hAnsi="宋体"/>
                <w:color w:val="auto"/>
              </w:rPr>
              <w:t>100</w:t>
            </w:r>
          </w:p>
        </w:tc>
        <w:tc>
          <w:tcPr>
            <w:tcW w:w="3608"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51"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585"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jc w:val="center"/>
        </w:trPr>
        <w:tc>
          <w:tcPr>
            <w:tcW w:w="874" w:type="dxa"/>
            <w:vAlign w:val="center"/>
          </w:tcPr>
          <w:p w14:paraId="45979B93">
            <w:pPr>
              <w:jc w:val="center"/>
              <w:rPr>
                <w:rFonts w:ascii="宋体" w:hAnsi="宋体"/>
                <w:color w:val="auto"/>
              </w:rPr>
            </w:pPr>
            <w:r>
              <w:rPr>
                <w:rFonts w:ascii="宋体" w:hAnsi="宋体"/>
                <w:color w:val="auto"/>
              </w:rPr>
              <w:t>40</w:t>
            </w:r>
          </w:p>
        </w:tc>
        <w:tc>
          <w:tcPr>
            <w:tcW w:w="3608"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51"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585"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874" w:type="dxa"/>
            <w:vAlign w:val="center"/>
          </w:tcPr>
          <w:p w14:paraId="2BF3E93C">
            <w:pPr>
              <w:jc w:val="center"/>
              <w:rPr>
                <w:rFonts w:ascii="宋体" w:hAnsi="宋体"/>
                <w:color w:val="auto"/>
              </w:rPr>
            </w:pPr>
            <w:r>
              <w:rPr>
                <w:rFonts w:ascii="宋体" w:hAnsi="宋体"/>
                <w:color w:val="auto"/>
              </w:rPr>
              <w:t>15</w:t>
            </w:r>
          </w:p>
        </w:tc>
        <w:tc>
          <w:tcPr>
            <w:tcW w:w="3608"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51"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585"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501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9"/>
        <w:gridCol w:w="3530"/>
        <w:gridCol w:w="1277"/>
        <w:gridCol w:w="2942"/>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8" w:hRule="atLeast"/>
          <w:tblHeader/>
          <w:jc w:val="center"/>
        </w:trPr>
        <w:tc>
          <w:tcPr>
            <w:tcW w:w="842"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4"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8"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jc w:val="center"/>
        </w:trPr>
        <w:tc>
          <w:tcPr>
            <w:tcW w:w="842" w:type="pct"/>
            <w:vAlign w:val="center"/>
          </w:tcPr>
          <w:p w14:paraId="0D3F1F21">
            <w:pPr>
              <w:jc w:val="center"/>
              <w:rPr>
                <w:rFonts w:ascii="宋体" w:hAnsi="宋体"/>
                <w:color w:val="auto"/>
              </w:rPr>
            </w:pPr>
            <w:r>
              <w:rPr>
                <w:rFonts w:ascii="宋体" w:hAnsi="宋体"/>
                <w:color w:val="auto"/>
              </w:rPr>
              <w:t>＞320</w:t>
            </w:r>
          </w:p>
        </w:tc>
        <w:tc>
          <w:tcPr>
            <w:tcW w:w="1894"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8"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jc w:val="center"/>
        </w:trPr>
        <w:tc>
          <w:tcPr>
            <w:tcW w:w="842"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4"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8"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4" w:hRule="atLeast"/>
          <w:jc w:val="center"/>
        </w:trPr>
        <w:tc>
          <w:tcPr>
            <w:tcW w:w="842"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4"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8"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4" w:name="_Toc5789"/>
      <w:bookmarkStart w:id="125" w:name="_Toc20468421"/>
      <w:bookmarkStart w:id="126" w:name="_Toc92712584"/>
      <w:bookmarkStart w:id="127" w:name="_Toc22797"/>
      <w:bookmarkStart w:id="128" w:name="_Toc7145"/>
      <w:r>
        <w:rPr>
          <w:rFonts w:ascii="宋体" w:hAnsi="宋体"/>
          <w:b/>
          <w:bCs/>
          <w:color w:val="auto"/>
          <w:sz w:val="28"/>
          <w:szCs w:val="28"/>
        </w:rPr>
        <w:t>4.2.3 危险度评价法</w:t>
      </w:r>
      <w:bookmarkEnd w:id="124"/>
      <w:bookmarkEnd w:id="125"/>
      <w:bookmarkEnd w:id="126"/>
      <w:bookmarkEnd w:id="127"/>
      <w:bookmarkEnd w:id="128"/>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4" w:hRule="atLeast"/>
        </w:trPr>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7" w:hRule="atLeast"/>
        </w:trPr>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rPr>
      </w:pPr>
      <w:bookmarkStart w:id="129" w:name="_Toc2095"/>
      <w:bookmarkStart w:id="130" w:name="_Toc2146"/>
      <w:bookmarkStart w:id="131" w:name="_Toc21842"/>
      <w:bookmarkStart w:id="132" w:name="_Toc20468422"/>
      <w:bookmarkStart w:id="133" w:name="_Toc90566112"/>
      <w:bookmarkStart w:id="134" w:name="_Toc92712585"/>
      <w:r>
        <w:rPr>
          <w:rFonts w:ascii="宋体" w:hAnsi="宋体"/>
          <w:color w:val="auto"/>
          <w:sz w:val="32"/>
          <w:szCs w:val="32"/>
        </w:rPr>
        <w:t xml:space="preserve">5 </w:t>
      </w:r>
      <w:r>
        <w:rPr>
          <w:rFonts w:hint="eastAsia" w:ascii="宋体" w:hAnsi="宋体"/>
          <w:color w:val="auto"/>
          <w:sz w:val="32"/>
          <w:szCs w:val="32"/>
        </w:rPr>
        <w:t>定性、定量评价</w:t>
      </w:r>
      <w:bookmarkEnd w:id="129"/>
      <w:bookmarkEnd w:id="130"/>
      <w:bookmarkEnd w:id="131"/>
      <w:bookmarkEnd w:id="132"/>
      <w:bookmarkEnd w:id="133"/>
      <w:bookmarkEnd w:id="134"/>
    </w:p>
    <w:p w14:paraId="7CB541F5">
      <w:pPr>
        <w:pStyle w:val="3"/>
        <w:jc w:val="center"/>
        <w:rPr>
          <w:rFonts w:ascii="宋体" w:hAnsi="宋体"/>
          <w:color w:val="auto"/>
          <w:sz w:val="30"/>
          <w:szCs w:val="30"/>
        </w:rPr>
      </w:pPr>
      <w:bookmarkStart w:id="135" w:name="_Toc4733"/>
      <w:bookmarkStart w:id="136" w:name="_Toc92712586"/>
      <w:bookmarkStart w:id="137" w:name="_Toc3486"/>
      <w:bookmarkStart w:id="138" w:name="_Toc343692262"/>
      <w:bookmarkStart w:id="139" w:name="_Toc20468423"/>
      <w:bookmarkStart w:id="140" w:name="_Toc24115"/>
      <w:bookmarkStart w:id="141" w:name="_Toc10576"/>
      <w:bookmarkStart w:id="142" w:name="_Toc21479"/>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5"/>
      <w:bookmarkEnd w:id="136"/>
      <w:bookmarkEnd w:id="137"/>
      <w:bookmarkEnd w:id="138"/>
      <w:bookmarkEnd w:id="139"/>
      <w:bookmarkEnd w:id="140"/>
      <w:bookmarkEnd w:id="141"/>
      <w:bookmarkEnd w:id="142"/>
    </w:p>
    <w:p w14:paraId="0D207C57">
      <w:pPr>
        <w:spacing w:line="560" w:lineRule="exact"/>
        <w:rPr>
          <w:rFonts w:ascii="宋体" w:hAnsi="宋体"/>
          <w:b/>
          <w:bCs/>
          <w:color w:val="auto"/>
          <w:sz w:val="30"/>
          <w:szCs w:val="30"/>
        </w:rPr>
      </w:pPr>
      <w:bookmarkStart w:id="143" w:name="_Toc22504"/>
      <w:bookmarkStart w:id="144" w:name="_Toc92712587"/>
      <w:bookmarkStart w:id="145" w:name="_Toc4861"/>
      <w:bookmarkStart w:id="146" w:name="_Toc20468424"/>
      <w:bookmarkStart w:id="147" w:name="_Toc25880"/>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3"/>
      <w:bookmarkEnd w:id="144"/>
      <w:bookmarkEnd w:id="145"/>
      <w:bookmarkEnd w:id="146"/>
      <w:bookmarkEnd w:id="147"/>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作业等单元。</w:t>
      </w:r>
    </w:p>
    <w:p w14:paraId="068A3030">
      <w:pPr>
        <w:spacing w:line="560" w:lineRule="exact"/>
        <w:rPr>
          <w:rFonts w:ascii="宋体" w:hAnsi="宋体"/>
          <w:b/>
          <w:bCs/>
          <w:color w:val="auto"/>
          <w:sz w:val="30"/>
          <w:szCs w:val="30"/>
        </w:rPr>
      </w:pPr>
      <w:bookmarkStart w:id="148" w:name="_Toc23097"/>
      <w:bookmarkStart w:id="149" w:name="_Toc32059"/>
      <w:bookmarkStart w:id="150" w:name="_Toc20468425"/>
      <w:bookmarkStart w:id="151" w:name="_Toc9784"/>
      <w:bookmarkStart w:id="152" w:name="_Toc92712588"/>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8"/>
      <w:bookmarkEnd w:id="149"/>
      <w:bookmarkEnd w:id="150"/>
      <w:bookmarkEnd w:id="151"/>
      <w:bookmarkEnd w:id="152"/>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345"/>
        <w:gridCol w:w="2985"/>
        <w:gridCol w:w="581"/>
        <w:gridCol w:w="349"/>
        <w:gridCol w:w="462"/>
        <w:gridCol w:w="696"/>
        <w:gridCol w:w="1163"/>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tblHeader/>
          <w:jc w:val="center"/>
        </w:trPr>
        <w:tc>
          <w:tcPr>
            <w:tcW w:w="375" w:type="pct"/>
            <w:vAlign w:val="center"/>
          </w:tcPr>
          <w:p w14:paraId="56E34399">
            <w:pPr>
              <w:jc w:val="center"/>
              <w:rPr>
                <w:rFonts w:ascii="宋体" w:hAnsi="宋体"/>
                <w:b/>
                <w:color w:val="auto"/>
              </w:rPr>
            </w:pPr>
            <w:r>
              <w:rPr>
                <w:rFonts w:ascii="宋体" w:hAnsi="宋体"/>
                <w:b/>
                <w:color w:val="auto"/>
              </w:rPr>
              <w:t>序号</w:t>
            </w:r>
          </w:p>
        </w:tc>
        <w:tc>
          <w:tcPr>
            <w:tcW w:w="1263" w:type="pct"/>
            <w:vAlign w:val="center"/>
          </w:tcPr>
          <w:p w14:paraId="2E83A4E5">
            <w:pPr>
              <w:jc w:val="center"/>
              <w:rPr>
                <w:rFonts w:ascii="宋体" w:hAnsi="宋体"/>
                <w:b/>
                <w:color w:val="auto"/>
              </w:rPr>
            </w:pPr>
            <w:r>
              <w:rPr>
                <w:rFonts w:ascii="宋体" w:hAnsi="宋体"/>
                <w:b/>
                <w:color w:val="auto"/>
              </w:rPr>
              <w:t>评价单元</w:t>
            </w:r>
          </w:p>
        </w:tc>
        <w:tc>
          <w:tcPr>
            <w:tcW w:w="1608" w:type="pct"/>
            <w:vAlign w:val="center"/>
          </w:tcPr>
          <w:p w14:paraId="3F5E314C">
            <w:pPr>
              <w:jc w:val="center"/>
              <w:rPr>
                <w:rFonts w:ascii="宋体" w:hAnsi="宋体"/>
                <w:b/>
                <w:color w:val="auto"/>
              </w:rPr>
            </w:pPr>
            <w:r>
              <w:rPr>
                <w:rFonts w:ascii="宋体" w:hAnsi="宋体"/>
                <w:b/>
                <w:color w:val="auto"/>
              </w:rPr>
              <w:t>危险类别</w:t>
            </w:r>
          </w:p>
        </w:tc>
        <w:tc>
          <w:tcPr>
            <w:tcW w:w="313" w:type="pct"/>
            <w:vAlign w:val="center"/>
          </w:tcPr>
          <w:p w14:paraId="76CE2032">
            <w:pPr>
              <w:jc w:val="center"/>
              <w:rPr>
                <w:rFonts w:ascii="宋体" w:hAnsi="宋体"/>
                <w:b/>
                <w:color w:val="auto"/>
              </w:rPr>
            </w:pPr>
            <w:r>
              <w:rPr>
                <w:rFonts w:ascii="宋体" w:hAnsi="宋体"/>
                <w:b/>
                <w:color w:val="auto"/>
              </w:rPr>
              <w:t>L</w:t>
            </w:r>
          </w:p>
        </w:tc>
        <w:tc>
          <w:tcPr>
            <w:tcW w:w="188"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5"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3"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08"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3"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5"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3C8C0AF2">
            <w:pPr>
              <w:jc w:val="center"/>
              <w:rPr>
                <w:rFonts w:ascii="宋体" w:hAnsi="宋体"/>
                <w:color w:val="auto"/>
              </w:rPr>
            </w:pPr>
          </w:p>
        </w:tc>
        <w:tc>
          <w:tcPr>
            <w:tcW w:w="1263" w:type="pct"/>
            <w:vMerge w:val="continue"/>
            <w:shd w:val="clear" w:color="auto" w:fill="auto"/>
            <w:vAlign w:val="center"/>
          </w:tcPr>
          <w:p w14:paraId="78BAB5F5">
            <w:pPr>
              <w:jc w:val="center"/>
              <w:rPr>
                <w:rFonts w:ascii="宋体" w:hAnsi="宋体"/>
                <w:color w:val="auto"/>
              </w:rPr>
            </w:pPr>
          </w:p>
        </w:tc>
        <w:tc>
          <w:tcPr>
            <w:tcW w:w="1608"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5"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3FCDA9C4">
            <w:pPr>
              <w:jc w:val="center"/>
              <w:rPr>
                <w:rFonts w:ascii="宋体" w:hAnsi="宋体"/>
                <w:color w:val="auto"/>
              </w:rPr>
            </w:pPr>
          </w:p>
        </w:tc>
        <w:tc>
          <w:tcPr>
            <w:tcW w:w="1263" w:type="pct"/>
            <w:vMerge w:val="continue"/>
            <w:shd w:val="clear" w:color="auto" w:fill="auto"/>
            <w:vAlign w:val="center"/>
          </w:tcPr>
          <w:p w14:paraId="0165DE72">
            <w:pPr>
              <w:jc w:val="center"/>
              <w:rPr>
                <w:rFonts w:ascii="宋体" w:hAnsi="宋体"/>
                <w:color w:val="auto"/>
              </w:rPr>
            </w:pPr>
          </w:p>
        </w:tc>
        <w:tc>
          <w:tcPr>
            <w:tcW w:w="1608"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3" w:type="pct"/>
            <w:shd w:val="clear" w:color="auto" w:fill="auto"/>
            <w:vAlign w:val="center"/>
          </w:tcPr>
          <w:p w14:paraId="5AAA972A">
            <w:pPr>
              <w:jc w:val="center"/>
              <w:rPr>
                <w:rFonts w:ascii="宋体" w:hAnsi="宋体"/>
                <w:color w:val="auto"/>
              </w:rPr>
            </w:pPr>
            <w:r>
              <w:rPr>
                <w:rFonts w:ascii="宋体" w:hAnsi="宋体"/>
                <w:color w:val="auto"/>
              </w:rPr>
              <w:t>0.5</w:t>
            </w:r>
          </w:p>
        </w:tc>
        <w:tc>
          <w:tcPr>
            <w:tcW w:w="188"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5"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C92DDB8">
            <w:pPr>
              <w:jc w:val="center"/>
              <w:rPr>
                <w:rFonts w:ascii="宋体" w:hAnsi="宋体"/>
                <w:color w:val="auto"/>
              </w:rPr>
            </w:pPr>
          </w:p>
        </w:tc>
        <w:tc>
          <w:tcPr>
            <w:tcW w:w="1263" w:type="pct"/>
            <w:vMerge w:val="continue"/>
            <w:shd w:val="clear" w:color="auto" w:fill="auto"/>
            <w:vAlign w:val="center"/>
          </w:tcPr>
          <w:p w14:paraId="7E24B7B5">
            <w:pPr>
              <w:jc w:val="center"/>
              <w:rPr>
                <w:rFonts w:ascii="宋体" w:hAnsi="宋体"/>
                <w:color w:val="auto"/>
              </w:rPr>
            </w:pPr>
          </w:p>
        </w:tc>
        <w:tc>
          <w:tcPr>
            <w:tcW w:w="1608"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3" w:type="pct"/>
            <w:shd w:val="clear" w:color="auto" w:fill="auto"/>
            <w:vAlign w:val="center"/>
          </w:tcPr>
          <w:p w14:paraId="3CE3692E">
            <w:pPr>
              <w:jc w:val="center"/>
              <w:rPr>
                <w:rFonts w:ascii="宋体" w:hAnsi="宋体"/>
                <w:color w:val="auto"/>
              </w:rPr>
            </w:pPr>
            <w:r>
              <w:rPr>
                <w:rFonts w:ascii="宋体" w:hAnsi="宋体"/>
                <w:color w:val="auto"/>
              </w:rPr>
              <w:t>0.5</w:t>
            </w:r>
          </w:p>
        </w:tc>
        <w:tc>
          <w:tcPr>
            <w:tcW w:w="188"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5"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3"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08"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3"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5"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253EEEF6">
            <w:pPr>
              <w:jc w:val="center"/>
              <w:rPr>
                <w:rFonts w:ascii="宋体" w:hAnsi="宋体"/>
                <w:color w:val="auto"/>
              </w:rPr>
            </w:pPr>
          </w:p>
        </w:tc>
        <w:tc>
          <w:tcPr>
            <w:tcW w:w="1263" w:type="pct"/>
            <w:vMerge w:val="continue"/>
            <w:shd w:val="clear" w:color="auto" w:fill="auto"/>
            <w:vAlign w:val="center"/>
          </w:tcPr>
          <w:p w14:paraId="23F2B14C">
            <w:pPr>
              <w:jc w:val="center"/>
              <w:rPr>
                <w:rFonts w:ascii="宋体" w:hAnsi="宋体"/>
                <w:color w:val="auto"/>
              </w:rPr>
            </w:pPr>
          </w:p>
        </w:tc>
        <w:tc>
          <w:tcPr>
            <w:tcW w:w="1608"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3" w:type="pct"/>
            <w:shd w:val="clear" w:color="auto" w:fill="auto"/>
            <w:vAlign w:val="center"/>
          </w:tcPr>
          <w:p w14:paraId="6439C605">
            <w:pPr>
              <w:jc w:val="center"/>
              <w:rPr>
                <w:rFonts w:ascii="宋体" w:hAnsi="宋体"/>
                <w:color w:val="auto"/>
              </w:rPr>
            </w:pPr>
            <w:r>
              <w:rPr>
                <w:rFonts w:ascii="宋体" w:hAnsi="宋体"/>
                <w:color w:val="auto"/>
              </w:rPr>
              <w:t>0.5</w:t>
            </w:r>
          </w:p>
        </w:tc>
        <w:tc>
          <w:tcPr>
            <w:tcW w:w="188"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5"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20947851">
            <w:pPr>
              <w:jc w:val="center"/>
              <w:rPr>
                <w:rFonts w:ascii="宋体" w:hAnsi="宋体"/>
                <w:color w:val="auto"/>
              </w:rPr>
            </w:pPr>
          </w:p>
        </w:tc>
        <w:tc>
          <w:tcPr>
            <w:tcW w:w="1263" w:type="pct"/>
            <w:vMerge w:val="continue"/>
            <w:shd w:val="clear" w:color="auto" w:fill="auto"/>
            <w:vAlign w:val="center"/>
          </w:tcPr>
          <w:p w14:paraId="299C8414">
            <w:pPr>
              <w:jc w:val="center"/>
              <w:rPr>
                <w:rFonts w:ascii="宋体" w:hAnsi="宋体"/>
                <w:color w:val="auto"/>
              </w:rPr>
            </w:pPr>
          </w:p>
        </w:tc>
        <w:tc>
          <w:tcPr>
            <w:tcW w:w="1608"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3"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5"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5EC0ABBA">
            <w:pPr>
              <w:jc w:val="center"/>
              <w:rPr>
                <w:rFonts w:ascii="宋体" w:hAnsi="宋体"/>
                <w:color w:val="auto"/>
              </w:rPr>
            </w:pPr>
          </w:p>
        </w:tc>
        <w:tc>
          <w:tcPr>
            <w:tcW w:w="1263" w:type="pct"/>
            <w:vMerge w:val="continue"/>
            <w:shd w:val="clear" w:color="auto" w:fill="auto"/>
            <w:vAlign w:val="center"/>
          </w:tcPr>
          <w:p w14:paraId="72E43FA2">
            <w:pPr>
              <w:jc w:val="center"/>
              <w:rPr>
                <w:rFonts w:ascii="宋体" w:hAnsi="宋体"/>
                <w:color w:val="auto"/>
              </w:rPr>
            </w:pPr>
          </w:p>
        </w:tc>
        <w:tc>
          <w:tcPr>
            <w:tcW w:w="1608"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3" w:type="pct"/>
            <w:shd w:val="clear" w:color="auto" w:fill="auto"/>
            <w:vAlign w:val="center"/>
          </w:tcPr>
          <w:p w14:paraId="17F8F048">
            <w:pPr>
              <w:jc w:val="center"/>
              <w:rPr>
                <w:rFonts w:ascii="宋体" w:hAnsi="宋体"/>
                <w:color w:val="auto"/>
              </w:rPr>
            </w:pPr>
            <w:r>
              <w:rPr>
                <w:rFonts w:ascii="宋体" w:hAnsi="宋体"/>
                <w:color w:val="auto"/>
              </w:rPr>
              <w:t>1</w:t>
            </w:r>
          </w:p>
        </w:tc>
        <w:tc>
          <w:tcPr>
            <w:tcW w:w="188"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5"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FEDA828">
            <w:pPr>
              <w:jc w:val="center"/>
              <w:rPr>
                <w:rFonts w:ascii="宋体" w:hAnsi="宋体"/>
                <w:color w:val="auto"/>
              </w:rPr>
            </w:pPr>
          </w:p>
        </w:tc>
        <w:tc>
          <w:tcPr>
            <w:tcW w:w="1263" w:type="pct"/>
            <w:vMerge w:val="continue"/>
            <w:shd w:val="clear" w:color="auto" w:fill="auto"/>
            <w:vAlign w:val="center"/>
          </w:tcPr>
          <w:p w14:paraId="3D2859D5">
            <w:pPr>
              <w:jc w:val="center"/>
              <w:rPr>
                <w:rFonts w:ascii="宋体" w:hAnsi="宋体"/>
                <w:color w:val="auto"/>
              </w:rPr>
            </w:pPr>
          </w:p>
        </w:tc>
        <w:tc>
          <w:tcPr>
            <w:tcW w:w="1608"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3" w:type="pct"/>
            <w:shd w:val="clear" w:color="auto" w:fill="auto"/>
            <w:vAlign w:val="center"/>
          </w:tcPr>
          <w:p w14:paraId="54EF657A">
            <w:pPr>
              <w:jc w:val="center"/>
              <w:rPr>
                <w:rFonts w:ascii="宋体" w:hAnsi="宋体"/>
                <w:color w:val="auto"/>
              </w:rPr>
            </w:pPr>
            <w:r>
              <w:rPr>
                <w:rFonts w:ascii="宋体" w:hAnsi="宋体"/>
                <w:color w:val="auto"/>
              </w:rPr>
              <w:t>1</w:t>
            </w:r>
          </w:p>
        </w:tc>
        <w:tc>
          <w:tcPr>
            <w:tcW w:w="188"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5"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3"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08"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3"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5"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DC3717D">
            <w:pPr>
              <w:jc w:val="center"/>
              <w:rPr>
                <w:rFonts w:ascii="宋体" w:hAnsi="宋体"/>
                <w:color w:val="auto"/>
              </w:rPr>
            </w:pPr>
          </w:p>
        </w:tc>
        <w:tc>
          <w:tcPr>
            <w:tcW w:w="1263" w:type="pct"/>
            <w:vMerge w:val="continue"/>
            <w:shd w:val="clear" w:color="auto" w:fill="auto"/>
            <w:vAlign w:val="center"/>
          </w:tcPr>
          <w:p w14:paraId="031C303E">
            <w:pPr>
              <w:jc w:val="center"/>
              <w:rPr>
                <w:rFonts w:ascii="宋体" w:hAnsi="宋体"/>
                <w:color w:val="auto"/>
              </w:rPr>
            </w:pPr>
          </w:p>
        </w:tc>
        <w:tc>
          <w:tcPr>
            <w:tcW w:w="1608"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2E1F6426">
            <w:pPr>
              <w:jc w:val="center"/>
              <w:rPr>
                <w:rFonts w:ascii="宋体" w:hAnsi="宋体"/>
                <w:color w:val="auto"/>
              </w:rPr>
            </w:pPr>
            <w:r>
              <w:rPr>
                <w:rFonts w:ascii="宋体" w:hAnsi="宋体"/>
                <w:color w:val="auto"/>
              </w:rPr>
              <w:t>1</w:t>
            </w:r>
          </w:p>
        </w:tc>
        <w:tc>
          <w:tcPr>
            <w:tcW w:w="188"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5"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shd w:val="clear" w:color="auto" w:fill="auto"/>
            <w:vAlign w:val="center"/>
          </w:tcPr>
          <w:p w14:paraId="1921B1FF">
            <w:pPr>
              <w:jc w:val="center"/>
              <w:rPr>
                <w:rFonts w:ascii="宋体" w:hAnsi="宋体"/>
                <w:color w:val="auto"/>
              </w:rPr>
            </w:pPr>
            <w:r>
              <w:rPr>
                <w:rFonts w:ascii="宋体" w:hAnsi="宋体"/>
                <w:color w:val="auto"/>
              </w:rPr>
              <w:t>4</w:t>
            </w:r>
          </w:p>
        </w:tc>
        <w:tc>
          <w:tcPr>
            <w:tcW w:w="1263"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08"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3" w:type="pct"/>
            <w:shd w:val="clear" w:color="auto" w:fill="auto"/>
            <w:vAlign w:val="center"/>
          </w:tcPr>
          <w:p w14:paraId="5D422290">
            <w:pPr>
              <w:jc w:val="center"/>
              <w:rPr>
                <w:rFonts w:ascii="宋体" w:hAnsi="宋体"/>
                <w:color w:val="auto"/>
              </w:rPr>
            </w:pPr>
            <w:r>
              <w:rPr>
                <w:rFonts w:ascii="宋体" w:hAnsi="宋体"/>
                <w:color w:val="auto"/>
              </w:rPr>
              <w:t>1</w:t>
            </w:r>
          </w:p>
        </w:tc>
        <w:tc>
          <w:tcPr>
            <w:tcW w:w="188"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5"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3" w:name="_Toc2584"/>
      <w:bookmarkStart w:id="154" w:name="_Toc20117"/>
      <w:bookmarkStart w:id="155" w:name="_Toc25652"/>
      <w:bookmarkStart w:id="156" w:name="_Toc92712589"/>
      <w:r>
        <w:rPr>
          <w:rFonts w:ascii="宋体" w:hAnsi="宋体"/>
          <w:color w:val="auto"/>
          <w:sz w:val="30"/>
          <w:szCs w:val="30"/>
        </w:rPr>
        <w:t xml:space="preserve">5.2 </w:t>
      </w:r>
      <w:r>
        <w:rPr>
          <w:rFonts w:hint="eastAsia" w:ascii="宋体" w:hAnsi="宋体"/>
          <w:color w:val="auto"/>
          <w:sz w:val="30"/>
          <w:szCs w:val="30"/>
        </w:rPr>
        <w:t>危险度评价</w:t>
      </w:r>
      <w:bookmarkEnd w:id="153"/>
      <w:bookmarkEnd w:id="154"/>
      <w:bookmarkEnd w:id="155"/>
      <w:bookmarkEnd w:id="156"/>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33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66"/>
        <w:gridCol w:w="2246"/>
        <w:gridCol w:w="891"/>
        <w:gridCol w:w="891"/>
        <w:gridCol w:w="891"/>
        <w:gridCol w:w="2652"/>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9" w:hRule="atLeast"/>
          <w:tblHeader/>
          <w:jc w:val="center"/>
        </w:trPr>
        <w:tc>
          <w:tcPr>
            <w:tcW w:w="176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46"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91"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91"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91"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52"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4" w:hRule="atLeast"/>
          <w:tblHeader/>
          <w:jc w:val="center"/>
        </w:trPr>
        <w:tc>
          <w:tcPr>
            <w:tcW w:w="176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46"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91"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6</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91"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91"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52"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4" w:hRule="atLeast"/>
          <w:jc w:val="center"/>
        </w:trPr>
        <w:tc>
          <w:tcPr>
            <w:tcW w:w="1766"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46"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91"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5</w:t>
            </w:r>
          </w:p>
        </w:tc>
        <w:tc>
          <w:tcPr>
            <w:tcW w:w="891"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91"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52"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4" w:hRule="atLeast"/>
          <w:jc w:val="center"/>
        </w:trPr>
        <w:tc>
          <w:tcPr>
            <w:tcW w:w="1766"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7571"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lang w:eastAsia="zh-CN"/>
              </w:rPr>
            </w:pPr>
            <w:r>
              <w:rPr>
                <w:rFonts w:hint="eastAsia" w:ascii="宋体" w:hAnsi="宋体"/>
                <w:b/>
                <w:color w:val="auto"/>
              </w:rPr>
              <w:t>1</w:t>
            </w:r>
            <w:r>
              <w:rPr>
                <w:rFonts w:hint="eastAsia" w:ascii="宋体" w:hAnsi="宋体"/>
                <w:b/>
                <w:color w:val="auto"/>
                <w:lang w:val="en-US" w:eastAsia="zh-CN"/>
              </w:rPr>
              <w:t>2</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4" w:hRule="atLeast"/>
          <w:jc w:val="center"/>
        </w:trPr>
        <w:tc>
          <w:tcPr>
            <w:tcW w:w="1766"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7571"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eastAsia" w:ascii="Times New Roman" w:hAnsi="Times New Roman" w:cs="Times New Roman"/>
                <w:color w:val="auto"/>
                <w:lang w:val="en-US" w:eastAsia="zh-CN"/>
              </w:rPr>
              <w:t>Ⅱ</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rPr>
        <w:t>1</w:t>
      </w:r>
      <w:r>
        <w:rPr>
          <w:rFonts w:hint="eastAsia" w:ascii="宋体" w:hAnsi="宋体"/>
          <w:color w:val="auto"/>
          <w:sz w:val="28"/>
          <w:szCs w:val="28"/>
          <w:lang w:val="en-US" w:eastAsia="zh-CN"/>
        </w:rPr>
        <w:t>2</w:t>
      </w:r>
      <w:r>
        <w:rPr>
          <w:rFonts w:ascii="宋体" w:hAnsi="宋体"/>
          <w:color w:val="auto"/>
          <w:sz w:val="28"/>
          <w:szCs w:val="28"/>
        </w:rPr>
        <w:t>分，为</w:t>
      </w:r>
      <w:r>
        <w:rPr>
          <w:rFonts w:hint="eastAsia" w:ascii="Times New Roman" w:hAnsi="Times New Roman" w:cs="Times New Roman"/>
          <w:color w:val="auto"/>
          <w:sz w:val="28"/>
          <w:szCs w:val="28"/>
          <w:lang w:val="en-US" w:eastAsia="zh-CN"/>
        </w:rPr>
        <w:t>Ⅱ</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中</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单层卧式储罐，密闭卸油，设置了液位、温度监测报警和切断设施，设置了油气泄漏检测报警设施，设置了符合标准要求的通气管，卸油作业设置了防拉脱措施，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7" w:name="_Toc92712590"/>
      <w:bookmarkStart w:id="158" w:name="_Toc19007"/>
      <w:bookmarkStart w:id="159" w:name="_Toc4183"/>
      <w:bookmarkStart w:id="160" w:name="_Toc10888"/>
      <w:bookmarkStart w:id="161" w:name="_Toc2043"/>
      <w:bookmarkStart w:id="162" w:name="_Toc3721"/>
      <w:bookmarkStart w:id="163" w:name="_Toc92712591"/>
      <w:bookmarkStart w:id="164" w:name="_Toc92712592"/>
      <w:bookmarkStart w:id="165" w:name="_Toc30385"/>
      <w:r>
        <w:rPr>
          <w:rFonts w:hint="eastAsia" w:ascii="宋体" w:hAnsi="宋体"/>
          <w:color w:val="auto"/>
          <w:sz w:val="30"/>
          <w:szCs w:val="30"/>
        </w:rPr>
        <w:t xml:space="preserve">5.3 </w:t>
      </w:r>
      <w:bookmarkEnd w:id="157"/>
      <w:bookmarkEnd w:id="158"/>
      <w:bookmarkEnd w:id="159"/>
      <w:bookmarkEnd w:id="160"/>
      <w:r>
        <w:rPr>
          <w:rFonts w:ascii="宋体" w:hAnsi="宋体"/>
          <w:color w:val="auto"/>
          <w:sz w:val="30"/>
          <w:szCs w:val="30"/>
        </w:rPr>
        <w:t>安全管理</w:t>
      </w:r>
      <w:bookmarkEnd w:id="161"/>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0E4CFED7">
      <w:pPr>
        <w:rPr>
          <w:rFonts w:hint="eastAsia" w:ascii="宋体" w:hAnsi="宋体"/>
          <w:color w:val="auto"/>
          <w:sz w:val="28"/>
          <w:szCs w:val="28"/>
        </w:rPr>
      </w:pPr>
      <w:r>
        <w:rPr>
          <w:rFonts w:hint="eastAsia" w:ascii="宋体" w:hAnsi="宋体"/>
          <w:color w:val="auto"/>
          <w:sz w:val="28"/>
          <w:szCs w:val="28"/>
        </w:rPr>
        <w:br w:type="page"/>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61"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1"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1"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1"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1"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61"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21"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21"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1"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61"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21"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6B99587A">
      <w:pPr>
        <w:rPr>
          <w:rFonts w:ascii="Times New Roman" w:hAnsi="Times New Roman" w:cs="Times New Roman"/>
          <w:color w:val="auto"/>
          <w:sz w:val="28"/>
          <w:szCs w:val="36"/>
        </w:rPr>
      </w:pPr>
      <w:r>
        <w:rPr>
          <w:rFonts w:ascii="Times New Roman" w:hAnsi="Times New Roman" w:cs="Times New Roman"/>
          <w:color w:val="auto"/>
          <w:sz w:val="28"/>
          <w:szCs w:val="36"/>
        </w:rPr>
        <w:br w:type="page"/>
      </w:r>
    </w:p>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6" w:name="_Toc31067"/>
      <w:r>
        <w:rPr>
          <w:rFonts w:hint="eastAsia" w:ascii="宋体" w:hAnsi="宋体"/>
          <w:color w:val="auto"/>
          <w:sz w:val="30"/>
          <w:szCs w:val="30"/>
        </w:rPr>
        <w:t>5.4 站址选择符合性评价</w:t>
      </w:r>
      <w:bookmarkEnd w:id="162"/>
      <w:bookmarkEnd w:id="163"/>
      <w:bookmarkEnd w:id="166"/>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rPr>
            </w:pPr>
          </w:p>
        </w:tc>
        <w:tc>
          <w:tcPr>
            <w:tcW w:w="3622"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rPr>
            </w:pPr>
          </w:p>
        </w:tc>
        <w:tc>
          <w:tcPr>
            <w:tcW w:w="3622"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843" w:type="pct"/>
            <w:vAlign w:val="center"/>
          </w:tcPr>
          <w:p w14:paraId="6E1F83C2">
            <w:pPr>
              <w:rPr>
                <w:rFonts w:ascii="宋体" w:hAnsi="宋体"/>
                <w:color w:val="auto"/>
              </w:rPr>
            </w:pPr>
            <w:r>
              <w:rPr>
                <w:rFonts w:hint="eastAsia" w:ascii="宋体" w:hAnsi="宋体"/>
                <w:color w:val="auto"/>
                <w:lang w:val="en-US" w:eastAsia="zh-CN"/>
              </w:rPr>
              <w:t>三</w:t>
            </w:r>
            <w:r>
              <w:rPr>
                <w:rFonts w:hint="eastAsia" w:ascii="宋体" w:hAnsi="宋体"/>
                <w:color w:val="auto"/>
              </w:rPr>
              <w:t>级</w:t>
            </w:r>
            <w:r>
              <w:rPr>
                <w:rFonts w:ascii="宋体" w:hAnsi="宋体"/>
                <w:color w:val="auto"/>
              </w:rPr>
              <w:t>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rPr>
            </w:pPr>
          </w:p>
        </w:tc>
        <w:tc>
          <w:tcPr>
            <w:tcW w:w="3622"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843"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rPr>
            </w:pPr>
          </w:p>
        </w:tc>
        <w:tc>
          <w:tcPr>
            <w:tcW w:w="3622"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rPr>
            </w:pPr>
          </w:p>
        </w:tc>
        <w:tc>
          <w:tcPr>
            <w:tcW w:w="3622"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rPr>
            </w:pPr>
          </w:p>
        </w:tc>
        <w:tc>
          <w:tcPr>
            <w:tcW w:w="3622"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843"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13C6441E">
      <w:pPr>
        <w:rPr>
          <w:rFonts w:hint="eastAsia" w:ascii="宋体" w:hAnsi="宋体"/>
          <w:color w:val="auto"/>
          <w:sz w:val="28"/>
          <w:szCs w:val="28"/>
        </w:rPr>
      </w:pPr>
      <w:r>
        <w:rPr>
          <w:rFonts w:hint="eastAsia" w:ascii="宋体" w:hAnsi="宋体"/>
          <w:color w:val="auto"/>
          <w:sz w:val="28"/>
          <w:szCs w:val="28"/>
        </w:rPr>
        <w:br w:type="page"/>
      </w:r>
    </w:p>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500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09"/>
        <w:gridCol w:w="876"/>
        <w:gridCol w:w="3628"/>
        <w:gridCol w:w="1469"/>
        <w:gridCol w:w="937"/>
        <w:gridCol w:w="876"/>
      </w:tblGrid>
      <w:tr w14:paraId="1ACBF3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12" w:type="pct"/>
            <w:vAlign w:val="center"/>
          </w:tcPr>
          <w:p w14:paraId="5D7F7250">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471" w:type="pct"/>
            <w:vAlign w:val="center"/>
          </w:tcPr>
          <w:p w14:paraId="413E06E2">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951" w:type="pct"/>
            <w:vAlign w:val="center"/>
          </w:tcPr>
          <w:p w14:paraId="09D5948B">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790" w:type="pct"/>
            <w:vAlign w:val="center"/>
          </w:tcPr>
          <w:p w14:paraId="4152E80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04" w:type="pct"/>
            <w:vAlign w:val="center"/>
          </w:tcPr>
          <w:p w14:paraId="13D12972">
            <w:pPr>
              <w:snapToGrid w:val="0"/>
              <w:jc w:val="center"/>
              <w:rPr>
                <w:rFonts w:ascii="Times New Roman" w:hAnsi="Times New Roman" w:cs="Times New Roman"/>
                <w:b/>
                <w:bCs/>
                <w:color w:val="auto"/>
                <w:szCs w:val="24"/>
              </w:rPr>
            </w:pPr>
            <w:r>
              <w:rPr>
                <w:rFonts w:hint="eastAsia" w:ascii="Times New Roman" w:hAnsi="宋体"/>
                <w:b/>
                <w:color w:val="auto"/>
              </w:rPr>
              <w:t>标准要求</w:t>
            </w:r>
          </w:p>
        </w:tc>
        <w:tc>
          <w:tcPr>
            <w:tcW w:w="471" w:type="pct"/>
            <w:vAlign w:val="center"/>
          </w:tcPr>
          <w:p w14:paraId="2F6E03C6">
            <w:pPr>
              <w:snapToGrid w:val="0"/>
              <w:jc w:val="center"/>
              <w:rPr>
                <w:rFonts w:ascii="Times New Roman" w:hAnsi="Times New Roman" w:cs="Times New Roman"/>
                <w:b/>
                <w:bCs/>
                <w:color w:val="auto"/>
                <w:szCs w:val="24"/>
              </w:rPr>
            </w:pPr>
            <w:r>
              <w:rPr>
                <w:rFonts w:hint="eastAsia" w:ascii="Times New Roman" w:hAnsi="宋体"/>
                <w:b/>
                <w:color w:val="auto"/>
              </w:rPr>
              <w:t>符合情况</w:t>
            </w:r>
          </w:p>
        </w:tc>
      </w:tr>
      <w:tr w14:paraId="41A0F6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12" w:type="pct"/>
            <w:vMerge w:val="restart"/>
            <w:vAlign w:val="center"/>
          </w:tcPr>
          <w:p w14:paraId="3174497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471" w:type="pct"/>
            <w:shd w:val="clear" w:color="auto" w:fill="auto"/>
            <w:vAlign w:val="center"/>
          </w:tcPr>
          <w:p w14:paraId="40502F15">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eastAsia="zh-CN"/>
              </w:rPr>
              <w:t>西侧</w:t>
            </w:r>
          </w:p>
        </w:tc>
        <w:tc>
          <w:tcPr>
            <w:tcW w:w="1951" w:type="pct"/>
            <w:shd w:val="clear" w:color="auto" w:fill="auto"/>
            <w:vAlign w:val="center"/>
          </w:tcPr>
          <w:p w14:paraId="4644837B">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eastAsia="zh-CN"/>
              </w:rPr>
              <w:t>长冈路</w:t>
            </w:r>
          </w:p>
        </w:tc>
        <w:tc>
          <w:tcPr>
            <w:tcW w:w="790" w:type="pct"/>
            <w:vAlign w:val="center"/>
          </w:tcPr>
          <w:p w14:paraId="01F707E7">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10.8/10.8</w:t>
            </w:r>
          </w:p>
        </w:tc>
        <w:tc>
          <w:tcPr>
            <w:tcW w:w="504" w:type="pct"/>
            <w:vAlign w:val="center"/>
          </w:tcPr>
          <w:p w14:paraId="385113F3">
            <w:pPr>
              <w:snapToGrid w:val="0"/>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rPr>
              <w:t>5.5/3</w:t>
            </w:r>
          </w:p>
        </w:tc>
        <w:tc>
          <w:tcPr>
            <w:tcW w:w="471" w:type="pct"/>
            <w:vAlign w:val="center"/>
          </w:tcPr>
          <w:p w14:paraId="7528AD42">
            <w:pPr>
              <w:snapToGrid w:val="0"/>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5D33D0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12" w:type="pct"/>
            <w:vMerge w:val="continue"/>
            <w:vAlign w:val="center"/>
          </w:tcPr>
          <w:p w14:paraId="39C021D6">
            <w:pPr>
              <w:spacing w:line="240" w:lineRule="exact"/>
              <w:jc w:val="center"/>
              <w:rPr>
                <w:rFonts w:ascii="Times New Roman" w:hAnsi="Times New Roman" w:cs="Times New Roman"/>
                <w:bCs/>
                <w:color w:val="auto"/>
                <w:szCs w:val="24"/>
              </w:rPr>
            </w:pPr>
          </w:p>
        </w:tc>
        <w:tc>
          <w:tcPr>
            <w:tcW w:w="471" w:type="pct"/>
            <w:shd w:val="clear" w:color="auto" w:fill="auto"/>
            <w:vAlign w:val="center"/>
          </w:tcPr>
          <w:p w14:paraId="3E04A87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eastAsia="zh-CN"/>
              </w:rPr>
              <w:t>北侧</w:t>
            </w:r>
          </w:p>
        </w:tc>
        <w:tc>
          <w:tcPr>
            <w:tcW w:w="1951" w:type="pct"/>
            <w:shd w:val="clear" w:color="auto" w:fill="auto"/>
            <w:vAlign w:val="center"/>
          </w:tcPr>
          <w:p w14:paraId="590A2A60">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eastAsia="zh-CN"/>
              </w:rPr>
              <w:t>民房（三类保护物）</w:t>
            </w:r>
          </w:p>
        </w:tc>
        <w:tc>
          <w:tcPr>
            <w:tcW w:w="790" w:type="pct"/>
            <w:vAlign w:val="center"/>
          </w:tcPr>
          <w:p w14:paraId="0D5EDC07">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41.7/32.8</w:t>
            </w:r>
          </w:p>
        </w:tc>
        <w:tc>
          <w:tcPr>
            <w:tcW w:w="504" w:type="pct"/>
            <w:vAlign w:val="center"/>
          </w:tcPr>
          <w:p w14:paraId="445995E5">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7/6</w:t>
            </w:r>
          </w:p>
        </w:tc>
        <w:tc>
          <w:tcPr>
            <w:tcW w:w="471" w:type="pct"/>
            <w:vAlign w:val="center"/>
          </w:tcPr>
          <w:p w14:paraId="221EAE99">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6C64DD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12" w:type="pct"/>
            <w:vMerge w:val="continue"/>
            <w:vAlign w:val="center"/>
          </w:tcPr>
          <w:p w14:paraId="37A817BD">
            <w:pPr>
              <w:spacing w:line="240" w:lineRule="exact"/>
              <w:jc w:val="center"/>
              <w:rPr>
                <w:rFonts w:ascii="Times New Roman" w:hAnsi="Times New Roman" w:cs="Times New Roman"/>
                <w:bCs/>
                <w:color w:val="auto"/>
                <w:szCs w:val="24"/>
              </w:rPr>
            </w:pPr>
          </w:p>
        </w:tc>
        <w:tc>
          <w:tcPr>
            <w:tcW w:w="471" w:type="pct"/>
            <w:shd w:val="clear" w:color="auto" w:fill="auto"/>
            <w:vAlign w:val="center"/>
          </w:tcPr>
          <w:p w14:paraId="132964D3">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eastAsia="zh-CN"/>
              </w:rPr>
              <w:t>南侧</w:t>
            </w:r>
          </w:p>
        </w:tc>
        <w:tc>
          <w:tcPr>
            <w:tcW w:w="1951" w:type="pct"/>
            <w:shd w:val="clear" w:color="auto" w:fill="auto"/>
            <w:vAlign w:val="center"/>
          </w:tcPr>
          <w:p w14:paraId="3DB5D565">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eastAsia="zh-CN"/>
              </w:rPr>
              <w:t>民房（三类保护物）</w:t>
            </w:r>
          </w:p>
        </w:tc>
        <w:tc>
          <w:tcPr>
            <w:tcW w:w="790" w:type="pct"/>
            <w:vAlign w:val="center"/>
          </w:tcPr>
          <w:p w14:paraId="5592B26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13.6/20.1</w:t>
            </w:r>
          </w:p>
        </w:tc>
        <w:tc>
          <w:tcPr>
            <w:tcW w:w="504" w:type="pct"/>
            <w:vAlign w:val="center"/>
          </w:tcPr>
          <w:p w14:paraId="029ADB5C">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471" w:type="pct"/>
            <w:vAlign w:val="center"/>
          </w:tcPr>
          <w:p w14:paraId="56BB1929">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49E8E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12" w:type="pct"/>
            <w:vMerge w:val="continue"/>
            <w:vAlign w:val="center"/>
          </w:tcPr>
          <w:p w14:paraId="5DF58438">
            <w:pPr>
              <w:spacing w:line="240" w:lineRule="exact"/>
              <w:jc w:val="center"/>
              <w:rPr>
                <w:rFonts w:ascii="Times New Roman" w:hAnsi="Times New Roman" w:cs="Times New Roman"/>
                <w:bCs/>
                <w:color w:val="auto"/>
                <w:szCs w:val="24"/>
              </w:rPr>
            </w:pPr>
          </w:p>
        </w:tc>
        <w:tc>
          <w:tcPr>
            <w:tcW w:w="471" w:type="pct"/>
            <w:shd w:val="clear" w:color="auto" w:fill="auto"/>
            <w:vAlign w:val="center"/>
          </w:tcPr>
          <w:p w14:paraId="78A104BE">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eastAsia="zh-CN"/>
              </w:rPr>
              <w:t>东侧</w:t>
            </w:r>
          </w:p>
        </w:tc>
        <w:tc>
          <w:tcPr>
            <w:tcW w:w="1951" w:type="pct"/>
            <w:shd w:val="clear" w:color="auto" w:fill="auto"/>
            <w:vAlign w:val="center"/>
          </w:tcPr>
          <w:p w14:paraId="4AF3FFA2">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eastAsia="zh-CN"/>
              </w:rPr>
              <w:t>农用地及污水处理设备（或有沼气聚集，甲类）</w:t>
            </w:r>
          </w:p>
        </w:tc>
        <w:tc>
          <w:tcPr>
            <w:tcW w:w="790" w:type="pct"/>
            <w:vAlign w:val="center"/>
          </w:tcPr>
          <w:p w14:paraId="2F0A27B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16.6/14.9</w:t>
            </w:r>
          </w:p>
        </w:tc>
        <w:tc>
          <w:tcPr>
            <w:tcW w:w="504" w:type="pct"/>
            <w:vAlign w:val="center"/>
          </w:tcPr>
          <w:p w14:paraId="08DF5124">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12.5/9</w:t>
            </w:r>
          </w:p>
        </w:tc>
        <w:tc>
          <w:tcPr>
            <w:tcW w:w="471" w:type="pct"/>
            <w:vAlign w:val="center"/>
          </w:tcPr>
          <w:p w14:paraId="11A1ABB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AB6E0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12" w:type="pct"/>
            <w:vMerge w:val="continue"/>
            <w:vAlign w:val="center"/>
          </w:tcPr>
          <w:p w14:paraId="1F73B8A9">
            <w:pPr>
              <w:spacing w:line="240" w:lineRule="exact"/>
              <w:jc w:val="center"/>
              <w:rPr>
                <w:rFonts w:ascii="Times New Roman" w:hAnsi="Times New Roman" w:cs="Times New Roman"/>
                <w:bCs/>
                <w:color w:val="auto"/>
                <w:szCs w:val="24"/>
              </w:rPr>
            </w:pPr>
          </w:p>
        </w:tc>
        <w:tc>
          <w:tcPr>
            <w:tcW w:w="471" w:type="pct"/>
            <w:shd w:val="clear" w:color="auto" w:fill="auto"/>
            <w:vAlign w:val="center"/>
          </w:tcPr>
          <w:p w14:paraId="2EE6C4A7">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eastAsia="zh-CN"/>
              </w:rPr>
              <w:t>东侧</w:t>
            </w:r>
          </w:p>
        </w:tc>
        <w:tc>
          <w:tcPr>
            <w:tcW w:w="1951" w:type="pct"/>
            <w:shd w:val="clear" w:color="auto" w:fill="auto"/>
            <w:vAlign w:val="center"/>
          </w:tcPr>
          <w:p w14:paraId="7B8D4BCE">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eastAsia="zh-CN"/>
              </w:rPr>
              <w:t>架空通讯线（H=6m）</w:t>
            </w:r>
          </w:p>
        </w:tc>
        <w:tc>
          <w:tcPr>
            <w:tcW w:w="790" w:type="pct"/>
            <w:vAlign w:val="center"/>
          </w:tcPr>
          <w:p w14:paraId="0989EE4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11.4/11.2</w:t>
            </w:r>
          </w:p>
        </w:tc>
        <w:tc>
          <w:tcPr>
            <w:tcW w:w="504" w:type="pct"/>
            <w:vAlign w:val="center"/>
          </w:tcPr>
          <w:p w14:paraId="212BC67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471" w:type="pct"/>
            <w:vAlign w:val="center"/>
          </w:tcPr>
          <w:p w14:paraId="1D41DDCF">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FC20B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12" w:type="pct"/>
            <w:vMerge w:val="restart"/>
            <w:vAlign w:val="center"/>
          </w:tcPr>
          <w:p w14:paraId="07318DFA">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471" w:type="pct"/>
            <w:shd w:val="clear" w:color="auto" w:fill="auto"/>
            <w:vAlign w:val="center"/>
          </w:tcPr>
          <w:p w14:paraId="0DC2F49E">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eastAsia="zh-CN"/>
              </w:rPr>
              <w:t>西侧</w:t>
            </w:r>
          </w:p>
        </w:tc>
        <w:tc>
          <w:tcPr>
            <w:tcW w:w="1951" w:type="pct"/>
            <w:shd w:val="clear" w:color="auto" w:fill="auto"/>
            <w:vAlign w:val="center"/>
          </w:tcPr>
          <w:p w14:paraId="3CE28F0F">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长冈路</w:t>
            </w:r>
          </w:p>
        </w:tc>
        <w:tc>
          <w:tcPr>
            <w:tcW w:w="790" w:type="pct"/>
            <w:vAlign w:val="center"/>
          </w:tcPr>
          <w:p w14:paraId="0680D46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13.7/13.7</w:t>
            </w:r>
          </w:p>
        </w:tc>
        <w:tc>
          <w:tcPr>
            <w:tcW w:w="504" w:type="pct"/>
            <w:vAlign w:val="center"/>
          </w:tcPr>
          <w:p w14:paraId="71391FF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471" w:type="pct"/>
            <w:vAlign w:val="center"/>
          </w:tcPr>
          <w:p w14:paraId="624DD9B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55C34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12" w:type="pct"/>
            <w:vMerge w:val="continue"/>
            <w:vAlign w:val="center"/>
          </w:tcPr>
          <w:p w14:paraId="514A70A4">
            <w:pPr>
              <w:spacing w:line="240" w:lineRule="exact"/>
              <w:jc w:val="center"/>
              <w:rPr>
                <w:rFonts w:ascii="Times New Roman" w:hAnsi="Times New Roman" w:cs="Times New Roman"/>
                <w:bCs/>
                <w:color w:val="auto"/>
                <w:szCs w:val="24"/>
              </w:rPr>
            </w:pPr>
          </w:p>
        </w:tc>
        <w:tc>
          <w:tcPr>
            <w:tcW w:w="471" w:type="pct"/>
            <w:shd w:val="clear" w:color="auto" w:fill="auto"/>
            <w:vAlign w:val="center"/>
          </w:tcPr>
          <w:p w14:paraId="6AE78E0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北侧</w:t>
            </w:r>
          </w:p>
        </w:tc>
        <w:tc>
          <w:tcPr>
            <w:tcW w:w="1951" w:type="pct"/>
            <w:shd w:val="clear" w:color="auto" w:fill="auto"/>
            <w:vAlign w:val="center"/>
          </w:tcPr>
          <w:p w14:paraId="5CDCB0ED">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民房（三类保护物）</w:t>
            </w:r>
          </w:p>
        </w:tc>
        <w:tc>
          <w:tcPr>
            <w:tcW w:w="790" w:type="pct"/>
            <w:vAlign w:val="center"/>
          </w:tcPr>
          <w:p w14:paraId="7AF8E65B">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41.2/41.2</w:t>
            </w:r>
          </w:p>
        </w:tc>
        <w:tc>
          <w:tcPr>
            <w:tcW w:w="504" w:type="pct"/>
            <w:vAlign w:val="center"/>
          </w:tcPr>
          <w:p w14:paraId="27EC3760">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471" w:type="pct"/>
            <w:vAlign w:val="center"/>
          </w:tcPr>
          <w:p w14:paraId="6A1A80A9">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6C9FC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12" w:type="pct"/>
            <w:vMerge w:val="continue"/>
            <w:vAlign w:val="center"/>
          </w:tcPr>
          <w:p w14:paraId="603F84DF">
            <w:pPr>
              <w:spacing w:line="240" w:lineRule="exact"/>
              <w:jc w:val="center"/>
              <w:rPr>
                <w:rFonts w:ascii="Times New Roman" w:hAnsi="Times New Roman" w:cs="Times New Roman"/>
                <w:bCs/>
                <w:color w:val="auto"/>
                <w:szCs w:val="24"/>
              </w:rPr>
            </w:pPr>
          </w:p>
        </w:tc>
        <w:tc>
          <w:tcPr>
            <w:tcW w:w="471" w:type="pct"/>
            <w:shd w:val="clear" w:color="auto" w:fill="auto"/>
            <w:vAlign w:val="center"/>
          </w:tcPr>
          <w:p w14:paraId="53D7128A">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eastAsia="zh-CN"/>
              </w:rPr>
              <w:t>南侧</w:t>
            </w:r>
          </w:p>
        </w:tc>
        <w:tc>
          <w:tcPr>
            <w:tcW w:w="1951" w:type="pct"/>
            <w:shd w:val="clear" w:color="auto" w:fill="auto"/>
            <w:vAlign w:val="center"/>
          </w:tcPr>
          <w:p w14:paraId="443617FA">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民房（三类保护物）</w:t>
            </w:r>
          </w:p>
        </w:tc>
        <w:tc>
          <w:tcPr>
            <w:tcW w:w="790" w:type="pct"/>
            <w:vAlign w:val="center"/>
          </w:tcPr>
          <w:p w14:paraId="10E0BB2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18.9/18.9</w:t>
            </w:r>
          </w:p>
        </w:tc>
        <w:tc>
          <w:tcPr>
            <w:tcW w:w="504" w:type="pct"/>
            <w:vAlign w:val="center"/>
          </w:tcPr>
          <w:p w14:paraId="67EC144B">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471" w:type="pct"/>
            <w:vAlign w:val="center"/>
          </w:tcPr>
          <w:p w14:paraId="577A451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C5ED6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12" w:type="pct"/>
            <w:vMerge w:val="continue"/>
            <w:vAlign w:val="center"/>
          </w:tcPr>
          <w:p w14:paraId="7FD428CC">
            <w:pPr>
              <w:spacing w:line="240" w:lineRule="exact"/>
              <w:jc w:val="center"/>
              <w:rPr>
                <w:rFonts w:ascii="Times New Roman" w:hAnsi="Times New Roman" w:cs="Times New Roman"/>
                <w:bCs/>
                <w:color w:val="auto"/>
                <w:szCs w:val="24"/>
              </w:rPr>
            </w:pPr>
          </w:p>
        </w:tc>
        <w:tc>
          <w:tcPr>
            <w:tcW w:w="471" w:type="pct"/>
            <w:shd w:val="clear" w:color="auto" w:fill="auto"/>
            <w:vAlign w:val="center"/>
          </w:tcPr>
          <w:p w14:paraId="2972EF88">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东侧</w:t>
            </w:r>
          </w:p>
        </w:tc>
        <w:tc>
          <w:tcPr>
            <w:tcW w:w="1951" w:type="pct"/>
            <w:shd w:val="clear" w:color="auto" w:fill="auto"/>
            <w:vAlign w:val="center"/>
          </w:tcPr>
          <w:p w14:paraId="34A3E120">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农用地及污水处理设备（或有沼气聚集，甲类）</w:t>
            </w:r>
          </w:p>
        </w:tc>
        <w:tc>
          <w:tcPr>
            <w:tcW w:w="790" w:type="pct"/>
            <w:vAlign w:val="center"/>
          </w:tcPr>
          <w:p w14:paraId="47E110C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18.9/18.9</w:t>
            </w:r>
          </w:p>
        </w:tc>
        <w:tc>
          <w:tcPr>
            <w:tcW w:w="504" w:type="pct"/>
            <w:vAlign w:val="center"/>
          </w:tcPr>
          <w:p w14:paraId="60F2F640">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12.5/9</w:t>
            </w:r>
          </w:p>
        </w:tc>
        <w:tc>
          <w:tcPr>
            <w:tcW w:w="471" w:type="pct"/>
            <w:vAlign w:val="center"/>
          </w:tcPr>
          <w:p w14:paraId="6EED01E9">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E2B45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12" w:type="pct"/>
            <w:vMerge w:val="continue"/>
            <w:vAlign w:val="center"/>
          </w:tcPr>
          <w:p w14:paraId="23C976E8">
            <w:pPr>
              <w:spacing w:line="240" w:lineRule="exact"/>
              <w:jc w:val="center"/>
              <w:rPr>
                <w:rFonts w:ascii="Times New Roman" w:hAnsi="Times New Roman" w:cs="Times New Roman"/>
                <w:bCs/>
                <w:color w:val="auto"/>
                <w:szCs w:val="24"/>
              </w:rPr>
            </w:pPr>
          </w:p>
        </w:tc>
        <w:tc>
          <w:tcPr>
            <w:tcW w:w="471" w:type="pct"/>
            <w:shd w:val="clear" w:color="auto" w:fill="auto"/>
            <w:vAlign w:val="center"/>
          </w:tcPr>
          <w:p w14:paraId="44E6EE55">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东侧</w:t>
            </w:r>
          </w:p>
        </w:tc>
        <w:tc>
          <w:tcPr>
            <w:tcW w:w="1951" w:type="pct"/>
            <w:shd w:val="clear" w:color="auto" w:fill="auto"/>
            <w:vAlign w:val="center"/>
          </w:tcPr>
          <w:p w14:paraId="1F2A2DA0">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架空通讯线（H=6m）</w:t>
            </w:r>
          </w:p>
        </w:tc>
        <w:tc>
          <w:tcPr>
            <w:tcW w:w="790" w:type="pct"/>
            <w:vAlign w:val="center"/>
          </w:tcPr>
          <w:p w14:paraId="054C809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14.6/14.6</w:t>
            </w:r>
          </w:p>
        </w:tc>
        <w:tc>
          <w:tcPr>
            <w:tcW w:w="504" w:type="pct"/>
            <w:vAlign w:val="center"/>
          </w:tcPr>
          <w:p w14:paraId="19577D1B">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471" w:type="pct"/>
            <w:vAlign w:val="center"/>
          </w:tcPr>
          <w:p w14:paraId="704470C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11DC7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12" w:type="pct"/>
            <w:vMerge w:val="restart"/>
            <w:vAlign w:val="center"/>
          </w:tcPr>
          <w:p w14:paraId="2EB157D7">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471" w:type="pct"/>
            <w:shd w:val="clear" w:color="auto" w:fill="auto"/>
            <w:vAlign w:val="center"/>
          </w:tcPr>
          <w:p w14:paraId="0D0BB14A">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eastAsia="zh-CN"/>
              </w:rPr>
              <w:t>西侧</w:t>
            </w:r>
          </w:p>
        </w:tc>
        <w:tc>
          <w:tcPr>
            <w:tcW w:w="1951" w:type="pct"/>
            <w:shd w:val="clear" w:color="auto" w:fill="auto"/>
            <w:vAlign w:val="center"/>
          </w:tcPr>
          <w:p w14:paraId="77418887">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长冈路</w:t>
            </w:r>
          </w:p>
        </w:tc>
        <w:tc>
          <w:tcPr>
            <w:tcW w:w="790" w:type="pct"/>
            <w:vAlign w:val="center"/>
          </w:tcPr>
          <w:p w14:paraId="5756B2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8.0/8.0</w:t>
            </w:r>
          </w:p>
        </w:tc>
        <w:tc>
          <w:tcPr>
            <w:tcW w:w="504" w:type="pct"/>
            <w:shd w:val="clear" w:color="auto" w:fill="auto"/>
            <w:vAlign w:val="center"/>
          </w:tcPr>
          <w:p w14:paraId="78305D5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471" w:type="pct"/>
            <w:vAlign w:val="center"/>
          </w:tcPr>
          <w:p w14:paraId="590BCF5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8686B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12" w:type="pct"/>
            <w:vMerge w:val="continue"/>
            <w:vAlign w:val="center"/>
          </w:tcPr>
          <w:p w14:paraId="7CCD024B">
            <w:pPr>
              <w:spacing w:line="240" w:lineRule="exact"/>
              <w:jc w:val="center"/>
              <w:rPr>
                <w:rFonts w:ascii="Times New Roman" w:hAnsi="Times New Roman" w:cs="Times New Roman"/>
                <w:bCs/>
                <w:color w:val="auto"/>
                <w:szCs w:val="24"/>
              </w:rPr>
            </w:pPr>
          </w:p>
        </w:tc>
        <w:tc>
          <w:tcPr>
            <w:tcW w:w="471" w:type="pct"/>
            <w:shd w:val="clear" w:color="auto" w:fill="auto"/>
            <w:vAlign w:val="center"/>
          </w:tcPr>
          <w:p w14:paraId="01497823">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北侧</w:t>
            </w:r>
          </w:p>
        </w:tc>
        <w:tc>
          <w:tcPr>
            <w:tcW w:w="1951" w:type="pct"/>
            <w:shd w:val="clear" w:color="auto" w:fill="auto"/>
            <w:vAlign w:val="center"/>
          </w:tcPr>
          <w:p w14:paraId="317B17DD">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民房（三类保护物）</w:t>
            </w:r>
          </w:p>
        </w:tc>
        <w:tc>
          <w:tcPr>
            <w:tcW w:w="790" w:type="pct"/>
            <w:vAlign w:val="center"/>
          </w:tcPr>
          <w:p w14:paraId="7033F16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28.4/24.8</w:t>
            </w:r>
          </w:p>
        </w:tc>
        <w:tc>
          <w:tcPr>
            <w:tcW w:w="504" w:type="pct"/>
            <w:shd w:val="clear" w:color="auto" w:fill="auto"/>
            <w:vAlign w:val="center"/>
          </w:tcPr>
          <w:p w14:paraId="0541BE6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471" w:type="pct"/>
            <w:vAlign w:val="center"/>
          </w:tcPr>
          <w:p w14:paraId="6419105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FF937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12" w:type="pct"/>
            <w:vMerge w:val="continue"/>
            <w:vAlign w:val="center"/>
          </w:tcPr>
          <w:p w14:paraId="5BF7277A">
            <w:pPr>
              <w:spacing w:line="240" w:lineRule="exact"/>
              <w:jc w:val="center"/>
              <w:rPr>
                <w:rFonts w:ascii="Times New Roman" w:hAnsi="Times New Roman" w:cs="Times New Roman"/>
                <w:bCs/>
                <w:color w:val="auto"/>
                <w:szCs w:val="24"/>
              </w:rPr>
            </w:pPr>
          </w:p>
        </w:tc>
        <w:tc>
          <w:tcPr>
            <w:tcW w:w="471" w:type="pct"/>
            <w:shd w:val="clear" w:color="auto" w:fill="auto"/>
            <w:vAlign w:val="center"/>
          </w:tcPr>
          <w:p w14:paraId="775B0F53">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南侧</w:t>
            </w:r>
          </w:p>
        </w:tc>
        <w:tc>
          <w:tcPr>
            <w:tcW w:w="1951" w:type="pct"/>
            <w:shd w:val="clear" w:color="auto" w:fill="auto"/>
            <w:vAlign w:val="center"/>
          </w:tcPr>
          <w:p w14:paraId="09CCEC30">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民房（三类保护物）</w:t>
            </w:r>
          </w:p>
        </w:tc>
        <w:tc>
          <w:tcPr>
            <w:tcW w:w="790" w:type="pct"/>
            <w:vAlign w:val="center"/>
          </w:tcPr>
          <w:p w14:paraId="323E051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32.5/36.1</w:t>
            </w:r>
          </w:p>
        </w:tc>
        <w:tc>
          <w:tcPr>
            <w:tcW w:w="504" w:type="pct"/>
            <w:shd w:val="clear" w:color="auto" w:fill="auto"/>
            <w:vAlign w:val="center"/>
          </w:tcPr>
          <w:p w14:paraId="7DDADD0B">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471" w:type="pct"/>
            <w:vAlign w:val="center"/>
          </w:tcPr>
          <w:p w14:paraId="5791D8C4">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D50B4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12" w:type="pct"/>
            <w:vMerge w:val="continue"/>
            <w:vAlign w:val="center"/>
          </w:tcPr>
          <w:p w14:paraId="4FCFBED5">
            <w:pPr>
              <w:spacing w:line="240" w:lineRule="exact"/>
              <w:jc w:val="center"/>
              <w:rPr>
                <w:rFonts w:ascii="Times New Roman" w:hAnsi="Times New Roman" w:cs="Times New Roman"/>
                <w:bCs/>
                <w:color w:val="auto"/>
                <w:szCs w:val="24"/>
              </w:rPr>
            </w:pPr>
          </w:p>
        </w:tc>
        <w:tc>
          <w:tcPr>
            <w:tcW w:w="471" w:type="pct"/>
            <w:shd w:val="clear" w:color="auto" w:fill="auto"/>
            <w:vAlign w:val="center"/>
          </w:tcPr>
          <w:p w14:paraId="3E480852">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eastAsia="zh-CN"/>
              </w:rPr>
              <w:t>东侧</w:t>
            </w:r>
          </w:p>
        </w:tc>
        <w:tc>
          <w:tcPr>
            <w:tcW w:w="1951" w:type="pct"/>
            <w:shd w:val="clear" w:color="auto" w:fill="auto"/>
            <w:vAlign w:val="center"/>
          </w:tcPr>
          <w:p w14:paraId="48F1116E">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农用地及污水处理设备（或有沼气聚集，甲类）</w:t>
            </w:r>
          </w:p>
        </w:tc>
        <w:tc>
          <w:tcPr>
            <w:tcW w:w="790" w:type="pct"/>
            <w:vAlign w:val="center"/>
          </w:tcPr>
          <w:p w14:paraId="419C6A3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17.4/17</w:t>
            </w:r>
          </w:p>
        </w:tc>
        <w:tc>
          <w:tcPr>
            <w:tcW w:w="504" w:type="pct"/>
            <w:shd w:val="clear" w:color="auto" w:fill="auto"/>
            <w:vAlign w:val="center"/>
          </w:tcPr>
          <w:p w14:paraId="4DC280E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12.5/9</w:t>
            </w:r>
          </w:p>
        </w:tc>
        <w:tc>
          <w:tcPr>
            <w:tcW w:w="471" w:type="pct"/>
            <w:vAlign w:val="center"/>
          </w:tcPr>
          <w:p w14:paraId="3030F5E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D6EBE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12" w:type="pct"/>
            <w:vMerge w:val="continue"/>
            <w:vAlign w:val="center"/>
          </w:tcPr>
          <w:p w14:paraId="6D63134D">
            <w:pPr>
              <w:spacing w:line="240" w:lineRule="exact"/>
              <w:jc w:val="center"/>
              <w:rPr>
                <w:rFonts w:ascii="Times New Roman" w:hAnsi="Times New Roman" w:cs="Times New Roman"/>
                <w:bCs/>
                <w:color w:val="auto"/>
                <w:szCs w:val="24"/>
              </w:rPr>
            </w:pPr>
          </w:p>
        </w:tc>
        <w:tc>
          <w:tcPr>
            <w:tcW w:w="471" w:type="pct"/>
            <w:shd w:val="clear" w:color="auto" w:fill="auto"/>
            <w:vAlign w:val="center"/>
          </w:tcPr>
          <w:p w14:paraId="259DC357">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东侧</w:t>
            </w:r>
          </w:p>
        </w:tc>
        <w:tc>
          <w:tcPr>
            <w:tcW w:w="1951" w:type="pct"/>
            <w:shd w:val="clear" w:color="auto" w:fill="auto"/>
            <w:vAlign w:val="center"/>
          </w:tcPr>
          <w:p w14:paraId="010FB597">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架空通讯线（H=6m）</w:t>
            </w:r>
          </w:p>
        </w:tc>
        <w:tc>
          <w:tcPr>
            <w:tcW w:w="790" w:type="pct"/>
            <w:vAlign w:val="center"/>
          </w:tcPr>
          <w:p w14:paraId="79E842D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19.4/19</w:t>
            </w:r>
          </w:p>
        </w:tc>
        <w:tc>
          <w:tcPr>
            <w:tcW w:w="504" w:type="pct"/>
            <w:shd w:val="clear" w:color="auto" w:fill="auto"/>
            <w:vAlign w:val="center"/>
          </w:tcPr>
          <w:p w14:paraId="79CACA4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471" w:type="pct"/>
            <w:vAlign w:val="center"/>
          </w:tcPr>
          <w:p w14:paraId="01F31ABD">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宋体" w:hAnsi="宋体"/>
          <w:color w:val="auto"/>
        </w:rPr>
      </w:pPr>
      <w:r>
        <w:rPr>
          <w:color w:val="auto"/>
          <w:sz w:val="28"/>
          <w:szCs w:val="28"/>
        </w:rPr>
        <w:t>从表</w:t>
      </w:r>
      <w:r>
        <w:rPr>
          <w:rFonts w:hint="eastAsia"/>
          <w:color w:val="auto"/>
          <w:sz w:val="28"/>
          <w:szCs w:val="28"/>
        </w:rPr>
        <w:t>5.4-2</w:t>
      </w:r>
      <w:r>
        <w:rPr>
          <w:color w:val="auto"/>
          <w:sz w:val="28"/>
          <w:szCs w:val="28"/>
        </w:rPr>
        <w:t>可以看出，</w:t>
      </w:r>
      <w:r>
        <w:rPr>
          <w:rFonts w:hint="eastAsia"/>
          <w:color w:val="auto"/>
          <w:sz w:val="28"/>
          <w:szCs w:val="28"/>
        </w:rPr>
        <w:t>该加油站的</w:t>
      </w:r>
      <w:r>
        <w:rPr>
          <w:color w:val="auto"/>
          <w:sz w:val="28"/>
          <w:szCs w:val="28"/>
        </w:rPr>
        <w:t>油罐、加油机、通气管管口与站外建、构筑物的防火距离符合《汽车加油</w:t>
      </w:r>
      <w:r>
        <w:rPr>
          <w:rFonts w:hint="eastAsia"/>
          <w:color w:val="auto"/>
          <w:sz w:val="28"/>
          <w:szCs w:val="28"/>
          <w:lang w:eastAsia="zh-CN"/>
        </w:rPr>
        <w:t>加气</w:t>
      </w:r>
      <w:r>
        <w:rPr>
          <w:color w:val="auto"/>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7" w:name="_Toc6353"/>
      <w:bookmarkStart w:id="168" w:name="_Toc16628"/>
      <w:r>
        <w:rPr>
          <w:rFonts w:hint="eastAsia" w:ascii="宋体" w:hAnsi="宋体"/>
          <w:color w:val="auto"/>
          <w:sz w:val="30"/>
          <w:szCs w:val="30"/>
        </w:rPr>
        <w:t>5.5 平面布置符合性评价</w:t>
      </w:r>
      <w:bookmarkEnd w:id="164"/>
      <w:bookmarkEnd w:id="165"/>
      <w:bookmarkEnd w:id="167"/>
      <w:bookmarkEnd w:id="168"/>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spacing w:line="240" w:lineRule="exact"/>
              <w:jc w:val="center"/>
              <w:rPr>
                <w:rFonts w:ascii="宋体" w:hAnsi="宋体"/>
                <w:b/>
                <w:color w:val="auto"/>
              </w:rPr>
            </w:pPr>
            <w:r>
              <w:rPr>
                <w:rFonts w:ascii="宋体" w:hAnsi="宋体"/>
                <w:b/>
                <w:color w:val="auto"/>
              </w:rPr>
              <w:t>序号</w:t>
            </w:r>
          </w:p>
        </w:tc>
        <w:tc>
          <w:tcPr>
            <w:tcW w:w="2988" w:type="pct"/>
            <w:vAlign w:val="center"/>
          </w:tcPr>
          <w:p w14:paraId="7D2A3C6F">
            <w:pPr>
              <w:spacing w:line="240" w:lineRule="exact"/>
              <w:jc w:val="center"/>
              <w:rPr>
                <w:rFonts w:ascii="宋体" w:hAnsi="宋体"/>
                <w:b/>
                <w:color w:val="auto"/>
              </w:rPr>
            </w:pPr>
            <w:r>
              <w:rPr>
                <w:rFonts w:ascii="宋体" w:hAnsi="宋体"/>
                <w:b/>
                <w:color w:val="auto"/>
              </w:rPr>
              <w:t>检查内容</w:t>
            </w:r>
          </w:p>
        </w:tc>
        <w:tc>
          <w:tcPr>
            <w:tcW w:w="439" w:type="pct"/>
            <w:vAlign w:val="center"/>
          </w:tcPr>
          <w:p w14:paraId="2B218207">
            <w:pPr>
              <w:spacing w:line="240" w:lineRule="exact"/>
              <w:jc w:val="center"/>
              <w:rPr>
                <w:rFonts w:ascii="宋体" w:hAnsi="宋体"/>
                <w:b/>
                <w:color w:val="auto"/>
              </w:rPr>
            </w:pPr>
            <w:r>
              <w:rPr>
                <w:rFonts w:ascii="宋体" w:hAnsi="宋体"/>
                <w:b/>
                <w:color w:val="auto"/>
              </w:rPr>
              <w:t>标准条款</w:t>
            </w:r>
          </w:p>
        </w:tc>
        <w:tc>
          <w:tcPr>
            <w:tcW w:w="1125" w:type="pct"/>
            <w:vAlign w:val="center"/>
          </w:tcPr>
          <w:p w14:paraId="2ED57010">
            <w:pPr>
              <w:spacing w:line="240" w:lineRule="exact"/>
              <w:jc w:val="center"/>
              <w:rPr>
                <w:rFonts w:ascii="宋体" w:hAnsi="宋体"/>
                <w:b/>
                <w:color w:val="auto"/>
              </w:rPr>
            </w:pPr>
            <w:r>
              <w:rPr>
                <w:rFonts w:ascii="宋体" w:hAnsi="宋体"/>
                <w:b/>
                <w:color w:val="auto"/>
              </w:rPr>
              <w:t>检查记录</w:t>
            </w:r>
          </w:p>
        </w:tc>
        <w:tc>
          <w:tcPr>
            <w:tcW w:w="223" w:type="pct"/>
            <w:vAlign w:val="center"/>
          </w:tcPr>
          <w:p w14:paraId="62A01948">
            <w:pPr>
              <w:spacing w:line="240" w:lineRule="exact"/>
              <w:jc w:val="center"/>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spacing w:line="240" w:lineRule="exact"/>
              <w:rPr>
                <w:rFonts w:ascii="宋体" w:hAnsi="宋体"/>
                <w:color w:val="auto"/>
              </w:rPr>
            </w:pPr>
            <w:r>
              <w:rPr>
                <w:rFonts w:ascii="宋体" w:hAnsi="宋体"/>
                <w:color w:val="auto"/>
              </w:rPr>
              <w:t>1</w:t>
            </w:r>
          </w:p>
        </w:tc>
        <w:tc>
          <w:tcPr>
            <w:tcW w:w="2988" w:type="pct"/>
            <w:vAlign w:val="center"/>
          </w:tcPr>
          <w:p w14:paraId="7E4B78F5">
            <w:pPr>
              <w:spacing w:line="240" w:lineRule="exact"/>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spacing w:line="240" w:lineRule="exact"/>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spacing w:line="240" w:lineRule="exact"/>
              <w:rPr>
                <w:rFonts w:ascii="宋体" w:hAnsi="宋体"/>
                <w:color w:val="auto"/>
              </w:rPr>
            </w:pPr>
            <w:r>
              <w:rPr>
                <w:rFonts w:ascii="宋体" w:hAnsi="宋体"/>
                <w:color w:val="auto"/>
              </w:rPr>
              <w:t>分开设置</w:t>
            </w:r>
          </w:p>
        </w:tc>
        <w:tc>
          <w:tcPr>
            <w:tcW w:w="223" w:type="pct"/>
            <w:vAlign w:val="center"/>
          </w:tcPr>
          <w:p w14:paraId="201840CE">
            <w:pPr>
              <w:spacing w:line="240" w:lineRule="exact"/>
              <w:jc w:val="center"/>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spacing w:line="240" w:lineRule="exact"/>
              <w:rPr>
                <w:rFonts w:ascii="宋体" w:hAnsi="宋体"/>
                <w:color w:val="auto"/>
              </w:rPr>
            </w:pPr>
            <w:r>
              <w:rPr>
                <w:rFonts w:ascii="宋体" w:hAnsi="宋体"/>
                <w:color w:val="auto"/>
              </w:rPr>
              <w:t>2</w:t>
            </w:r>
          </w:p>
        </w:tc>
        <w:tc>
          <w:tcPr>
            <w:tcW w:w="2988" w:type="pct"/>
            <w:vAlign w:val="center"/>
          </w:tcPr>
          <w:p w14:paraId="5629E6EC">
            <w:pPr>
              <w:spacing w:line="240" w:lineRule="exact"/>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spacing w:line="240" w:lineRule="exact"/>
              <w:rPr>
                <w:rFonts w:ascii="宋体" w:hAnsi="宋体"/>
                <w:color w:val="auto"/>
              </w:rPr>
            </w:pPr>
            <w:r>
              <w:rPr>
                <w:rFonts w:ascii="宋体" w:hAnsi="宋体"/>
                <w:color w:val="auto"/>
              </w:rPr>
              <w:t>5.0.2</w:t>
            </w:r>
          </w:p>
        </w:tc>
        <w:tc>
          <w:tcPr>
            <w:tcW w:w="1125" w:type="pct"/>
            <w:vAlign w:val="center"/>
          </w:tcPr>
          <w:p w14:paraId="1B5C429E">
            <w:pPr>
              <w:spacing w:line="240" w:lineRule="exact"/>
              <w:rPr>
                <w:rFonts w:ascii="宋体" w:hAnsi="宋体"/>
                <w:color w:val="auto"/>
              </w:rPr>
            </w:pPr>
            <w:r>
              <w:rPr>
                <w:rFonts w:ascii="宋体" w:hAnsi="宋体"/>
                <w:color w:val="auto"/>
              </w:rPr>
              <w:t>单车道宽度</w:t>
            </w:r>
            <w:r>
              <w:rPr>
                <w:rFonts w:hint="eastAsia" w:ascii="宋体" w:hAnsi="宋体"/>
                <w:color w:val="auto"/>
              </w:rPr>
              <w:t>9</w:t>
            </w:r>
            <w:r>
              <w:rPr>
                <w:rFonts w:ascii="宋体" w:hAnsi="宋体"/>
                <w:color w:val="auto"/>
              </w:rPr>
              <w:t>m</w:t>
            </w:r>
            <w:r>
              <w:rPr>
                <w:rFonts w:hint="eastAsia" w:ascii="宋体" w:hAnsi="宋体"/>
                <w:color w:val="auto"/>
              </w:rPr>
              <w:t>，</w:t>
            </w:r>
            <w:r>
              <w:rPr>
                <w:rFonts w:ascii="宋体" w:hAnsi="宋体"/>
                <w:color w:val="auto"/>
              </w:rPr>
              <w:t>双车道或双车停车位宽度</w:t>
            </w:r>
            <w:r>
              <w:rPr>
                <w:rFonts w:hint="eastAsia" w:ascii="宋体" w:hAnsi="宋体"/>
                <w:color w:val="auto"/>
              </w:rPr>
              <w:t>9</w:t>
            </w:r>
            <w:r>
              <w:rPr>
                <w:rFonts w:ascii="宋体" w:hAnsi="宋体"/>
                <w:color w:val="auto"/>
              </w:rPr>
              <w:t>m</w:t>
            </w:r>
          </w:p>
        </w:tc>
        <w:tc>
          <w:tcPr>
            <w:tcW w:w="223" w:type="pct"/>
            <w:vAlign w:val="center"/>
          </w:tcPr>
          <w:p w14:paraId="1F290A09">
            <w:pPr>
              <w:spacing w:line="240" w:lineRule="exact"/>
              <w:jc w:val="center"/>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spacing w:line="240" w:lineRule="exact"/>
              <w:rPr>
                <w:rFonts w:ascii="宋体" w:hAnsi="宋体"/>
                <w:color w:val="auto"/>
              </w:rPr>
            </w:pPr>
            <w:r>
              <w:rPr>
                <w:rFonts w:ascii="宋体" w:hAnsi="宋体"/>
                <w:color w:val="auto"/>
              </w:rPr>
              <w:t>3</w:t>
            </w:r>
          </w:p>
        </w:tc>
        <w:tc>
          <w:tcPr>
            <w:tcW w:w="2988" w:type="pct"/>
            <w:vAlign w:val="center"/>
          </w:tcPr>
          <w:p w14:paraId="02A827D7">
            <w:pPr>
              <w:spacing w:line="240" w:lineRule="exact"/>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spacing w:line="240" w:lineRule="exact"/>
              <w:rPr>
                <w:rFonts w:ascii="宋体" w:hAnsi="宋体"/>
                <w:color w:val="auto"/>
              </w:rPr>
            </w:pPr>
          </w:p>
        </w:tc>
        <w:tc>
          <w:tcPr>
            <w:tcW w:w="1125" w:type="pct"/>
            <w:vAlign w:val="center"/>
          </w:tcPr>
          <w:p w14:paraId="667879F4">
            <w:pPr>
              <w:spacing w:line="240" w:lineRule="exact"/>
              <w:rPr>
                <w:rFonts w:ascii="宋体" w:hAnsi="宋体"/>
                <w:color w:val="auto"/>
              </w:rPr>
            </w:pPr>
            <w:r>
              <w:rPr>
                <w:rFonts w:ascii="宋体" w:hAnsi="宋体"/>
                <w:color w:val="auto"/>
              </w:rPr>
              <w:t>不小于9m</w:t>
            </w:r>
          </w:p>
        </w:tc>
        <w:tc>
          <w:tcPr>
            <w:tcW w:w="223" w:type="pct"/>
            <w:vAlign w:val="center"/>
          </w:tcPr>
          <w:p w14:paraId="5CD9FF0B">
            <w:pPr>
              <w:spacing w:line="240" w:lineRule="exact"/>
              <w:jc w:val="center"/>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spacing w:line="240" w:lineRule="exact"/>
              <w:rPr>
                <w:rFonts w:ascii="宋体" w:hAnsi="宋体"/>
                <w:color w:val="auto"/>
              </w:rPr>
            </w:pPr>
            <w:r>
              <w:rPr>
                <w:rFonts w:ascii="宋体" w:hAnsi="宋体"/>
                <w:color w:val="auto"/>
              </w:rPr>
              <w:t>4</w:t>
            </w:r>
          </w:p>
        </w:tc>
        <w:tc>
          <w:tcPr>
            <w:tcW w:w="2988" w:type="pct"/>
            <w:vAlign w:val="center"/>
          </w:tcPr>
          <w:p w14:paraId="79C54CA8">
            <w:pPr>
              <w:spacing w:line="240" w:lineRule="exact"/>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spacing w:line="240" w:lineRule="exact"/>
              <w:rPr>
                <w:rFonts w:ascii="宋体" w:hAnsi="宋体"/>
                <w:color w:val="auto"/>
              </w:rPr>
            </w:pPr>
          </w:p>
        </w:tc>
        <w:tc>
          <w:tcPr>
            <w:tcW w:w="1125" w:type="pct"/>
            <w:vAlign w:val="center"/>
          </w:tcPr>
          <w:p w14:paraId="57DDFC8E">
            <w:pPr>
              <w:spacing w:line="240" w:lineRule="exact"/>
              <w:rPr>
                <w:rFonts w:ascii="宋体" w:hAnsi="宋体"/>
                <w:color w:val="auto"/>
              </w:rPr>
            </w:pPr>
            <w:r>
              <w:rPr>
                <w:rFonts w:ascii="宋体" w:hAnsi="宋体"/>
                <w:color w:val="auto"/>
              </w:rPr>
              <w:t>站内停车位为平坡，道路坡度不大于8%</w:t>
            </w:r>
          </w:p>
        </w:tc>
        <w:tc>
          <w:tcPr>
            <w:tcW w:w="223" w:type="pct"/>
            <w:vAlign w:val="center"/>
          </w:tcPr>
          <w:p w14:paraId="42711302">
            <w:pPr>
              <w:spacing w:line="240" w:lineRule="exact"/>
              <w:jc w:val="center"/>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spacing w:line="240" w:lineRule="exact"/>
              <w:rPr>
                <w:rFonts w:ascii="宋体" w:hAnsi="宋体"/>
                <w:color w:val="auto"/>
              </w:rPr>
            </w:pPr>
            <w:r>
              <w:rPr>
                <w:rFonts w:ascii="宋体" w:hAnsi="宋体"/>
                <w:color w:val="auto"/>
              </w:rPr>
              <w:t>5</w:t>
            </w:r>
          </w:p>
        </w:tc>
        <w:tc>
          <w:tcPr>
            <w:tcW w:w="2988" w:type="pct"/>
            <w:vAlign w:val="center"/>
          </w:tcPr>
          <w:p w14:paraId="47C32DFE">
            <w:pPr>
              <w:spacing w:line="240" w:lineRule="exact"/>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spacing w:line="240" w:lineRule="exact"/>
              <w:rPr>
                <w:rFonts w:ascii="宋体" w:hAnsi="宋体"/>
                <w:color w:val="auto"/>
              </w:rPr>
            </w:pPr>
          </w:p>
        </w:tc>
        <w:tc>
          <w:tcPr>
            <w:tcW w:w="1125" w:type="pct"/>
            <w:vAlign w:val="center"/>
          </w:tcPr>
          <w:p w14:paraId="316B0359">
            <w:pPr>
              <w:spacing w:line="240" w:lineRule="exact"/>
              <w:rPr>
                <w:rFonts w:ascii="宋体" w:hAnsi="宋体"/>
                <w:color w:val="auto"/>
              </w:rPr>
            </w:pPr>
            <w:r>
              <w:rPr>
                <w:rFonts w:ascii="宋体" w:hAnsi="宋体"/>
                <w:color w:val="auto"/>
              </w:rPr>
              <w:t>混凝土路面</w:t>
            </w:r>
          </w:p>
        </w:tc>
        <w:tc>
          <w:tcPr>
            <w:tcW w:w="223" w:type="pct"/>
            <w:vAlign w:val="center"/>
          </w:tcPr>
          <w:p w14:paraId="2F99538A">
            <w:pPr>
              <w:spacing w:line="240" w:lineRule="exact"/>
              <w:jc w:val="center"/>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spacing w:line="240" w:lineRule="exact"/>
              <w:rPr>
                <w:rFonts w:ascii="宋体" w:hAnsi="宋体"/>
                <w:color w:val="auto"/>
              </w:rPr>
            </w:pPr>
            <w:r>
              <w:rPr>
                <w:rFonts w:hint="eastAsia" w:ascii="宋体" w:hAnsi="宋体"/>
                <w:color w:val="auto"/>
              </w:rPr>
              <w:t>6</w:t>
            </w:r>
          </w:p>
        </w:tc>
        <w:tc>
          <w:tcPr>
            <w:tcW w:w="2988" w:type="pct"/>
            <w:vAlign w:val="center"/>
          </w:tcPr>
          <w:p w14:paraId="5766B428">
            <w:pPr>
              <w:spacing w:line="240" w:lineRule="exact"/>
              <w:rPr>
                <w:rFonts w:ascii="宋体" w:hAnsi="宋体"/>
                <w:color w:val="auto"/>
              </w:rPr>
            </w:pPr>
            <w:r>
              <w:rPr>
                <w:rFonts w:ascii="宋体" w:hAnsi="宋体"/>
                <w:color w:val="auto"/>
              </w:rPr>
              <w:t>作业区与辅助服务区之间应有界线标识。</w:t>
            </w:r>
          </w:p>
        </w:tc>
        <w:tc>
          <w:tcPr>
            <w:tcW w:w="439" w:type="pct"/>
            <w:vAlign w:val="center"/>
          </w:tcPr>
          <w:p w14:paraId="2385A189">
            <w:pPr>
              <w:spacing w:line="240" w:lineRule="exact"/>
              <w:rPr>
                <w:rFonts w:ascii="宋体" w:hAnsi="宋体"/>
                <w:color w:val="auto"/>
              </w:rPr>
            </w:pPr>
            <w:r>
              <w:rPr>
                <w:rFonts w:hint="eastAsia" w:ascii="宋体" w:hAnsi="宋体"/>
                <w:color w:val="auto"/>
              </w:rPr>
              <w:t>5.0.3</w:t>
            </w:r>
          </w:p>
        </w:tc>
        <w:tc>
          <w:tcPr>
            <w:tcW w:w="1125" w:type="pct"/>
            <w:vAlign w:val="center"/>
          </w:tcPr>
          <w:p w14:paraId="553FEC0F">
            <w:pPr>
              <w:spacing w:line="240" w:lineRule="exact"/>
              <w:rPr>
                <w:rFonts w:ascii="宋体" w:hAnsi="宋体"/>
                <w:color w:val="auto"/>
              </w:rPr>
            </w:pPr>
            <w:r>
              <w:rPr>
                <w:rFonts w:hint="eastAsia" w:ascii="宋体" w:hAnsi="宋体"/>
                <w:color w:val="auto"/>
              </w:rPr>
              <w:t>作业区与辅助服务区之间有界线标识</w:t>
            </w:r>
          </w:p>
        </w:tc>
        <w:tc>
          <w:tcPr>
            <w:tcW w:w="223" w:type="pct"/>
            <w:vAlign w:val="center"/>
          </w:tcPr>
          <w:p w14:paraId="178EEB13">
            <w:pPr>
              <w:spacing w:line="240" w:lineRule="exact"/>
              <w:jc w:val="center"/>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spacing w:line="240" w:lineRule="exact"/>
              <w:rPr>
                <w:rFonts w:ascii="宋体" w:hAnsi="宋体"/>
                <w:color w:val="auto"/>
              </w:rPr>
            </w:pPr>
            <w:r>
              <w:rPr>
                <w:rFonts w:hint="eastAsia" w:ascii="宋体" w:hAnsi="宋体"/>
                <w:color w:val="auto"/>
              </w:rPr>
              <w:t>7</w:t>
            </w:r>
          </w:p>
        </w:tc>
        <w:tc>
          <w:tcPr>
            <w:tcW w:w="2988" w:type="pct"/>
          </w:tcPr>
          <w:p w14:paraId="58C85DB1">
            <w:pPr>
              <w:spacing w:line="240" w:lineRule="exact"/>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spacing w:line="240" w:lineRule="exact"/>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spacing w:line="240" w:lineRule="exact"/>
              <w:rPr>
                <w:rFonts w:ascii="宋体" w:hAnsi="宋体"/>
                <w:color w:val="auto"/>
              </w:rPr>
            </w:pPr>
            <w:r>
              <w:rPr>
                <w:rFonts w:hint="eastAsia" w:ascii="宋体" w:hAnsi="宋体"/>
                <w:color w:val="auto"/>
              </w:rPr>
              <w:t>不涉及</w:t>
            </w:r>
          </w:p>
        </w:tc>
        <w:tc>
          <w:tcPr>
            <w:tcW w:w="223" w:type="pct"/>
            <w:vAlign w:val="center"/>
          </w:tcPr>
          <w:p w14:paraId="7EAE3237">
            <w:pPr>
              <w:spacing w:line="240" w:lineRule="exact"/>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spacing w:line="240" w:lineRule="exact"/>
              <w:rPr>
                <w:rFonts w:ascii="宋体" w:hAnsi="宋体"/>
                <w:color w:val="auto"/>
              </w:rPr>
            </w:pPr>
            <w:r>
              <w:rPr>
                <w:rFonts w:hint="eastAsia" w:ascii="宋体" w:hAnsi="宋体"/>
                <w:color w:val="auto"/>
              </w:rPr>
              <w:t>8</w:t>
            </w:r>
          </w:p>
        </w:tc>
        <w:tc>
          <w:tcPr>
            <w:tcW w:w="2988" w:type="pct"/>
          </w:tcPr>
          <w:p w14:paraId="79E94457">
            <w:pPr>
              <w:spacing w:line="240" w:lineRule="exact"/>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spacing w:line="240" w:lineRule="exact"/>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spacing w:line="240" w:lineRule="exact"/>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3" w:type="pct"/>
            <w:vAlign w:val="center"/>
          </w:tcPr>
          <w:p w14:paraId="58C2CA71">
            <w:pPr>
              <w:spacing w:line="240" w:lineRule="exact"/>
              <w:jc w:val="center"/>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spacing w:line="240" w:lineRule="exact"/>
              <w:rPr>
                <w:rFonts w:ascii="宋体" w:hAnsi="宋体"/>
                <w:color w:val="auto"/>
              </w:rPr>
            </w:pPr>
            <w:r>
              <w:rPr>
                <w:rFonts w:hint="eastAsia" w:ascii="宋体" w:hAnsi="宋体"/>
                <w:color w:val="auto"/>
              </w:rPr>
              <w:t>9</w:t>
            </w:r>
          </w:p>
        </w:tc>
        <w:tc>
          <w:tcPr>
            <w:tcW w:w="2988" w:type="pct"/>
          </w:tcPr>
          <w:p w14:paraId="6A4A8A15">
            <w:pPr>
              <w:spacing w:line="240" w:lineRule="exact"/>
              <w:rPr>
                <w:rFonts w:ascii="宋体" w:hAnsi="宋体"/>
                <w:color w:val="auto"/>
              </w:rPr>
            </w:pPr>
            <w:r>
              <w:rPr>
                <w:rFonts w:ascii="宋体" w:hAnsi="宋体"/>
                <w:color w:val="auto"/>
              </w:rPr>
              <w:t>柴油尾气处理液加注设施的布置应符合下列规定：</w:t>
            </w:r>
          </w:p>
          <w:p w14:paraId="4DA6932B">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spacing w:line="240" w:lineRule="exact"/>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spacing w:line="240" w:lineRule="exact"/>
              <w:rPr>
                <w:rFonts w:ascii="宋体" w:hAnsi="宋体"/>
                <w:color w:val="auto"/>
              </w:rPr>
            </w:pPr>
            <w:r>
              <w:rPr>
                <w:rFonts w:hint="eastAsia" w:ascii="宋体" w:hAnsi="宋体"/>
                <w:color w:val="auto"/>
              </w:rPr>
              <w:t>不涉及</w:t>
            </w:r>
          </w:p>
        </w:tc>
        <w:tc>
          <w:tcPr>
            <w:tcW w:w="223" w:type="pct"/>
            <w:vAlign w:val="center"/>
          </w:tcPr>
          <w:p w14:paraId="75FD1B1C">
            <w:pPr>
              <w:spacing w:line="240" w:lineRule="exact"/>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spacing w:line="240" w:lineRule="exact"/>
              <w:rPr>
                <w:rFonts w:ascii="宋体" w:hAnsi="宋体"/>
                <w:color w:val="auto"/>
              </w:rPr>
            </w:pPr>
            <w:r>
              <w:rPr>
                <w:rFonts w:hint="eastAsia" w:ascii="宋体" w:hAnsi="宋体"/>
                <w:color w:val="auto"/>
              </w:rPr>
              <w:t>10</w:t>
            </w:r>
          </w:p>
        </w:tc>
        <w:tc>
          <w:tcPr>
            <w:tcW w:w="2988" w:type="pct"/>
            <w:vAlign w:val="center"/>
          </w:tcPr>
          <w:p w14:paraId="7EF742F9">
            <w:pPr>
              <w:spacing w:line="240" w:lineRule="exact"/>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spacing w:line="240" w:lineRule="exact"/>
              <w:rPr>
                <w:rFonts w:ascii="宋体" w:hAnsi="宋体"/>
                <w:color w:val="auto"/>
              </w:rPr>
            </w:pPr>
            <w:r>
              <w:rPr>
                <w:rFonts w:hint="eastAsia" w:ascii="宋体" w:hAnsi="宋体"/>
                <w:color w:val="auto"/>
              </w:rPr>
              <w:t>5.0.7</w:t>
            </w:r>
          </w:p>
        </w:tc>
        <w:tc>
          <w:tcPr>
            <w:tcW w:w="1125" w:type="pct"/>
            <w:vAlign w:val="center"/>
          </w:tcPr>
          <w:p w14:paraId="35DA90EB">
            <w:pPr>
              <w:spacing w:line="240" w:lineRule="exact"/>
              <w:rPr>
                <w:rFonts w:hint="default" w:ascii="宋体" w:hAnsi="宋体" w:eastAsia="宋体"/>
                <w:color w:val="auto"/>
                <w:lang w:val="en-US" w:eastAsia="zh-CN"/>
              </w:rPr>
            </w:pPr>
            <w:r>
              <w:rPr>
                <w:rFonts w:hint="eastAsia" w:ascii="宋体" w:hAnsi="宋体"/>
                <w:color w:val="auto"/>
                <w:lang w:val="en-US" w:eastAsia="zh-CN"/>
              </w:rPr>
              <w:t>无</w:t>
            </w:r>
            <w:r>
              <w:rPr>
                <w:rFonts w:hint="eastAsia" w:ascii="宋体" w:hAnsi="宋体"/>
                <w:color w:val="auto"/>
              </w:rPr>
              <w:t>电动汽车充电设施</w:t>
            </w:r>
          </w:p>
        </w:tc>
        <w:tc>
          <w:tcPr>
            <w:tcW w:w="223" w:type="pct"/>
            <w:vAlign w:val="center"/>
          </w:tcPr>
          <w:p w14:paraId="14FC57E7">
            <w:pPr>
              <w:spacing w:line="240" w:lineRule="exact"/>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spacing w:line="240" w:lineRule="exact"/>
              <w:rPr>
                <w:rFonts w:ascii="宋体" w:hAnsi="宋体"/>
                <w:color w:val="auto"/>
              </w:rPr>
            </w:pPr>
            <w:r>
              <w:rPr>
                <w:rFonts w:hint="eastAsia" w:ascii="宋体" w:hAnsi="宋体"/>
                <w:color w:val="auto"/>
              </w:rPr>
              <w:t>11</w:t>
            </w:r>
          </w:p>
        </w:tc>
        <w:tc>
          <w:tcPr>
            <w:tcW w:w="2988" w:type="pct"/>
            <w:vAlign w:val="center"/>
          </w:tcPr>
          <w:p w14:paraId="73F418A2">
            <w:pPr>
              <w:spacing w:line="240" w:lineRule="exact"/>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spacing w:line="240" w:lineRule="exact"/>
              <w:rPr>
                <w:rFonts w:ascii="宋体" w:hAnsi="宋体"/>
                <w:color w:val="auto"/>
              </w:rPr>
            </w:pPr>
            <w:r>
              <w:rPr>
                <w:rFonts w:hint="eastAsia" w:ascii="宋体" w:hAnsi="宋体"/>
                <w:color w:val="auto"/>
              </w:rPr>
              <w:t>5.0.8</w:t>
            </w:r>
          </w:p>
        </w:tc>
        <w:tc>
          <w:tcPr>
            <w:tcW w:w="1125" w:type="pct"/>
            <w:vAlign w:val="center"/>
          </w:tcPr>
          <w:p w14:paraId="5E3F0C7C">
            <w:pPr>
              <w:spacing w:line="240" w:lineRule="exact"/>
              <w:rPr>
                <w:rFonts w:ascii="宋体" w:hAnsi="宋体"/>
                <w:color w:val="auto"/>
              </w:rPr>
            </w:pPr>
            <w:r>
              <w:rPr>
                <w:rFonts w:hint="eastAsia" w:ascii="宋体" w:hAnsi="宋体"/>
                <w:color w:val="auto"/>
              </w:rPr>
              <w:t>配电间布置在作业区外</w:t>
            </w:r>
          </w:p>
        </w:tc>
        <w:tc>
          <w:tcPr>
            <w:tcW w:w="223" w:type="pct"/>
            <w:vAlign w:val="center"/>
          </w:tcPr>
          <w:p w14:paraId="2465637E">
            <w:pPr>
              <w:spacing w:line="240" w:lineRule="exact"/>
              <w:jc w:val="center"/>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spacing w:line="240" w:lineRule="exact"/>
              <w:rPr>
                <w:rFonts w:ascii="宋体" w:hAnsi="宋体"/>
                <w:color w:val="auto"/>
              </w:rPr>
            </w:pPr>
            <w:r>
              <w:rPr>
                <w:rFonts w:hint="eastAsia" w:ascii="宋体" w:hAnsi="宋体"/>
                <w:color w:val="auto"/>
              </w:rPr>
              <w:t>12</w:t>
            </w:r>
          </w:p>
        </w:tc>
        <w:tc>
          <w:tcPr>
            <w:tcW w:w="2988" w:type="pct"/>
            <w:vAlign w:val="center"/>
          </w:tcPr>
          <w:p w14:paraId="66021A7E">
            <w:pPr>
              <w:spacing w:line="240" w:lineRule="exact"/>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spacing w:line="240" w:lineRule="exact"/>
              <w:rPr>
                <w:rFonts w:ascii="宋体" w:hAnsi="宋体"/>
                <w:color w:val="auto"/>
              </w:rPr>
            </w:pPr>
            <w:r>
              <w:rPr>
                <w:rFonts w:hint="eastAsia" w:ascii="宋体" w:hAnsi="宋体"/>
                <w:color w:val="auto"/>
              </w:rPr>
              <w:t>5.0.9</w:t>
            </w:r>
          </w:p>
        </w:tc>
        <w:tc>
          <w:tcPr>
            <w:tcW w:w="1125" w:type="pct"/>
            <w:vAlign w:val="center"/>
          </w:tcPr>
          <w:p w14:paraId="47C1715F">
            <w:pPr>
              <w:spacing w:line="240" w:lineRule="exact"/>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3" w:type="pct"/>
            <w:vAlign w:val="center"/>
          </w:tcPr>
          <w:p w14:paraId="427D9F3E">
            <w:pPr>
              <w:spacing w:line="240" w:lineRule="exact"/>
              <w:jc w:val="center"/>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spacing w:line="240" w:lineRule="exact"/>
              <w:rPr>
                <w:rFonts w:ascii="宋体" w:hAnsi="宋体"/>
                <w:color w:val="auto"/>
              </w:rPr>
            </w:pPr>
            <w:r>
              <w:rPr>
                <w:rFonts w:hint="eastAsia" w:ascii="宋体" w:hAnsi="宋体"/>
                <w:color w:val="auto"/>
              </w:rPr>
              <w:t>13</w:t>
            </w:r>
          </w:p>
        </w:tc>
        <w:tc>
          <w:tcPr>
            <w:tcW w:w="2988" w:type="pct"/>
            <w:vAlign w:val="center"/>
          </w:tcPr>
          <w:p w14:paraId="16ADAE93">
            <w:pPr>
              <w:spacing w:line="240" w:lineRule="exact"/>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spacing w:line="240" w:lineRule="exact"/>
              <w:rPr>
                <w:rFonts w:ascii="宋体" w:hAnsi="宋体"/>
                <w:color w:val="auto"/>
              </w:rPr>
            </w:pPr>
            <w:r>
              <w:rPr>
                <w:rFonts w:hint="eastAsia" w:ascii="宋体" w:hAnsi="宋体"/>
                <w:color w:val="auto"/>
              </w:rPr>
              <w:t>5.0.10</w:t>
            </w:r>
          </w:p>
        </w:tc>
        <w:tc>
          <w:tcPr>
            <w:tcW w:w="1125" w:type="pct"/>
            <w:vAlign w:val="center"/>
          </w:tcPr>
          <w:p w14:paraId="43C3E7AD">
            <w:pPr>
              <w:spacing w:line="240" w:lineRule="exact"/>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3" w:type="pct"/>
            <w:vAlign w:val="center"/>
          </w:tcPr>
          <w:p w14:paraId="56DC304D">
            <w:pPr>
              <w:spacing w:line="240" w:lineRule="exact"/>
              <w:jc w:val="center"/>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spacing w:line="240" w:lineRule="exact"/>
              <w:rPr>
                <w:rFonts w:ascii="宋体" w:hAnsi="宋体"/>
                <w:color w:val="auto"/>
              </w:rPr>
            </w:pPr>
            <w:r>
              <w:rPr>
                <w:rFonts w:hint="eastAsia" w:ascii="宋体" w:hAnsi="宋体"/>
                <w:color w:val="auto"/>
              </w:rPr>
              <w:t>14</w:t>
            </w:r>
          </w:p>
        </w:tc>
        <w:tc>
          <w:tcPr>
            <w:tcW w:w="2988" w:type="pct"/>
            <w:vAlign w:val="center"/>
          </w:tcPr>
          <w:p w14:paraId="7C8FEC70">
            <w:pPr>
              <w:spacing w:line="240" w:lineRule="exact"/>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spacing w:line="240" w:lineRule="exact"/>
              <w:rPr>
                <w:rFonts w:ascii="宋体" w:hAnsi="宋体"/>
                <w:color w:val="auto"/>
              </w:rPr>
            </w:pPr>
            <w:r>
              <w:rPr>
                <w:rFonts w:hint="eastAsia" w:ascii="宋体" w:hAnsi="宋体"/>
                <w:color w:val="auto"/>
              </w:rPr>
              <w:t>5.0.11</w:t>
            </w:r>
          </w:p>
        </w:tc>
        <w:tc>
          <w:tcPr>
            <w:tcW w:w="1125" w:type="pct"/>
            <w:vAlign w:val="center"/>
          </w:tcPr>
          <w:p w14:paraId="7086B42D">
            <w:pPr>
              <w:spacing w:line="240" w:lineRule="exact"/>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3" w:type="pct"/>
            <w:vAlign w:val="center"/>
          </w:tcPr>
          <w:p w14:paraId="2BAEDDED">
            <w:pPr>
              <w:spacing w:line="240" w:lineRule="exact"/>
              <w:jc w:val="center"/>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spacing w:line="240" w:lineRule="exact"/>
              <w:rPr>
                <w:rFonts w:ascii="宋体" w:hAnsi="宋体"/>
                <w:color w:val="auto"/>
              </w:rPr>
            </w:pPr>
            <w:r>
              <w:rPr>
                <w:rFonts w:hint="eastAsia" w:ascii="宋体" w:hAnsi="宋体"/>
                <w:color w:val="auto"/>
              </w:rPr>
              <w:t>15</w:t>
            </w:r>
          </w:p>
        </w:tc>
        <w:tc>
          <w:tcPr>
            <w:tcW w:w="2988" w:type="pct"/>
            <w:vAlign w:val="center"/>
          </w:tcPr>
          <w:p w14:paraId="426CC00C">
            <w:pPr>
              <w:spacing w:line="240" w:lineRule="exact"/>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spacing w:line="240" w:lineRule="exact"/>
              <w:rPr>
                <w:rFonts w:ascii="宋体" w:hAnsi="宋体"/>
                <w:color w:val="auto"/>
              </w:rPr>
            </w:pPr>
            <w:r>
              <w:rPr>
                <w:rFonts w:hint="eastAsia" w:ascii="宋体" w:hAnsi="宋体"/>
                <w:color w:val="auto"/>
              </w:rPr>
              <w:t>5.0.12</w:t>
            </w:r>
          </w:p>
        </w:tc>
        <w:tc>
          <w:tcPr>
            <w:tcW w:w="1125" w:type="pct"/>
            <w:vAlign w:val="center"/>
          </w:tcPr>
          <w:p w14:paraId="541E5C8A">
            <w:pPr>
              <w:spacing w:line="240" w:lineRule="exact"/>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3" w:type="pct"/>
            <w:vAlign w:val="center"/>
          </w:tcPr>
          <w:p w14:paraId="454AF834">
            <w:pPr>
              <w:spacing w:line="240" w:lineRule="exact"/>
              <w:jc w:val="center"/>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spacing w:line="240" w:lineRule="exact"/>
              <w:rPr>
                <w:rFonts w:ascii="宋体" w:hAnsi="宋体"/>
                <w:color w:val="auto"/>
              </w:rPr>
            </w:pPr>
            <w:r>
              <w:rPr>
                <w:rFonts w:hint="eastAsia" w:ascii="宋体" w:hAnsi="宋体"/>
                <w:color w:val="auto"/>
              </w:rPr>
              <w:t>16</w:t>
            </w:r>
          </w:p>
        </w:tc>
        <w:tc>
          <w:tcPr>
            <w:tcW w:w="2988" w:type="pct"/>
            <w:vAlign w:val="center"/>
          </w:tcPr>
          <w:p w14:paraId="2C9A59E4">
            <w:pPr>
              <w:spacing w:line="240" w:lineRule="exact"/>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spacing w:line="240" w:lineRule="exact"/>
              <w:rPr>
                <w:rFonts w:ascii="宋体" w:hAnsi="宋体"/>
                <w:color w:val="auto"/>
              </w:rPr>
            </w:pPr>
            <w:r>
              <w:rPr>
                <w:rFonts w:hint="eastAsia" w:ascii="宋体" w:hAnsi="宋体"/>
                <w:color w:val="auto"/>
              </w:rPr>
              <w:t>5.0.13</w:t>
            </w:r>
          </w:p>
        </w:tc>
        <w:tc>
          <w:tcPr>
            <w:tcW w:w="1125" w:type="pct"/>
            <w:vAlign w:val="center"/>
          </w:tcPr>
          <w:p w14:paraId="585FA78F">
            <w:pPr>
              <w:spacing w:line="240" w:lineRule="exact"/>
              <w:rPr>
                <w:rFonts w:ascii="宋体" w:hAnsi="宋体"/>
                <w:color w:val="auto"/>
              </w:rPr>
            </w:pPr>
            <w:r>
              <w:rPr>
                <w:rFonts w:hint="eastAsia" w:ascii="宋体" w:hAnsi="宋体"/>
                <w:color w:val="auto"/>
              </w:rPr>
              <w:t>详见表5.5-2站内设施之间的防火间距表</w:t>
            </w:r>
          </w:p>
        </w:tc>
        <w:tc>
          <w:tcPr>
            <w:tcW w:w="223" w:type="pct"/>
            <w:vAlign w:val="center"/>
          </w:tcPr>
          <w:p w14:paraId="5BCE2E38">
            <w:pPr>
              <w:spacing w:line="240" w:lineRule="exact"/>
              <w:jc w:val="center"/>
              <w:rPr>
                <w:rFonts w:ascii="宋体" w:hAnsi="宋体"/>
                <w:color w:val="auto"/>
              </w:rPr>
            </w:pPr>
            <w:r>
              <w:rPr>
                <w:rFonts w:hint="eastAsia" w:ascii="宋体" w:hAnsi="宋体"/>
                <w:color w:val="auto"/>
              </w:rPr>
              <w:t>符合</w:t>
            </w:r>
          </w:p>
        </w:tc>
      </w:tr>
    </w:tbl>
    <w:p w14:paraId="01D33295">
      <w:pPr>
        <w:rPr>
          <w:rFonts w:hint="eastAsia" w:ascii="宋体" w:hAnsi="宋体"/>
          <w:color w:val="auto"/>
          <w:sz w:val="28"/>
          <w:szCs w:val="28"/>
        </w:rPr>
      </w:pPr>
      <w:r>
        <w:rPr>
          <w:rFonts w:hint="eastAsia" w:ascii="宋体" w:hAnsi="宋体"/>
          <w:color w:val="auto"/>
          <w:sz w:val="28"/>
          <w:szCs w:val="28"/>
        </w:rPr>
        <w:br w:type="page"/>
      </w:r>
    </w:p>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496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47"/>
        <w:gridCol w:w="2118"/>
        <w:gridCol w:w="1327"/>
        <w:gridCol w:w="2156"/>
        <w:gridCol w:w="1816"/>
        <w:gridCol w:w="1082"/>
      </w:tblGrid>
      <w:tr w14:paraId="133CB6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jc w:val="center"/>
        </w:trPr>
        <w:tc>
          <w:tcPr>
            <w:tcW w:w="302" w:type="pct"/>
            <w:vAlign w:val="center"/>
          </w:tcPr>
          <w:p w14:paraId="755E0B6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70" w:type="pct"/>
            <w:vAlign w:val="center"/>
          </w:tcPr>
          <w:p w14:paraId="342BB6DC">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733" w:type="pct"/>
            <w:vAlign w:val="center"/>
          </w:tcPr>
          <w:p w14:paraId="0D7B033E">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91" w:type="pct"/>
            <w:vAlign w:val="center"/>
          </w:tcPr>
          <w:p w14:paraId="1D8E91D5">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1003" w:type="pct"/>
            <w:vAlign w:val="center"/>
          </w:tcPr>
          <w:p w14:paraId="1DF98873">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98" w:type="pct"/>
            <w:shd w:val="clear" w:color="auto" w:fill="auto"/>
            <w:vAlign w:val="center"/>
          </w:tcPr>
          <w:p w14:paraId="2435A9D2">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014533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302" w:type="pct"/>
            <w:vAlign w:val="center"/>
          </w:tcPr>
          <w:p w14:paraId="517449A8">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1CA560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733" w:type="pct"/>
            <w:vAlign w:val="center"/>
          </w:tcPr>
          <w:p w14:paraId="11A3958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91" w:type="pct"/>
            <w:vAlign w:val="center"/>
          </w:tcPr>
          <w:p w14:paraId="2B14446A">
            <w:pPr>
              <w:jc w:val="center"/>
              <w:rPr>
                <w:rFonts w:ascii="Times New Roman" w:hAnsi="Times New Roman" w:cs="Times New Roman"/>
                <w:color w:val="auto"/>
              </w:rPr>
            </w:pPr>
            <w:r>
              <w:rPr>
                <w:rFonts w:ascii="Times New Roman" w:hAnsi="Times New Roman" w:cs="Times New Roman"/>
                <w:color w:val="auto"/>
              </w:rPr>
              <w:t>0.5</w:t>
            </w:r>
          </w:p>
        </w:tc>
        <w:tc>
          <w:tcPr>
            <w:tcW w:w="1003" w:type="pct"/>
            <w:vAlign w:val="center"/>
          </w:tcPr>
          <w:p w14:paraId="671E80A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0.6</w:t>
            </w:r>
          </w:p>
        </w:tc>
        <w:tc>
          <w:tcPr>
            <w:tcW w:w="598" w:type="pct"/>
            <w:shd w:val="clear" w:color="auto" w:fill="auto"/>
            <w:vAlign w:val="center"/>
          </w:tcPr>
          <w:p w14:paraId="04EEEE50">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50F6F6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302" w:type="pct"/>
            <w:vAlign w:val="center"/>
          </w:tcPr>
          <w:p w14:paraId="4BEFDBF0">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02D5D9B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vAlign w:val="center"/>
          </w:tcPr>
          <w:p w14:paraId="731C7C9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1" w:type="pct"/>
            <w:vAlign w:val="center"/>
          </w:tcPr>
          <w:p w14:paraId="47C96F4A">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3C71237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7.8</w:t>
            </w:r>
          </w:p>
        </w:tc>
        <w:tc>
          <w:tcPr>
            <w:tcW w:w="598" w:type="pct"/>
            <w:vAlign w:val="center"/>
          </w:tcPr>
          <w:p w14:paraId="31C2820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C505A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302" w:type="pct"/>
            <w:vAlign w:val="center"/>
          </w:tcPr>
          <w:p w14:paraId="5476F97A">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0AC91C3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vAlign w:val="center"/>
          </w:tcPr>
          <w:p w14:paraId="6C4C52F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1" w:type="pct"/>
            <w:vAlign w:val="center"/>
          </w:tcPr>
          <w:p w14:paraId="5458CB06">
            <w:pPr>
              <w:jc w:val="center"/>
              <w:rPr>
                <w:rFonts w:ascii="Times New Roman" w:hAnsi="Times New Roman" w:cs="Times New Roman"/>
                <w:color w:val="auto"/>
              </w:rPr>
            </w:pPr>
            <w:r>
              <w:rPr>
                <w:rFonts w:ascii="Times New Roman" w:hAnsi="Times New Roman" w:cs="Times New Roman"/>
                <w:color w:val="auto"/>
              </w:rPr>
              <w:t>3</w:t>
            </w:r>
          </w:p>
        </w:tc>
        <w:tc>
          <w:tcPr>
            <w:tcW w:w="1003" w:type="pct"/>
            <w:vAlign w:val="center"/>
          </w:tcPr>
          <w:p w14:paraId="5186D80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4.6</w:t>
            </w:r>
          </w:p>
        </w:tc>
        <w:tc>
          <w:tcPr>
            <w:tcW w:w="598" w:type="pct"/>
            <w:vAlign w:val="center"/>
          </w:tcPr>
          <w:p w14:paraId="33006B4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F6296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302" w:type="pct"/>
            <w:vAlign w:val="center"/>
          </w:tcPr>
          <w:p w14:paraId="7F48D31F">
            <w:pPr>
              <w:numPr>
                <w:ilvl w:val="0"/>
                <w:numId w:val="6"/>
              </w:numPr>
              <w:autoSpaceDE w:val="0"/>
              <w:autoSpaceDN w:val="0"/>
              <w:ind w:left="0" w:firstLine="0"/>
              <w:jc w:val="center"/>
              <w:rPr>
                <w:rFonts w:ascii="Times New Roman" w:hAnsi="Times New Roman" w:cs="Times New Roman"/>
                <w:color w:val="auto"/>
                <w:kern w:val="0"/>
              </w:rPr>
            </w:pPr>
          </w:p>
        </w:tc>
        <w:tc>
          <w:tcPr>
            <w:tcW w:w="1170" w:type="pct"/>
            <w:shd w:val="clear" w:color="auto" w:fill="auto"/>
            <w:vAlign w:val="center"/>
          </w:tcPr>
          <w:p w14:paraId="45B6C4A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shd w:val="clear" w:color="auto" w:fill="auto"/>
            <w:vAlign w:val="center"/>
          </w:tcPr>
          <w:p w14:paraId="2771A0F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1" w:type="pct"/>
            <w:shd w:val="clear" w:color="auto" w:fill="auto"/>
            <w:vAlign w:val="center"/>
          </w:tcPr>
          <w:p w14:paraId="6DF3A284">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01C09EF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w:t>
            </w:r>
          </w:p>
        </w:tc>
        <w:tc>
          <w:tcPr>
            <w:tcW w:w="598" w:type="pct"/>
            <w:vAlign w:val="center"/>
          </w:tcPr>
          <w:p w14:paraId="676AEEF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61C90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302" w:type="pct"/>
            <w:vAlign w:val="center"/>
          </w:tcPr>
          <w:p w14:paraId="577EB02F">
            <w:pPr>
              <w:numPr>
                <w:ilvl w:val="0"/>
                <w:numId w:val="6"/>
              </w:numPr>
              <w:autoSpaceDE w:val="0"/>
              <w:autoSpaceDN w:val="0"/>
              <w:ind w:left="0" w:firstLine="0"/>
              <w:jc w:val="center"/>
              <w:rPr>
                <w:rFonts w:ascii="Times New Roman" w:hAnsi="Times New Roman" w:cs="Times New Roman"/>
                <w:color w:val="auto"/>
                <w:kern w:val="0"/>
              </w:rPr>
            </w:pPr>
          </w:p>
        </w:tc>
        <w:tc>
          <w:tcPr>
            <w:tcW w:w="1170" w:type="pct"/>
            <w:shd w:val="clear" w:color="auto" w:fill="auto"/>
            <w:vAlign w:val="center"/>
          </w:tcPr>
          <w:p w14:paraId="62529C3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shd w:val="clear" w:color="auto" w:fill="auto"/>
            <w:vAlign w:val="center"/>
          </w:tcPr>
          <w:p w14:paraId="62D45EF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1" w:type="pct"/>
            <w:shd w:val="clear" w:color="auto" w:fill="auto"/>
            <w:vAlign w:val="center"/>
          </w:tcPr>
          <w:p w14:paraId="429E8661">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3C61B15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w:t>
            </w:r>
          </w:p>
        </w:tc>
        <w:tc>
          <w:tcPr>
            <w:tcW w:w="598" w:type="pct"/>
            <w:vAlign w:val="center"/>
          </w:tcPr>
          <w:p w14:paraId="43A479A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9E3B5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302" w:type="pct"/>
            <w:vAlign w:val="center"/>
          </w:tcPr>
          <w:p w14:paraId="6766FCD6">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0075174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60FB3B0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1" w:type="pct"/>
            <w:vAlign w:val="center"/>
          </w:tcPr>
          <w:p w14:paraId="5D4C33AC">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1003" w:type="pct"/>
            <w:vAlign w:val="center"/>
          </w:tcPr>
          <w:p w14:paraId="6102391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7.6</w:t>
            </w:r>
          </w:p>
        </w:tc>
        <w:tc>
          <w:tcPr>
            <w:tcW w:w="598" w:type="pct"/>
            <w:vAlign w:val="center"/>
          </w:tcPr>
          <w:p w14:paraId="105F1FD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A5786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302" w:type="pct"/>
            <w:vAlign w:val="center"/>
          </w:tcPr>
          <w:p w14:paraId="6DDF58A8">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73A1953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2CE1A08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1" w:type="pct"/>
            <w:vAlign w:val="center"/>
          </w:tcPr>
          <w:p w14:paraId="0148F0FF">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1003" w:type="pct"/>
            <w:vAlign w:val="center"/>
          </w:tcPr>
          <w:p w14:paraId="2E0231F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7.6</w:t>
            </w:r>
          </w:p>
        </w:tc>
        <w:tc>
          <w:tcPr>
            <w:tcW w:w="598" w:type="pct"/>
            <w:vAlign w:val="center"/>
          </w:tcPr>
          <w:p w14:paraId="2AE7316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9133D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302" w:type="pct"/>
            <w:vAlign w:val="center"/>
          </w:tcPr>
          <w:p w14:paraId="400E1E02">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708F8DC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10D688A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1" w:type="pct"/>
            <w:vAlign w:val="center"/>
          </w:tcPr>
          <w:p w14:paraId="606BAAC4">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1003" w:type="pct"/>
            <w:vAlign w:val="center"/>
          </w:tcPr>
          <w:p w14:paraId="16FCC2D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4.7</w:t>
            </w:r>
          </w:p>
        </w:tc>
        <w:tc>
          <w:tcPr>
            <w:tcW w:w="598" w:type="pct"/>
            <w:vAlign w:val="center"/>
          </w:tcPr>
          <w:p w14:paraId="22C36C4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48D29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302" w:type="pct"/>
            <w:vAlign w:val="center"/>
          </w:tcPr>
          <w:p w14:paraId="2ABBD326">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42163C3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2405FB9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1" w:type="pct"/>
            <w:vAlign w:val="center"/>
          </w:tcPr>
          <w:p w14:paraId="6E9D37B9">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1003" w:type="pct"/>
            <w:vAlign w:val="center"/>
          </w:tcPr>
          <w:p w14:paraId="43B5B5E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4.7</w:t>
            </w:r>
          </w:p>
        </w:tc>
        <w:tc>
          <w:tcPr>
            <w:tcW w:w="598" w:type="pct"/>
            <w:vAlign w:val="center"/>
          </w:tcPr>
          <w:p w14:paraId="0E4DD55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12015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302" w:type="pct"/>
            <w:vAlign w:val="center"/>
          </w:tcPr>
          <w:p w14:paraId="43786AF2">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4395D60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6FD36FA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1" w:type="pct"/>
            <w:vAlign w:val="center"/>
          </w:tcPr>
          <w:p w14:paraId="2D13325C">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0EDEDBC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5.3</w:t>
            </w:r>
          </w:p>
        </w:tc>
        <w:tc>
          <w:tcPr>
            <w:tcW w:w="598" w:type="pct"/>
            <w:vAlign w:val="center"/>
          </w:tcPr>
          <w:p w14:paraId="7614558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419A9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302" w:type="pct"/>
            <w:vAlign w:val="center"/>
          </w:tcPr>
          <w:p w14:paraId="52C090A2">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2D90E23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12B8144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1" w:type="pct"/>
            <w:vAlign w:val="center"/>
          </w:tcPr>
          <w:p w14:paraId="5822239A">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7CD8E54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5.3</w:t>
            </w:r>
          </w:p>
        </w:tc>
        <w:tc>
          <w:tcPr>
            <w:tcW w:w="598" w:type="pct"/>
            <w:vAlign w:val="center"/>
          </w:tcPr>
          <w:p w14:paraId="567ED58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6891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302" w:type="pct"/>
            <w:vAlign w:val="center"/>
          </w:tcPr>
          <w:p w14:paraId="1ABD5FC7">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0B04C5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733" w:type="pct"/>
            <w:vAlign w:val="center"/>
          </w:tcPr>
          <w:p w14:paraId="44F4F72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1" w:type="pct"/>
            <w:vAlign w:val="center"/>
          </w:tcPr>
          <w:p w14:paraId="6E2D17B9">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5F627F3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c>
          <w:tcPr>
            <w:tcW w:w="598" w:type="pct"/>
            <w:vAlign w:val="center"/>
          </w:tcPr>
          <w:p w14:paraId="0558D5F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CA991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302" w:type="pct"/>
            <w:vAlign w:val="center"/>
          </w:tcPr>
          <w:p w14:paraId="5BBD9CB7">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77C74CF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733" w:type="pct"/>
            <w:vAlign w:val="center"/>
          </w:tcPr>
          <w:p w14:paraId="39288BE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1" w:type="pct"/>
            <w:vAlign w:val="center"/>
          </w:tcPr>
          <w:p w14:paraId="1651A7E0">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3015A61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c>
          <w:tcPr>
            <w:tcW w:w="598" w:type="pct"/>
            <w:vAlign w:val="center"/>
          </w:tcPr>
          <w:p w14:paraId="34F91F3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B24B3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302" w:type="pct"/>
            <w:vAlign w:val="center"/>
          </w:tcPr>
          <w:p w14:paraId="08473777">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6EE9F90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733" w:type="pct"/>
            <w:vAlign w:val="center"/>
          </w:tcPr>
          <w:p w14:paraId="5B3CCDD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1" w:type="pct"/>
            <w:vAlign w:val="center"/>
          </w:tcPr>
          <w:p w14:paraId="28DA3F5C">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3C0325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9.7</w:t>
            </w:r>
          </w:p>
        </w:tc>
        <w:tc>
          <w:tcPr>
            <w:tcW w:w="598" w:type="pct"/>
            <w:vAlign w:val="center"/>
          </w:tcPr>
          <w:p w14:paraId="30D51F4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9D0C9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302" w:type="pct"/>
            <w:vAlign w:val="center"/>
          </w:tcPr>
          <w:p w14:paraId="32EBAF5D">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4317DFE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733" w:type="pct"/>
            <w:vAlign w:val="center"/>
          </w:tcPr>
          <w:p w14:paraId="09E1D329">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1" w:type="pct"/>
            <w:vAlign w:val="center"/>
          </w:tcPr>
          <w:p w14:paraId="326543B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1003" w:type="pct"/>
            <w:vAlign w:val="center"/>
          </w:tcPr>
          <w:p w14:paraId="257066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26.2</w:t>
            </w:r>
          </w:p>
        </w:tc>
        <w:tc>
          <w:tcPr>
            <w:tcW w:w="598" w:type="pct"/>
            <w:vAlign w:val="center"/>
          </w:tcPr>
          <w:p w14:paraId="30E8E19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C62F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302" w:type="pct"/>
            <w:vAlign w:val="center"/>
          </w:tcPr>
          <w:p w14:paraId="1F9EBCA8">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6B64A1D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5785F01A">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1" w:type="pct"/>
            <w:vAlign w:val="center"/>
          </w:tcPr>
          <w:p w14:paraId="0997B0FF">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1003" w:type="pct"/>
            <w:vAlign w:val="center"/>
          </w:tcPr>
          <w:p w14:paraId="6CB843A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26</w:t>
            </w:r>
          </w:p>
        </w:tc>
        <w:tc>
          <w:tcPr>
            <w:tcW w:w="598" w:type="pct"/>
            <w:vAlign w:val="center"/>
          </w:tcPr>
          <w:p w14:paraId="22F2BF5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AD345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302" w:type="pct"/>
            <w:vAlign w:val="center"/>
          </w:tcPr>
          <w:p w14:paraId="69EFB788">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47626A0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733" w:type="pct"/>
            <w:vAlign w:val="center"/>
          </w:tcPr>
          <w:p w14:paraId="0E2FC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1" w:type="pct"/>
            <w:vAlign w:val="center"/>
          </w:tcPr>
          <w:p w14:paraId="637BA04A">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1003" w:type="pct"/>
            <w:vAlign w:val="center"/>
          </w:tcPr>
          <w:p w14:paraId="3EF50E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27.1</w:t>
            </w:r>
          </w:p>
        </w:tc>
        <w:tc>
          <w:tcPr>
            <w:tcW w:w="598" w:type="pct"/>
            <w:vAlign w:val="center"/>
          </w:tcPr>
          <w:p w14:paraId="0D34992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361E3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00" w:hRule="atLeast"/>
          <w:jc w:val="center"/>
        </w:trPr>
        <w:tc>
          <w:tcPr>
            <w:tcW w:w="302" w:type="pct"/>
            <w:vAlign w:val="center"/>
          </w:tcPr>
          <w:p w14:paraId="640975BC">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1C66973F">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733" w:type="pct"/>
            <w:vAlign w:val="center"/>
          </w:tcPr>
          <w:p w14:paraId="41A19399">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1" w:type="pct"/>
            <w:vAlign w:val="center"/>
          </w:tcPr>
          <w:p w14:paraId="16207620">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1003" w:type="pct"/>
            <w:vAlign w:val="center"/>
          </w:tcPr>
          <w:p w14:paraId="100C7A1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14.7</w:t>
            </w:r>
          </w:p>
        </w:tc>
        <w:tc>
          <w:tcPr>
            <w:tcW w:w="598" w:type="pct"/>
            <w:vAlign w:val="center"/>
          </w:tcPr>
          <w:p w14:paraId="38DB4FD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，该加油站的站内平面布置、汽（柴）油设备与站外建（构）筑物的安全间距以及站内设施之间的防火距离均符合相关要求</w:t>
      </w:r>
      <w:r>
        <w:rPr>
          <w:rFonts w:ascii="宋体" w:hAnsi="宋体"/>
          <w:color w:val="auto"/>
          <w:sz w:val="28"/>
          <w:szCs w:val="28"/>
        </w:rPr>
        <w:t>。</w:t>
      </w:r>
    </w:p>
    <w:p w14:paraId="0BC13880">
      <w:pPr>
        <w:pStyle w:val="3"/>
        <w:jc w:val="center"/>
        <w:rPr>
          <w:rFonts w:ascii="宋体" w:hAnsi="宋体"/>
          <w:color w:val="auto"/>
          <w:sz w:val="30"/>
          <w:szCs w:val="30"/>
        </w:rPr>
      </w:pPr>
      <w:bookmarkStart w:id="169" w:name="_Toc25228"/>
      <w:bookmarkStart w:id="170" w:name="_Toc31149"/>
      <w:bookmarkStart w:id="171" w:name="_Toc1359"/>
      <w:bookmarkStart w:id="172" w:name="_Toc92712593"/>
      <w:r>
        <w:rPr>
          <w:rFonts w:hint="eastAsia" w:ascii="宋体" w:hAnsi="宋体"/>
          <w:color w:val="auto"/>
          <w:sz w:val="30"/>
          <w:szCs w:val="30"/>
        </w:rPr>
        <w:t>5.6 工艺及设施符合性评价</w:t>
      </w:r>
      <w:bookmarkEnd w:id="169"/>
      <w:bookmarkEnd w:id="170"/>
      <w:bookmarkEnd w:id="171"/>
      <w:bookmarkEnd w:id="172"/>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4"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4"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4"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4"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4"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4"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ascii="宋体" w:hAnsi="宋体"/>
                <w:color w:val="auto"/>
              </w:rPr>
            </w:pPr>
            <w:r>
              <w:rPr>
                <w:rFonts w:hint="eastAsia" w:ascii="宋体" w:hAnsi="宋体"/>
                <w:color w:val="auto"/>
              </w:rPr>
              <w:t>已验收</w:t>
            </w:r>
          </w:p>
        </w:tc>
        <w:tc>
          <w:tcPr>
            <w:tcW w:w="364"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4"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4"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w:t>
            </w:r>
            <w:r>
              <w:rPr>
                <w:rFonts w:hint="eastAsia" w:ascii="宋体" w:hAnsi="宋体"/>
                <w:color w:val="auto"/>
                <w:lang w:val="en-US" w:eastAsia="zh-CN"/>
              </w:rPr>
              <w:t>非</w:t>
            </w:r>
            <w:r>
              <w:rPr>
                <w:rFonts w:ascii="宋体" w:hAnsi="宋体"/>
                <w:color w:val="auto"/>
              </w:rPr>
              <w:t>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5</w:t>
            </w:r>
            <w:r>
              <w:rPr>
                <w:rFonts w:ascii="宋体" w:hAnsi="宋体"/>
                <w:color w:val="auto"/>
              </w:rPr>
              <w:t>m</w:t>
            </w:r>
          </w:p>
        </w:tc>
        <w:tc>
          <w:tcPr>
            <w:tcW w:w="364"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4"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rPr>
            </w:pPr>
            <w:r>
              <w:rPr>
                <w:rFonts w:hint="eastAsia" w:ascii="宋体" w:hAnsi="宋体"/>
                <w:color w:val="auto"/>
              </w:rPr>
              <w:t>不涉及</w:t>
            </w:r>
          </w:p>
        </w:tc>
        <w:tc>
          <w:tcPr>
            <w:tcW w:w="364"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4"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spacing w:line="280" w:lineRule="exact"/>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4"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A19DBCA">
            <w:pPr>
              <w:numPr>
                <w:ilvl w:val="0"/>
                <w:numId w:val="8"/>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4"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4"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058BE4D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，高4m，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rPr>
            </w:pPr>
            <w:r>
              <w:rPr>
                <w:rFonts w:hint="eastAsia" w:ascii="宋体" w:hAnsi="宋体"/>
                <w:color w:val="auto"/>
              </w:rPr>
              <w:t>隐蔽工程。已验收</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rPr>
            </w:pPr>
            <w:r>
              <w:rPr>
                <w:rFonts w:hint="eastAsia" w:ascii="宋体" w:hAnsi="宋体"/>
                <w:color w:val="auto"/>
              </w:rPr>
              <w:t>防渗灌按要求设计</w:t>
            </w:r>
          </w:p>
        </w:tc>
        <w:tc>
          <w:tcPr>
            <w:tcW w:w="364" w:type="pct"/>
            <w:vAlign w:val="center"/>
          </w:tcPr>
          <w:p w14:paraId="7A4583A8">
            <w:pPr>
              <w:spacing w:line="280" w:lineRule="exact"/>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3" w:name="_Toc5653"/>
      <w:bookmarkStart w:id="174" w:name="_Toc92712594"/>
      <w:bookmarkStart w:id="175" w:name="_Toc4098"/>
      <w:bookmarkStart w:id="176" w:name="_Toc14562"/>
      <w:r>
        <w:rPr>
          <w:rFonts w:hint="eastAsia" w:ascii="宋体" w:hAnsi="宋体"/>
          <w:color w:val="auto"/>
          <w:sz w:val="30"/>
          <w:szCs w:val="30"/>
        </w:rPr>
        <w:t>5.7 消防设施及给排水符合性评价</w:t>
      </w:r>
      <w:bookmarkEnd w:id="173"/>
      <w:bookmarkEnd w:id="174"/>
      <w:bookmarkEnd w:id="175"/>
      <w:bookmarkEnd w:id="176"/>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ascii="宋体" w:hAnsi="宋体"/>
                <w:color w:val="auto"/>
              </w:rPr>
            </w:pPr>
            <w:r>
              <w:rPr>
                <w:rFonts w:hint="eastAsia" w:ascii="宋体" w:hAnsi="宋体" w:cs="Times New Roman"/>
                <w:color w:val="auto"/>
              </w:rPr>
              <w:t>加油区</w:t>
            </w:r>
            <w:r>
              <w:rPr>
                <w:rFonts w:hint="eastAsia" w:ascii="宋体" w:hAnsi="宋体" w:cs="Times New Roman"/>
                <w:color w:val="auto"/>
                <w:lang w:val="en-US" w:eastAsia="zh-CN"/>
              </w:rPr>
              <w:t>2</w:t>
            </w:r>
            <w:r>
              <w:rPr>
                <w:rFonts w:hint="eastAsia" w:ascii="宋体" w:hAnsi="宋体" w:cs="Times New Roman"/>
                <w:color w:val="auto"/>
              </w:rPr>
              <w:t>具MFZ/ABC5手提干粉灭火器、灭火毯</w:t>
            </w:r>
            <w:r>
              <w:rPr>
                <w:rFonts w:hint="eastAsia" w:ascii="宋体" w:hAnsi="宋体" w:cs="Times New Roman"/>
                <w:color w:val="auto"/>
                <w:lang w:val="en-US" w:eastAsia="zh-CN"/>
              </w:rPr>
              <w:t>2</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7" w:name="_Toc30243"/>
      <w:bookmarkStart w:id="178" w:name="_Toc92712595"/>
    </w:p>
    <w:p w14:paraId="3252F0C1">
      <w:pPr>
        <w:pStyle w:val="3"/>
        <w:jc w:val="center"/>
        <w:rPr>
          <w:rFonts w:ascii="宋体" w:hAnsi="宋体"/>
          <w:color w:val="auto"/>
          <w:sz w:val="30"/>
          <w:szCs w:val="30"/>
        </w:rPr>
      </w:pPr>
      <w:bookmarkStart w:id="179" w:name="_Toc14164"/>
      <w:bookmarkStart w:id="180" w:name="_Toc26838"/>
      <w:r>
        <w:rPr>
          <w:rFonts w:hint="eastAsia" w:ascii="宋体" w:hAnsi="宋体"/>
          <w:color w:val="auto"/>
          <w:sz w:val="30"/>
          <w:szCs w:val="30"/>
        </w:rPr>
        <w:t>5.8 电气、报警和紧急切断系统符合性评价</w:t>
      </w:r>
      <w:bookmarkEnd w:id="177"/>
      <w:bookmarkEnd w:id="178"/>
      <w:bookmarkEnd w:id="179"/>
      <w:bookmarkEnd w:id="180"/>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ascii="宋体" w:hAnsi="宋体"/>
                <w:color w:val="auto"/>
              </w:rPr>
            </w:pPr>
            <w:r>
              <w:rPr>
                <w:rFonts w:hint="eastAsia" w:ascii="宋体" w:hAnsi="宋体"/>
                <w:color w:val="auto"/>
              </w:rPr>
              <w:t>不涉及</w:t>
            </w:r>
          </w:p>
        </w:tc>
        <w:tc>
          <w:tcPr>
            <w:tcW w:w="396" w:type="pct"/>
            <w:vAlign w:val="center"/>
          </w:tcPr>
          <w:p w14:paraId="340B4670">
            <w:pPr>
              <w:spacing w:line="280" w:lineRule="exact"/>
              <w:jc w:val="center"/>
              <w:rPr>
                <w:rFonts w:ascii="宋体" w:hAnsi="宋体"/>
                <w:color w:val="auto"/>
              </w:rPr>
            </w:pPr>
            <w:r>
              <w:rPr>
                <w:rFonts w:hint="eastAsia" w:ascii="宋体" w:hAnsi="宋体"/>
                <w:color w:val="auto"/>
              </w:rPr>
              <w:t>-</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1" w:name="_Toc24383"/>
      <w:bookmarkStart w:id="182" w:name="_Toc30531"/>
      <w:bookmarkStart w:id="183" w:name="_Toc92712596"/>
      <w:bookmarkStart w:id="184" w:name="_Toc1576"/>
      <w:r>
        <w:rPr>
          <w:rFonts w:hint="eastAsia" w:ascii="宋体" w:hAnsi="宋体"/>
          <w:color w:val="auto"/>
          <w:sz w:val="30"/>
          <w:szCs w:val="30"/>
        </w:rPr>
        <w:t>5.9 采暖通风、建（构）筑物、绿化符合性评价</w:t>
      </w:r>
      <w:bookmarkEnd w:id="181"/>
      <w:bookmarkEnd w:id="182"/>
      <w:bookmarkEnd w:id="183"/>
      <w:bookmarkEnd w:id="184"/>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6</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lang w:val="en-US" w:eastAsia="zh-CN"/>
              </w:rPr>
              <w:t>2.5</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站房</w:t>
            </w:r>
            <w:r>
              <w:rPr>
                <w:rFonts w:hint="eastAsia" w:ascii="宋体" w:hAnsi="宋体"/>
                <w:color w:val="auto"/>
              </w:rPr>
              <w:t>不在作业区内</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5" w:name="_Toc13874"/>
      <w:bookmarkStart w:id="186" w:name="_Toc32029"/>
    </w:p>
    <w:p w14:paraId="74D9B514">
      <w:pPr>
        <w:pStyle w:val="3"/>
        <w:jc w:val="center"/>
        <w:rPr>
          <w:rFonts w:ascii="宋体" w:hAnsi="宋体"/>
          <w:color w:val="auto"/>
          <w:sz w:val="30"/>
          <w:szCs w:val="30"/>
        </w:rPr>
      </w:pPr>
      <w:bookmarkStart w:id="187" w:name="_Toc14183"/>
      <w:r>
        <w:rPr>
          <w:rFonts w:hint="eastAsia" w:ascii="宋体" w:hAnsi="宋体"/>
          <w:color w:val="auto"/>
          <w:sz w:val="30"/>
          <w:szCs w:val="30"/>
        </w:rPr>
        <w:t>5.10加油站作业安全规范评价</w:t>
      </w:r>
      <w:bookmarkEnd w:id="185"/>
      <w:bookmarkEnd w:id="186"/>
      <w:bookmarkEnd w:id="187"/>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32"/>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8" w:name="_Toc21030"/>
      <w:bookmarkStart w:id="189" w:name="_Toc23537"/>
      <w:bookmarkStart w:id="190" w:name="_Toc92712597"/>
      <w:bookmarkStart w:id="191" w:name="_Toc9462"/>
      <w:r>
        <w:rPr>
          <w:rFonts w:hint="eastAsia" w:ascii="宋体" w:hAnsi="宋体"/>
          <w:color w:val="auto"/>
          <w:sz w:val="30"/>
          <w:szCs w:val="30"/>
        </w:rPr>
        <w:t>5.11 重点监管的危险化学品安全措施落实情况</w:t>
      </w:r>
      <w:bookmarkEnd w:id="188"/>
      <w:bookmarkEnd w:id="189"/>
      <w:bookmarkEnd w:id="190"/>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rPr>
            </w:pPr>
            <w:r>
              <w:rPr>
                <w:rFonts w:hint="eastAsia" w:ascii="宋体" w:hAnsi="宋体"/>
                <w:b/>
                <w:color w:val="auto"/>
              </w:rPr>
              <w:t>序号</w:t>
            </w:r>
          </w:p>
        </w:tc>
        <w:tc>
          <w:tcPr>
            <w:tcW w:w="2898" w:type="pct"/>
            <w:vAlign w:val="center"/>
          </w:tcPr>
          <w:p w14:paraId="174F7B76">
            <w:pPr>
              <w:spacing w:line="260" w:lineRule="exact"/>
              <w:jc w:val="center"/>
              <w:rPr>
                <w:rFonts w:ascii="宋体" w:hAnsi="宋体"/>
                <w:b/>
                <w:color w:val="auto"/>
              </w:rPr>
            </w:pPr>
            <w:r>
              <w:rPr>
                <w:rFonts w:hint="eastAsia" w:ascii="宋体" w:hAnsi="宋体"/>
                <w:b/>
                <w:color w:val="auto"/>
              </w:rPr>
              <w:t>检查内容</w:t>
            </w:r>
          </w:p>
        </w:tc>
        <w:tc>
          <w:tcPr>
            <w:tcW w:w="1310" w:type="pct"/>
            <w:vAlign w:val="center"/>
          </w:tcPr>
          <w:p w14:paraId="2A8BCC42">
            <w:pPr>
              <w:spacing w:line="260" w:lineRule="exact"/>
              <w:jc w:val="center"/>
              <w:rPr>
                <w:rFonts w:ascii="宋体" w:hAnsi="宋体"/>
                <w:b/>
                <w:color w:val="auto"/>
              </w:rPr>
            </w:pPr>
            <w:r>
              <w:rPr>
                <w:rFonts w:hint="eastAsia" w:ascii="宋体" w:hAnsi="宋体"/>
                <w:b/>
                <w:color w:val="auto"/>
              </w:rPr>
              <w:t>检查记录</w:t>
            </w:r>
          </w:p>
        </w:tc>
        <w:tc>
          <w:tcPr>
            <w:tcW w:w="364" w:type="pct"/>
            <w:vAlign w:val="center"/>
          </w:tcPr>
          <w:p w14:paraId="54E0981C">
            <w:pPr>
              <w:spacing w:line="260" w:lineRule="exact"/>
              <w:jc w:val="center"/>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rPr>
            </w:pPr>
            <w:r>
              <w:rPr>
                <w:rFonts w:hint="eastAsia" w:ascii="宋体" w:hAnsi="宋体"/>
                <w:b/>
                <w:color w:val="auto"/>
              </w:rPr>
              <w:t>1</w:t>
            </w:r>
          </w:p>
        </w:tc>
        <w:tc>
          <w:tcPr>
            <w:tcW w:w="4573" w:type="pct"/>
            <w:gridSpan w:val="3"/>
            <w:vAlign w:val="center"/>
          </w:tcPr>
          <w:p w14:paraId="45ECEC12">
            <w:pPr>
              <w:spacing w:line="260" w:lineRule="exact"/>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rPr>
            </w:pPr>
            <w:r>
              <w:rPr>
                <w:rFonts w:hint="eastAsia" w:ascii="宋体" w:hAnsi="宋体"/>
                <w:color w:val="auto"/>
              </w:rPr>
              <w:t>1.1</w:t>
            </w:r>
          </w:p>
        </w:tc>
        <w:tc>
          <w:tcPr>
            <w:tcW w:w="4573" w:type="pct"/>
            <w:gridSpan w:val="3"/>
            <w:vAlign w:val="center"/>
          </w:tcPr>
          <w:p w14:paraId="0A56EE3F">
            <w:pPr>
              <w:spacing w:line="260" w:lineRule="exact"/>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rPr>
            </w:pPr>
            <w:r>
              <w:rPr>
                <w:rFonts w:hint="eastAsia" w:ascii="宋体" w:hAnsi="宋体"/>
                <w:color w:val="auto"/>
              </w:rPr>
              <w:t>1.1.1</w:t>
            </w:r>
          </w:p>
        </w:tc>
        <w:tc>
          <w:tcPr>
            <w:tcW w:w="2898" w:type="pct"/>
            <w:vAlign w:val="center"/>
          </w:tcPr>
          <w:p w14:paraId="67CA1BC2">
            <w:pPr>
              <w:spacing w:line="260" w:lineRule="exact"/>
              <w:rPr>
                <w:color w:val="auto"/>
              </w:rPr>
            </w:pPr>
            <w:r>
              <w:rPr>
                <w:color w:val="auto"/>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rPr>
            </w:pPr>
            <w:r>
              <w:rPr>
                <w:rFonts w:hint="eastAsia" w:ascii="宋体" w:hAnsi="宋体"/>
                <w:color w:val="auto"/>
              </w:rPr>
              <w:t>全员经过培训合格。</w:t>
            </w:r>
          </w:p>
        </w:tc>
        <w:tc>
          <w:tcPr>
            <w:tcW w:w="364" w:type="pct"/>
            <w:vAlign w:val="center"/>
          </w:tcPr>
          <w:p w14:paraId="45E430C8">
            <w:pPr>
              <w:spacing w:line="260" w:lineRule="exact"/>
              <w:jc w:val="center"/>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rPr>
            </w:pPr>
            <w:r>
              <w:rPr>
                <w:rFonts w:hint="eastAsia" w:ascii="宋体" w:hAnsi="宋体"/>
                <w:color w:val="auto"/>
              </w:rPr>
              <w:t>1.1.2</w:t>
            </w:r>
          </w:p>
        </w:tc>
        <w:tc>
          <w:tcPr>
            <w:tcW w:w="2898" w:type="pct"/>
            <w:vAlign w:val="center"/>
          </w:tcPr>
          <w:p w14:paraId="1A84DF42">
            <w:pPr>
              <w:spacing w:line="260" w:lineRule="exact"/>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spacing w:line="260" w:lineRule="exact"/>
              <w:jc w:val="center"/>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rPr>
            </w:pPr>
            <w:r>
              <w:rPr>
                <w:rFonts w:hint="eastAsia" w:ascii="宋体" w:hAnsi="宋体"/>
                <w:color w:val="auto"/>
              </w:rPr>
              <w:t>1.1.3</w:t>
            </w:r>
          </w:p>
        </w:tc>
        <w:tc>
          <w:tcPr>
            <w:tcW w:w="2898" w:type="pct"/>
            <w:vAlign w:val="center"/>
          </w:tcPr>
          <w:p w14:paraId="4D08B907">
            <w:pPr>
              <w:spacing w:line="260" w:lineRule="exact"/>
              <w:rPr>
                <w:color w:val="auto"/>
              </w:rPr>
            </w:pPr>
            <w:r>
              <w:rPr>
                <w:color w:val="auto"/>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spacing w:line="260" w:lineRule="exact"/>
              <w:jc w:val="center"/>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rPr>
            </w:pPr>
            <w:r>
              <w:rPr>
                <w:rFonts w:hint="eastAsia" w:ascii="宋体" w:hAnsi="宋体"/>
                <w:color w:val="auto"/>
              </w:rPr>
              <w:t>1.1.4</w:t>
            </w:r>
          </w:p>
        </w:tc>
        <w:tc>
          <w:tcPr>
            <w:tcW w:w="2898" w:type="pct"/>
            <w:vAlign w:val="center"/>
          </w:tcPr>
          <w:p w14:paraId="1883CBA6">
            <w:pPr>
              <w:spacing w:line="260" w:lineRule="exact"/>
              <w:rPr>
                <w:color w:val="auto"/>
              </w:rPr>
            </w:pPr>
            <w:r>
              <w:rPr>
                <w:color w:val="auto"/>
              </w:rPr>
              <w:t>避免与氧化剂接触。</w:t>
            </w:r>
          </w:p>
        </w:tc>
        <w:tc>
          <w:tcPr>
            <w:tcW w:w="1310" w:type="pct"/>
            <w:vAlign w:val="center"/>
          </w:tcPr>
          <w:p w14:paraId="5A1B333E">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E7F7B91">
            <w:pPr>
              <w:spacing w:line="260" w:lineRule="exact"/>
              <w:jc w:val="center"/>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rPr>
            </w:pPr>
            <w:r>
              <w:rPr>
                <w:rFonts w:hint="eastAsia" w:ascii="宋体" w:hAnsi="宋体"/>
                <w:color w:val="auto"/>
              </w:rPr>
              <w:t>1.1.5</w:t>
            </w:r>
          </w:p>
        </w:tc>
        <w:tc>
          <w:tcPr>
            <w:tcW w:w="2898" w:type="pct"/>
            <w:vAlign w:val="center"/>
          </w:tcPr>
          <w:p w14:paraId="7754FCEE">
            <w:pPr>
              <w:spacing w:line="260" w:lineRule="exact"/>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spacing w:line="260" w:lineRule="exact"/>
              <w:jc w:val="center"/>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rPr>
            </w:pPr>
            <w:r>
              <w:rPr>
                <w:rFonts w:hint="eastAsia" w:ascii="宋体" w:hAnsi="宋体"/>
                <w:color w:val="auto"/>
              </w:rPr>
              <w:t>1.2</w:t>
            </w:r>
          </w:p>
        </w:tc>
        <w:tc>
          <w:tcPr>
            <w:tcW w:w="4573" w:type="pct"/>
            <w:gridSpan w:val="3"/>
            <w:vAlign w:val="center"/>
          </w:tcPr>
          <w:p w14:paraId="5C1CF958">
            <w:pPr>
              <w:spacing w:line="260" w:lineRule="exact"/>
              <w:rPr>
                <w:color w:val="auto"/>
              </w:rPr>
            </w:pPr>
            <w:r>
              <w:rPr>
                <w:color w:val="auto"/>
              </w:rPr>
              <w:t>【特殊要求】</w:t>
            </w:r>
          </w:p>
          <w:p w14:paraId="01545F0A">
            <w:pPr>
              <w:spacing w:line="260" w:lineRule="exact"/>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rPr>
            </w:pPr>
            <w:r>
              <w:rPr>
                <w:rFonts w:hint="eastAsia" w:ascii="宋体" w:hAnsi="宋体"/>
                <w:color w:val="auto"/>
              </w:rPr>
              <w:t>1.3</w:t>
            </w:r>
          </w:p>
        </w:tc>
        <w:tc>
          <w:tcPr>
            <w:tcW w:w="4573" w:type="pct"/>
            <w:gridSpan w:val="3"/>
            <w:vAlign w:val="center"/>
          </w:tcPr>
          <w:p w14:paraId="1763835D">
            <w:pPr>
              <w:spacing w:line="260" w:lineRule="exact"/>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rPr>
            </w:pPr>
            <w:r>
              <w:rPr>
                <w:rFonts w:hint="eastAsia" w:ascii="宋体" w:hAnsi="宋体"/>
                <w:color w:val="auto"/>
              </w:rPr>
              <w:t>1.3.1</w:t>
            </w:r>
          </w:p>
        </w:tc>
        <w:tc>
          <w:tcPr>
            <w:tcW w:w="2898" w:type="pct"/>
            <w:vAlign w:val="center"/>
          </w:tcPr>
          <w:p w14:paraId="1A602362">
            <w:pPr>
              <w:spacing w:line="260" w:lineRule="exact"/>
              <w:rPr>
                <w:color w:val="auto"/>
              </w:rPr>
            </w:pPr>
            <w:r>
              <w:rPr>
                <w:color w:val="auto"/>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rPr>
            </w:pPr>
            <w:r>
              <w:rPr>
                <w:rFonts w:hint="eastAsia" w:ascii="宋体" w:hAnsi="宋体"/>
                <w:color w:val="auto"/>
              </w:rPr>
              <w:t>埋地油罐。</w:t>
            </w:r>
          </w:p>
        </w:tc>
        <w:tc>
          <w:tcPr>
            <w:tcW w:w="364" w:type="pct"/>
            <w:vAlign w:val="center"/>
          </w:tcPr>
          <w:p w14:paraId="039C337F">
            <w:pPr>
              <w:spacing w:line="260" w:lineRule="exact"/>
              <w:jc w:val="center"/>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rPr>
            </w:pPr>
            <w:r>
              <w:rPr>
                <w:rFonts w:hint="eastAsia" w:ascii="宋体" w:hAnsi="宋体"/>
                <w:color w:val="auto"/>
              </w:rPr>
              <w:t>1.3.2</w:t>
            </w:r>
          </w:p>
        </w:tc>
        <w:tc>
          <w:tcPr>
            <w:tcW w:w="2898" w:type="pct"/>
            <w:vAlign w:val="center"/>
          </w:tcPr>
          <w:p w14:paraId="521DA4C6">
            <w:pPr>
              <w:spacing w:line="260" w:lineRule="exact"/>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spacing w:line="260" w:lineRule="exact"/>
              <w:jc w:val="center"/>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rPr>
            </w:pPr>
            <w:r>
              <w:rPr>
                <w:rFonts w:hint="eastAsia" w:ascii="宋体" w:hAnsi="宋体"/>
                <w:color w:val="auto"/>
              </w:rPr>
              <w:t>1.3.3</w:t>
            </w:r>
          </w:p>
        </w:tc>
        <w:tc>
          <w:tcPr>
            <w:tcW w:w="2898" w:type="pct"/>
            <w:vAlign w:val="center"/>
          </w:tcPr>
          <w:p w14:paraId="019CFD29">
            <w:pPr>
              <w:spacing w:line="260" w:lineRule="exact"/>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spacing w:line="260" w:lineRule="exact"/>
              <w:jc w:val="center"/>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rPr>
            </w:pPr>
            <w:r>
              <w:rPr>
                <w:rFonts w:hint="eastAsia" w:ascii="宋体" w:hAnsi="宋体"/>
                <w:color w:val="auto"/>
              </w:rPr>
              <w:t>1.3.4</w:t>
            </w:r>
          </w:p>
        </w:tc>
        <w:tc>
          <w:tcPr>
            <w:tcW w:w="2898" w:type="pct"/>
            <w:vAlign w:val="center"/>
          </w:tcPr>
          <w:p w14:paraId="3F146132">
            <w:pPr>
              <w:spacing w:line="260" w:lineRule="exact"/>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rPr>
            </w:pPr>
            <w:r>
              <w:rPr>
                <w:rFonts w:hint="eastAsia" w:ascii="宋体" w:hAnsi="宋体"/>
                <w:color w:val="auto"/>
              </w:rPr>
              <w:t>加油站上空无电线通过。</w:t>
            </w:r>
          </w:p>
        </w:tc>
        <w:tc>
          <w:tcPr>
            <w:tcW w:w="364" w:type="pct"/>
            <w:vAlign w:val="center"/>
          </w:tcPr>
          <w:p w14:paraId="6A0D7D4B">
            <w:pPr>
              <w:spacing w:line="260" w:lineRule="exact"/>
              <w:jc w:val="center"/>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rPr>
            </w:pPr>
            <w:r>
              <w:rPr>
                <w:rFonts w:hint="eastAsia" w:ascii="宋体" w:hAnsi="宋体"/>
                <w:color w:val="auto"/>
              </w:rPr>
              <w:t>1.3.5</w:t>
            </w:r>
          </w:p>
        </w:tc>
        <w:tc>
          <w:tcPr>
            <w:tcW w:w="2898" w:type="pct"/>
            <w:vAlign w:val="center"/>
          </w:tcPr>
          <w:p w14:paraId="5C1E85B6">
            <w:pPr>
              <w:spacing w:line="260" w:lineRule="exact"/>
              <w:rPr>
                <w:color w:val="auto"/>
              </w:rPr>
            </w:pPr>
            <w:r>
              <w:rPr>
                <w:color w:val="auto"/>
              </w:rPr>
              <w:t>（5）注意仓库及操作场所的通风，使油蒸气容易逸散。</w:t>
            </w:r>
          </w:p>
        </w:tc>
        <w:tc>
          <w:tcPr>
            <w:tcW w:w="1310" w:type="pct"/>
            <w:vAlign w:val="center"/>
          </w:tcPr>
          <w:p w14:paraId="734A0A1F">
            <w:pPr>
              <w:spacing w:line="260" w:lineRule="exact"/>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6</w:t>
            </w:r>
            <w:r>
              <w:rPr>
                <w:rFonts w:hint="eastAsia" w:ascii="宋体" w:hAnsi="宋体"/>
                <w:color w:val="auto"/>
              </w:rPr>
              <w:t>米。</w:t>
            </w:r>
          </w:p>
        </w:tc>
        <w:tc>
          <w:tcPr>
            <w:tcW w:w="364" w:type="pct"/>
            <w:vAlign w:val="center"/>
          </w:tcPr>
          <w:p w14:paraId="34E18217">
            <w:pPr>
              <w:spacing w:line="260" w:lineRule="exact"/>
              <w:jc w:val="center"/>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rPr>
            </w:pPr>
            <w:r>
              <w:rPr>
                <w:rFonts w:hint="eastAsia" w:ascii="宋体" w:hAnsi="宋体"/>
                <w:color w:val="auto"/>
              </w:rPr>
              <w:t>1.4</w:t>
            </w:r>
          </w:p>
        </w:tc>
        <w:tc>
          <w:tcPr>
            <w:tcW w:w="4573" w:type="pct"/>
            <w:gridSpan w:val="3"/>
            <w:vAlign w:val="center"/>
          </w:tcPr>
          <w:p w14:paraId="376F185B">
            <w:pPr>
              <w:spacing w:line="260" w:lineRule="exact"/>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ascii="宋体" w:hAnsi="宋体"/>
                <w:color w:val="auto"/>
              </w:rPr>
            </w:pPr>
          </w:p>
        </w:tc>
        <w:tc>
          <w:tcPr>
            <w:tcW w:w="2898" w:type="pct"/>
            <w:vAlign w:val="center"/>
          </w:tcPr>
          <w:p w14:paraId="0A8F86F3">
            <w:pPr>
              <w:spacing w:line="260" w:lineRule="exact"/>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spacing w:line="260" w:lineRule="exact"/>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spacing w:line="260" w:lineRule="exact"/>
              <w:jc w:val="center"/>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ascii="宋体" w:hAnsi="宋体"/>
                <w:color w:val="auto"/>
              </w:rPr>
            </w:pPr>
          </w:p>
        </w:tc>
        <w:tc>
          <w:tcPr>
            <w:tcW w:w="2898" w:type="pct"/>
            <w:vAlign w:val="center"/>
          </w:tcPr>
          <w:p w14:paraId="667106F2">
            <w:pPr>
              <w:spacing w:line="260" w:lineRule="exact"/>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3C44B64">
            <w:pPr>
              <w:spacing w:line="260" w:lineRule="exact"/>
              <w:jc w:val="center"/>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ascii="宋体" w:hAnsi="宋体"/>
                <w:color w:val="auto"/>
              </w:rPr>
            </w:pPr>
          </w:p>
        </w:tc>
        <w:tc>
          <w:tcPr>
            <w:tcW w:w="2898" w:type="pct"/>
            <w:tcBorders>
              <w:right w:val="single" w:color="auto" w:sz="4" w:space="0"/>
            </w:tcBorders>
            <w:vAlign w:val="center"/>
          </w:tcPr>
          <w:p w14:paraId="47DF0906">
            <w:pPr>
              <w:spacing w:line="260" w:lineRule="exact"/>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spacing w:line="260" w:lineRule="exact"/>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rPr>
            </w:pPr>
            <w:r>
              <w:rPr>
                <w:rFonts w:hint="eastAsia"/>
                <w:b/>
                <w:color w:val="auto"/>
              </w:rPr>
              <w:t>2</w:t>
            </w:r>
          </w:p>
        </w:tc>
        <w:tc>
          <w:tcPr>
            <w:tcW w:w="4573" w:type="pct"/>
            <w:gridSpan w:val="3"/>
            <w:vAlign w:val="center"/>
          </w:tcPr>
          <w:p w14:paraId="1D1B9FB8">
            <w:pPr>
              <w:spacing w:line="260" w:lineRule="exact"/>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rPr>
            </w:pPr>
            <w:r>
              <w:rPr>
                <w:rFonts w:hint="eastAsia"/>
                <w:color w:val="auto"/>
              </w:rPr>
              <w:t>2.1</w:t>
            </w:r>
          </w:p>
        </w:tc>
        <w:tc>
          <w:tcPr>
            <w:tcW w:w="4573" w:type="pct"/>
            <w:gridSpan w:val="3"/>
            <w:vAlign w:val="center"/>
          </w:tcPr>
          <w:p w14:paraId="6E7A214F">
            <w:pPr>
              <w:spacing w:line="260" w:lineRule="exact"/>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rPr>
            </w:pPr>
            <w:r>
              <w:rPr>
                <w:rFonts w:hint="eastAsia"/>
                <w:color w:val="auto"/>
              </w:rPr>
              <w:t>2.1.1</w:t>
            </w:r>
          </w:p>
        </w:tc>
        <w:tc>
          <w:tcPr>
            <w:tcW w:w="2898" w:type="pct"/>
            <w:vAlign w:val="center"/>
          </w:tcPr>
          <w:p w14:paraId="1B11FB95">
            <w:pPr>
              <w:spacing w:line="260" w:lineRule="exact"/>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spacing w:line="260" w:lineRule="exact"/>
              <w:jc w:val="center"/>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rPr>
            </w:pPr>
            <w:r>
              <w:rPr>
                <w:rFonts w:hint="eastAsia"/>
                <w:color w:val="auto"/>
              </w:rPr>
              <w:t>2.1.2</w:t>
            </w:r>
          </w:p>
        </w:tc>
        <w:tc>
          <w:tcPr>
            <w:tcW w:w="2898" w:type="pct"/>
            <w:vAlign w:val="center"/>
          </w:tcPr>
          <w:p w14:paraId="763D633F">
            <w:pPr>
              <w:spacing w:line="260" w:lineRule="exact"/>
              <w:rPr>
                <w:color w:val="auto"/>
              </w:rPr>
            </w:pPr>
            <w:r>
              <w:rPr>
                <w:color w:val="auto"/>
              </w:rPr>
              <w:t>食入：给饮牛奶或用植物油洗胃和灌肠。就医。</w:t>
            </w:r>
          </w:p>
        </w:tc>
        <w:tc>
          <w:tcPr>
            <w:tcW w:w="1310" w:type="pct"/>
            <w:vMerge w:val="continue"/>
            <w:vAlign w:val="center"/>
          </w:tcPr>
          <w:p w14:paraId="160CD082">
            <w:pPr>
              <w:spacing w:line="260" w:lineRule="exact"/>
              <w:rPr>
                <w:rFonts w:ascii="宋体" w:hAnsi="宋体"/>
                <w:color w:val="auto"/>
              </w:rPr>
            </w:pPr>
          </w:p>
        </w:tc>
        <w:tc>
          <w:tcPr>
            <w:tcW w:w="364" w:type="pct"/>
            <w:vAlign w:val="center"/>
          </w:tcPr>
          <w:p w14:paraId="752F473F">
            <w:pPr>
              <w:spacing w:line="260" w:lineRule="exact"/>
              <w:jc w:val="center"/>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rPr>
            </w:pPr>
            <w:r>
              <w:rPr>
                <w:rFonts w:hint="eastAsia"/>
                <w:color w:val="auto"/>
              </w:rPr>
              <w:t>2.1.3</w:t>
            </w:r>
          </w:p>
        </w:tc>
        <w:tc>
          <w:tcPr>
            <w:tcW w:w="2898" w:type="pct"/>
            <w:vAlign w:val="center"/>
          </w:tcPr>
          <w:p w14:paraId="031FC7C5">
            <w:pPr>
              <w:spacing w:line="260" w:lineRule="exact"/>
              <w:rPr>
                <w:color w:val="auto"/>
              </w:rPr>
            </w:pPr>
            <w:r>
              <w:rPr>
                <w:color w:val="auto"/>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rPr>
            </w:pPr>
          </w:p>
        </w:tc>
        <w:tc>
          <w:tcPr>
            <w:tcW w:w="364" w:type="pct"/>
            <w:vAlign w:val="center"/>
          </w:tcPr>
          <w:p w14:paraId="7805B4FC">
            <w:pPr>
              <w:spacing w:line="260" w:lineRule="exact"/>
              <w:jc w:val="center"/>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rPr>
            </w:pPr>
            <w:r>
              <w:rPr>
                <w:rFonts w:hint="eastAsia"/>
                <w:color w:val="auto"/>
              </w:rPr>
              <w:t>2.1.4</w:t>
            </w:r>
          </w:p>
        </w:tc>
        <w:tc>
          <w:tcPr>
            <w:tcW w:w="2898" w:type="pct"/>
            <w:vAlign w:val="center"/>
          </w:tcPr>
          <w:p w14:paraId="28F4B5EA">
            <w:pPr>
              <w:spacing w:line="260" w:lineRule="exact"/>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spacing w:line="260" w:lineRule="exact"/>
              <w:rPr>
                <w:rFonts w:ascii="宋体" w:hAnsi="宋体"/>
                <w:color w:val="auto"/>
              </w:rPr>
            </w:pPr>
          </w:p>
        </w:tc>
        <w:tc>
          <w:tcPr>
            <w:tcW w:w="364" w:type="pct"/>
            <w:vAlign w:val="center"/>
          </w:tcPr>
          <w:p w14:paraId="0C3951EC">
            <w:pPr>
              <w:spacing w:line="260" w:lineRule="exact"/>
              <w:jc w:val="center"/>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rPr>
            </w:pPr>
            <w:r>
              <w:rPr>
                <w:rFonts w:hint="eastAsia"/>
                <w:color w:val="auto"/>
              </w:rPr>
              <w:t>2.2</w:t>
            </w:r>
          </w:p>
        </w:tc>
        <w:tc>
          <w:tcPr>
            <w:tcW w:w="4573" w:type="pct"/>
            <w:gridSpan w:val="3"/>
            <w:vAlign w:val="center"/>
          </w:tcPr>
          <w:p w14:paraId="1551834E">
            <w:pPr>
              <w:spacing w:line="260" w:lineRule="exact"/>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rPr>
            </w:pPr>
            <w:r>
              <w:rPr>
                <w:rFonts w:hint="eastAsia"/>
                <w:color w:val="auto"/>
              </w:rPr>
              <w:t>2.2.1</w:t>
            </w:r>
          </w:p>
        </w:tc>
        <w:tc>
          <w:tcPr>
            <w:tcW w:w="2898" w:type="pct"/>
            <w:vAlign w:val="center"/>
          </w:tcPr>
          <w:p w14:paraId="79814F68">
            <w:pPr>
              <w:spacing w:line="260" w:lineRule="exact"/>
              <w:rPr>
                <w:color w:val="auto"/>
              </w:rPr>
            </w:pPr>
            <w:r>
              <w:rPr>
                <w:color w:val="auto"/>
              </w:rPr>
              <w:t>喷水冷却容器，尽可能将容器从火场移至空旷处。</w:t>
            </w:r>
          </w:p>
        </w:tc>
        <w:tc>
          <w:tcPr>
            <w:tcW w:w="1310" w:type="pct"/>
            <w:vAlign w:val="center"/>
          </w:tcPr>
          <w:p w14:paraId="2D3F5F46">
            <w:pPr>
              <w:spacing w:line="260" w:lineRule="exact"/>
              <w:rPr>
                <w:rFonts w:ascii="宋体" w:hAnsi="宋体"/>
                <w:color w:val="auto"/>
              </w:rPr>
            </w:pPr>
            <w:r>
              <w:rPr>
                <w:rFonts w:hint="eastAsia" w:ascii="宋体" w:hAnsi="宋体"/>
                <w:color w:val="auto"/>
              </w:rPr>
              <w:t>埋地油罐</w:t>
            </w:r>
          </w:p>
        </w:tc>
        <w:tc>
          <w:tcPr>
            <w:tcW w:w="364" w:type="pct"/>
            <w:vAlign w:val="center"/>
          </w:tcPr>
          <w:p w14:paraId="642D0B4F">
            <w:pPr>
              <w:spacing w:line="260" w:lineRule="exact"/>
              <w:jc w:val="center"/>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rPr>
            </w:pPr>
            <w:r>
              <w:rPr>
                <w:rFonts w:hint="eastAsia"/>
                <w:color w:val="auto"/>
              </w:rPr>
              <w:t>2.2.2</w:t>
            </w:r>
          </w:p>
        </w:tc>
        <w:tc>
          <w:tcPr>
            <w:tcW w:w="2898" w:type="pct"/>
            <w:vAlign w:val="center"/>
          </w:tcPr>
          <w:p w14:paraId="2E37A49C">
            <w:pPr>
              <w:spacing w:line="260" w:lineRule="exact"/>
              <w:rPr>
                <w:color w:val="auto"/>
              </w:rPr>
            </w:pPr>
            <w:r>
              <w:rPr>
                <w:color w:val="auto"/>
              </w:rPr>
              <w:t>灭火剂：泡沫、干粉、二氧化碳。用水灭火无效。</w:t>
            </w:r>
          </w:p>
        </w:tc>
        <w:tc>
          <w:tcPr>
            <w:tcW w:w="1310" w:type="pct"/>
            <w:vAlign w:val="center"/>
          </w:tcPr>
          <w:p w14:paraId="37996FF3">
            <w:pPr>
              <w:spacing w:line="260" w:lineRule="exact"/>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spacing w:line="260" w:lineRule="exact"/>
              <w:jc w:val="center"/>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rPr>
            </w:pPr>
            <w:r>
              <w:rPr>
                <w:rFonts w:hint="eastAsia"/>
                <w:color w:val="auto"/>
              </w:rPr>
              <w:t>2.3</w:t>
            </w:r>
          </w:p>
        </w:tc>
        <w:tc>
          <w:tcPr>
            <w:tcW w:w="4573" w:type="pct"/>
            <w:gridSpan w:val="3"/>
            <w:vAlign w:val="center"/>
          </w:tcPr>
          <w:p w14:paraId="5DC16B38">
            <w:pPr>
              <w:spacing w:line="260" w:lineRule="exact"/>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rPr>
            </w:pPr>
            <w:r>
              <w:rPr>
                <w:rFonts w:hint="eastAsia"/>
                <w:color w:val="auto"/>
              </w:rPr>
              <w:t>2.3.1</w:t>
            </w:r>
          </w:p>
        </w:tc>
        <w:tc>
          <w:tcPr>
            <w:tcW w:w="2898" w:type="pct"/>
            <w:vAlign w:val="center"/>
          </w:tcPr>
          <w:p w14:paraId="5397F3E0">
            <w:pPr>
              <w:spacing w:line="260" w:lineRule="exact"/>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rPr>
            </w:pPr>
            <w:r>
              <w:rPr>
                <w:rFonts w:hint="eastAsia" w:ascii="宋体" w:hAnsi="宋体"/>
                <w:color w:val="auto"/>
              </w:rPr>
              <w:t>制定了禁烟、禁火制度并有效实施。</w:t>
            </w:r>
          </w:p>
          <w:p w14:paraId="6281483F">
            <w:pPr>
              <w:spacing w:line="260" w:lineRule="exact"/>
              <w:rPr>
                <w:rFonts w:ascii="宋体" w:hAnsi="宋体"/>
                <w:color w:val="auto"/>
              </w:rPr>
            </w:pPr>
            <w:r>
              <w:rPr>
                <w:rFonts w:hint="eastAsia" w:ascii="宋体" w:hAnsi="宋体"/>
                <w:color w:val="auto"/>
              </w:rPr>
              <w:t>卸油、加油设备均配备了防拉脱设施。</w:t>
            </w:r>
          </w:p>
          <w:p w14:paraId="0EE133CD">
            <w:pPr>
              <w:spacing w:line="260" w:lineRule="exact"/>
              <w:rPr>
                <w:rFonts w:ascii="宋体" w:hAnsi="宋体"/>
                <w:color w:val="auto"/>
              </w:rPr>
            </w:pPr>
            <w:r>
              <w:rPr>
                <w:rFonts w:hint="eastAsia" w:ascii="宋体" w:hAnsi="宋体"/>
                <w:color w:val="auto"/>
              </w:rPr>
              <w:t>设置了消防器材柜。</w:t>
            </w:r>
          </w:p>
          <w:p w14:paraId="137F5AAE">
            <w:pPr>
              <w:spacing w:line="260" w:lineRule="exact"/>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spacing w:line="260" w:lineRule="exact"/>
              <w:jc w:val="center"/>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rPr>
            </w:pPr>
            <w:r>
              <w:rPr>
                <w:rFonts w:hint="eastAsia"/>
                <w:color w:val="auto"/>
              </w:rPr>
              <w:t>2.3.2</w:t>
            </w:r>
          </w:p>
        </w:tc>
        <w:tc>
          <w:tcPr>
            <w:tcW w:w="2898" w:type="pct"/>
            <w:vAlign w:val="center"/>
          </w:tcPr>
          <w:p w14:paraId="53C5E142">
            <w:pPr>
              <w:spacing w:line="260" w:lineRule="exact"/>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spacing w:line="260" w:lineRule="exact"/>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rPr>
            </w:pPr>
            <w:r>
              <w:rPr>
                <w:rFonts w:hint="eastAsia"/>
                <w:color w:val="auto"/>
              </w:rPr>
              <w:t>2.3.3</w:t>
            </w:r>
          </w:p>
        </w:tc>
        <w:tc>
          <w:tcPr>
            <w:tcW w:w="2898" w:type="pct"/>
            <w:vAlign w:val="center"/>
          </w:tcPr>
          <w:p w14:paraId="475FB6A7">
            <w:pPr>
              <w:spacing w:line="260" w:lineRule="exact"/>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rPr>
            </w:pPr>
            <w:r>
              <w:rPr>
                <w:rFonts w:hint="eastAsia" w:ascii="宋体" w:hAnsi="宋体"/>
                <w:color w:val="auto"/>
              </w:rPr>
              <w:t>SF双层储罐</w:t>
            </w:r>
          </w:p>
        </w:tc>
        <w:tc>
          <w:tcPr>
            <w:tcW w:w="364" w:type="pct"/>
            <w:vAlign w:val="center"/>
          </w:tcPr>
          <w:p w14:paraId="55DFAD7A">
            <w:pPr>
              <w:spacing w:line="260" w:lineRule="exact"/>
              <w:jc w:val="center"/>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rPr>
            </w:pPr>
            <w:r>
              <w:rPr>
                <w:rFonts w:hint="eastAsia"/>
                <w:color w:val="auto"/>
              </w:rPr>
              <w:t>2.3.4</w:t>
            </w:r>
          </w:p>
        </w:tc>
        <w:tc>
          <w:tcPr>
            <w:tcW w:w="2898" w:type="pct"/>
            <w:vAlign w:val="center"/>
          </w:tcPr>
          <w:p w14:paraId="1ADA9638">
            <w:pPr>
              <w:spacing w:line="260" w:lineRule="exact"/>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spacing w:line="260" w:lineRule="exact"/>
              <w:jc w:val="center"/>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2" w:name="_Toc8050"/>
      <w:bookmarkStart w:id="193" w:name="_Toc92712598"/>
      <w:bookmarkStart w:id="194" w:name="_Toc8063"/>
      <w:r>
        <w:rPr>
          <w:rFonts w:hint="eastAsia" w:ascii="宋体" w:hAnsi="宋体"/>
          <w:color w:val="auto"/>
          <w:sz w:val="30"/>
          <w:szCs w:val="30"/>
        </w:rPr>
        <w:t>5.12 重大事故隐患情况分析</w:t>
      </w:r>
      <w:bookmarkEnd w:id="191"/>
      <w:bookmarkEnd w:id="192"/>
      <w:bookmarkEnd w:id="193"/>
      <w:bookmarkEnd w:id="194"/>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5" w:name="_Toc92712599"/>
      <w:bookmarkStart w:id="196" w:name="_Toc14134"/>
      <w:bookmarkStart w:id="197" w:name="_Toc32166"/>
      <w:bookmarkStart w:id="198" w:name="_Toc2407"/>
      <w:r>
        <w:rPr>
          <w:rFonts w:hint="eastAsia" w:ascii="宋体" w:hAnsi="宋体"/>
          <w:color w:val="auto"/>
          <w:sz w:val="30"/>
          <w:szCs w:val="30"/>
        </w:rPr>
        <w:t>5.13 安全分类整治评价</w:t>
      </w:r>
      <w:bookmarkEnd w:id="195"/>
      <w:bookmarkEnd w:id="196"/>
      <w:bookmarkEnd w:id="197"/>
      <w:bookmarkEnd w:id="198"/>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9" w:name="_Toc92712600"/>
      <w:bookmarkStart w:id="200" w:name="_Toc25641"/>
      <w:bookmarkStart w:id="201" w:name="_Toc12089"/>
    </w:p>
    <w:p w14:paraId="5392B596">
      <w:pPr>
        <w:pStyle w:val="3"/>
        <w:spacing w:line="560" w:lineRule="exact"/>
        <w:jc w:val="center"/>
        <w:rPr>
          <w:rFonts w:ascii="宋体" w:hAnsi="宋体"/>
          <w:color w:val="auto"/>
          <w:sz w:val="30"/>
          <w:szCs w:val="30"/>
        </w:rPr>
      </w:pPr>
      <w:bookmarkStart w:id="202" w:name="_Toc5807"/>
      <w:r>
        <w:rPr>
          <w:rFonts w:hint="eastAsia" w:ascii="宋体" w:hAnsi="宋体"/>
          <w:color w:val="auto"/>
          <w:sz w:val="30"/>
          <w:szCs w:val="30"/>
        </w:rPr>
        <w:t>5.14 安全经营条件评价</w:t>
      </w:r>
      <w:bookmarkEnd w:id="199"/>
      <w:bookmarkEnd w:id="200"/>
      <w:bookmarkEnd w:id="201"/>
      <w:bookmarkEnd w:id="202"/>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3" w:name="_Toc2897"/>
      <w:bookmarkStart w:id="204" w:name="_Toc15085"/>
      <w:r>
        <w:rPr>
          <w:rFonts w:hint="eastAsia" w:ascii="宋体" w:hAnsi="宋体"/>
          <w:color w:val="auto"/>
          <w:sz w:val="30"/>
          <w:szCs w:val="30"/>
        </w:rPr>
        <w:t>5.15 安全设施符合性诊断及整改设计提出的对策措施采纳情况</w:t>
      </w:r>
      <w:bookmarkEnd w:id="203"/>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兴国石油分公司上社加油站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0A1084F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范要求进行设备选型，项目油罐采用内钢外玻璃纤维增强塑料双层油罐</w:t>
            </w:r>
          </w:p>
          <w:p w14:paraId="7C53DFD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（SF双层罐，Φ2.6×6m，V=30m³），内层钢制罐体的厚度至少为7mm，</w:t>
            </w:r>
          </w:p>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cs="Times New Roman"/>
                <w:color w:val="auto"/>
                <w:sz w:val="18"/>
                <w:szCs w:val="18"/>
              </w:rPr>
            </w:pPr>
            <w:r>
              <w:rPr>
                <w:rFonts w:hint="eastAsia" w:ascii="宋体" w:hAnsi="宋体"/>
                <w:color w:val="auto"/>
              </w:rPr>
              <w:t>SF双层储罐</w:t>
            </w:r>
          </w:p>
        </w:tc>
        <w:tc>
          <w:tcPr>
            <w:tcW w:w="870" w:type="dxa"/>
            <w:vAlign w:val="center"/>
          </w:tcPr>
          <w:p w14:paraId="1887BDB0">
            <w:pPr>
              <w:spacing w:line="240" w:lineRule="exact"/>
              <w:jc w:val="center"/>
              <w:rPr>
                <w:rFonts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rPr>
            </w:pPr>
          </w:p>
        </w:tc>
        <w:tc>
          <w:tcPr>
            <w:tcW w:w="5930" w:type="dxa"/>
            <w:vAlign w:val="center"/>
          </w:tcPr>
          <w:p w14:paraId="43DE56D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柴油通气管、汽油通气管分开设置，通气管管口高出地面4m，柴油设置阻火通气帽，汽油通气管设置机械呼吸阀（带阻火器）。</w:t>
            </w: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汽油和柴油通气管分开设置，通气管管口高4m，柴油设置阻火通气帽，汽油通气管设置机械呼吸阀（带阻火器）。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站内除通气管等必须露出地面的管道外，管道、油罐均埋地敷设，且埋地管沟用中性沙子或细土填满、填实，防止油气聚集，柴油通气管、汽油通气管分开设置，通气管管口高出地面4m，柴油设置阻火通气帽，汽油通气管设置机械呼吸阀（带阻火器）。</w:t>
            </w: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汽油及柴油通气管分开布置，高4m；其余管道及油罐埋地敷设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vAlign w:val="center"/>
          </w:tcPr>
          <w:p w14:paraId="2B6D8A40">
            <w:pPr>
              <w:adjustRightInd w:val="0"/>
              <w:snapToGrid w:val="0"/>
              <w:spacing w:line="240" w:lineRule="exact"/>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加油区设计为敞开式，采用自然通风；油罐区埋地设置，油罐设置在埋地罐池内，汽油通气管分开设置，通气管管口高出地面4m，柴油设置阻火通气帽，汽油通气管设置机械呼吸阀（带阻火器）。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SF双层罐，Φ2.6×6m，V=30m³）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w:t>
            </w:r>
            <w:r>
              <w:rPr>
                <w:rFonts w:hint="eastAsia" w:ascii="宋体" w:cs="Times New Roman"/>
                <w:color w:val="auto"/>
                <w:sz w:val="18"/>
                <w:szCs w:val="18"/>
                <w:lang w:val="en-US" w:eastAsia="zh-CN"/>
              </w:rPr>
              <w:t>北侧出口处</w:t>
            </w:r>
            <w:r>
              <w:rPr>
                <w:rFonts w:hint="eastAsia" w:ascii="宋体" w:cs="Times New Roman"/>
                <w:color w:val="auto"/>
                <w:sz w:val="18"/>
                <w:szCs w:val="18"/>
              </w:rPr>
              <w:t>设置隔油池，隔油池设置盖板。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6</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本加油站埋地油罐采用内钢外玻璃纤维增强塑料双层油罐（SF双层罐，Φ2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油罐采用内钢外玻璃纤维增强塑料双层油罐（SF 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z w:val="18"/>
                <w:szCs w:val="18"/>
              </w:rPr>
            </w:pPr>
            <w:r>
              <w:rPr>
                <w:rFonts w:hint="eastAsia" w:cs="Times New Roman"/>
                <w:color w:val="auto"/>
                <w:sz w:val="18"/>
                <w:szCs w:val="18"/>
              </w:rPr>
              <w:t>配电房安全对策措施：</w:t>
            </w:r>
          </w:p>
          <w:p w14:paraId="186CC0D0">
            <w:pPr>
              <w:adjustRightInd w:val="0"/>
              <w:snapToGrid w:val="0"/>
              <w:spacing w:line="240" w:lineRule="exact"/>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adjustRightInd w:val="0"/>
              <w:snapToGrid w:val="0"/>
              <w:spacing w:line="240" w:lineRule="exact"/>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adjustRightInd w:val="0"/>
              <w:snapToGrid w:val="0"/>
              <w:spacing w:line="240" w:lineRule="exact"/>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adjustRightInd w:val="0"/>
              <w:snapToGrid w:val="0"/>
              <w:spacing w:line="240" w:lineRule="exact"/>
              <w:rPr>
                <w:rFonts w:cs="Times New Roman"/>
                <w:color w:val="auto"/>
                <w:sz w:val="18"/>
                <w:szCs w:val="18"/>
              </w:rPr>
            </w:pPr>
            <w:r>
              <w:rPr>
                <w:rFonts w:hint="eastAsia" w:cs="Times New Roman"/>
                <w:color w:val="auto"/>
                <w:sz w:val="18"/>
                <w:szCs w:val="18"/>
              </w:rPr>
              <w:t>6）高低压设备设置防护栅栏，电缆沟铺设盖板。</w:t>
            </w:r>
          </w:p>
          <w:p w14:paraId="591A54FD">
            <w:pPr>
              <w:adjustRightInd w:val="0"/>
              <w:snapToGrid w:val="0"/>
              <w:spacing w:line="240" w:lineRule="exact"/>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adjustRightInd w:val="0"/>
              <w:snapToGrid w:val="0"/>
              <w:spacing w:line="240" w:lineRule="exact"/>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adjustRightInd w:val="0"/>
              <w:snapToGrid w:val="0"/>
              <w:spacing w:line="240" w:lineRule="exact"/>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spacing w:line="240" w:lineRule="exact"/>
              <w:jc w:val="center"/>
              <w:rPr>
                <w:rFonts w:cs="Times New Roman"/>
                <w:color w:val="auto"/>
                <w:sz w:val="18"/>
                <w:szCs w:val="18"/>
              </w:rPr>
            </w:pPr>
            <w:r>
              <w:rPr>
                <w:rFonts w:hint="eastAsia" w:cs="Times New Roman"/>
                <w:color w:val="auto"/>
                <w:sz w:val="18"/>
                <w:szCs w:val="18"/>
              </w:rPr>
              <w:t>配电房按要求设置，但配电房设置外开防火门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eastAsia="zh-CN"/>
              </w:rPr>
              <w:t>冲砂</w:t>
            </w:r>
            <w:r>
              <w:rPr>
                <w:rFonts w:hint="eastAsia" w:cs="Times New Roman"/>
                <w:color w:val="auto"/>
                <w:sz w:val="18"/>
                <w:szCs w:val="18"/>
              </w:rPr>
              <w:t>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adjustRightInd w:val="0"/>
              <w:snapToGrid w:val="0"/>
              <w:spacing w:line="240" w:lineRule="exact"/>
              <w:rPr>
                <w:rFonts w:cs="Times New Roman"/>
                <w:color w:val="auto"/>
                <w:sz w:val="18"/>
                <w:szCs w:val="18"/>
              </w:rPr>
            </w:pPr>
            <w:r>
              <w:rPr>
                <w:rFonts w:hint="eastAsia" w:cs="Times New Roman"/>
                <w:color w:val="auto"/>
                <w:sz w:val="18"/>
                <w:szCs w:val="18"/>
              </w:rPr>
              <w:t>电气安全照明及应急照明设施</w:t>
            </w:r>
          </w:p>
          <w:p w14:paraId="059F319F">
            <w:pPr>
              <w:adjustRightInd w:val="0"/>
              <w:snapToGrid w:val="0"/>
              <w:spacing w:line="240" w:lineRule="exact"/>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adjustRightInd w:val="0"/>
              <w:snapToGrid w:val="0"/>
              <w:spacing w:line="240" w:lineRule="exact"/>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adjustRightInd w:val="0"/>
              <w:snapToGrid w:val="0"/>
              <w:spacing w:line="240" w:lineRule="exact"/>
              <w:rPr>
                <w:rFonts w:cs="Times New Roman"/>
                <w:color w:val="auto"/>
                <w:sz w:val="18"/>
                <w:szCs w:val="18"/>
              </w:rPr>
            </w:pPr>
            <w:r>
              <w:rPr>
                <w:rFonts w:hint="eastAsia" w:cs="Times New Roman"/>
                <w:color w:val="auto"/>
                <w:sz w:val="18"/>
                <w:szCs w:val="18"/>
              </w:rPr>
              <w:t>紧急切断系统</w:t>
            </w:r>
          </w:p>
          <w:p w14:paraId="1EB2366F">
            <w:pPr>
              <w:adjustRightInd w:val="0"/>
              <w:snapToGrid w:val="0"/>
              <w:spacing w:line="240" w:lineRule="exact"/>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rPr>
            </w:pPr>
            <w:r>
              <w:rPr>
                <w:rFonts w:hint="eastAsia" w:cs="Times New Roman"/>
                <w:color w:val="auto"/>
                <w:sz w:val="18"/>
                <w:szCs w:val="18"/>
              </w:rPr>
              <w:t>紧急切断系统在下列位置设置紧急切断开关：</w:t>
            </w:r>
          </w:p>
          <w:p w14:paraId="069CCC4A">
            <w:pPr>
              <w:adjustRightInd w:val="0"/>
              <w:snapToGrid w:val="0"/>
              <w:spacing w:line="240" w:lineRule="exact"/>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adjustRightInd w:val="0"/>
              <w:snapToGrid w:val="0"/>
              <w:spacing w:line="240" w:lineRule="exact"/>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spacing w:line="240" w:lineRule="exact"/>
              <w:jc w:val="center"/>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rPr>
            </w:pP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本加油站安全系统（液位监控、泄漏检测等），配置了UPS电源，当外电源中断时，UPS电源可供系统正常工作不小于60min。UPS容量为2kVA。液位监控系统集中设置在站房值班室内。</w:t>
            </w:r>
          </w:p>
        </w:tc>
        <w:tc>
          <w:tcPr>
            <w:tcW w:w="1580" w:type="dxa"/>
            <w:vAlign w:val="center"/>
          </w:tcPr>
          <w:p w14:paraId="396DEA21">
            <w:pPr>
              <w:spacing w:line="240" w:lineRule="exact"/>
              <w:jc w:val="center"/>
              <w:rPr>
                <w:rFonts w:cs="Times New Roman"/>
                <w:color w:val="auto"/>
                <w:sz w:val="18"/>
                <w:szCs w:val="18"/>
              </w:rPr>
            </w:pPr>
            <w:r>
              <w:rPr>
                <w:rFonts w:hint="eastAsia" w:cs="Times New Roman"/>
                <w:color w:val="auto"/>
                <w:sz w:val="18"/>
                <w:szCs w:val="18"/>
              </w:rPr>
              <w:t>加油站安全系统（液位仪、泄漏检测仪），配备了UPS备用电源，但设备未接入UPS备用电源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整改后</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50B21C9F">
            <w:pPr>
              <w:adjustRightInd w:val="0"/>
              <w:snapToGrid w:val="0"/>
              <w:spacing w:line="240" w:lineRule="exact"/>
              <w:rPr>
                <w:rFonts w:cs="Times New Roman"/>
                <w:color w:val="auto"/>
                <w:sz w:val="18"/>
                <w:szCs w:val="18"/>
              </w:rPr>
            </w:pPr>
            <w:r>
              <w:rPr>
                <w:rFonts w:hint="eastAsia" w:cs="Times New Roman"/>
                <w:color w:val="auto"/>
                <w:sz w:val="18"/>
                <w:szCs w:val="18"/>
              </w:rPr>
              <w:t>本加油站设置了视频监控系统，可监控油站各区域。</w:t>
            </w:r>
          </w:p>
          <w:p w14:paraId="09979943">
            <w:pPr>
              <w:adjustRightInd w:val="0"/>
              <w:snapToGrid w:val="0"/>
              <w:spacing w:line="240" w:lineRule="exact"/>
              <w:rPr>
                <w:rFonts w:cs="Times New Roman"/>
                <w:color w:val="auto"/>
                <w:sz w:val="18"/>
                <w:szCs w:val="18"/>
              </w:rPr>
            </w:pPr>
            <w:r>
              <w:rPr>
                <w:rFonts w:hint="eastAsia" w:cs="Times New Roman"/>
                <w:color w:val="auto"/>
                <w:sz w:val="18"/>
                <w:szCs w:val="18"/>
              </w:rPr>
              <w:t>本加油站</w:t>
            </w:r>
            <w:r>
              <w:rPr>
                <w:rFonts w:hint="eastAsia" w:cs="Times New Roman"/>
                <w:color w:val="auto"/>
                <w:sz w:val="18"/>
                <w:szCs w:val="18"/>
                <w:lang w:val="en-US" w:eastAsia="zh-CN"/>
              </w:rPr>
              <w:t>有</w:t>
            </w:r>
            <w:r>
              <w:rPr>
                <w:rFonts w:hint="eastAsia" w:cs="Times New Roman"/>
                <w:color w:val="auto"/>
                <w:sz w:val="18"/>
                <w:szCs w:val="18"/>
              </w:rPr>
              <w:t>室外网络摄像机，现场摄像</w:t>
            </w:r>
            <w:r>
              <w:rPr>
                <w:rFonts w:hint="eastAsia" w:cs="Times New Roman"/>
                <w:color w:val="auto"/>
                <w:sz w:val="18"/>
                <w:szCs w:val="18"/>
                <w:lang w:eastAsia="zh-CN"/>
              </w:rPr>
              <w:t>仪将</w:t>
            </w:r>
            <w:r>
              <w:rPr>
                <w:rFonts w:hint="eastAsia" w:cs="Times New Roman"/>
                <w:color w:val="auto"/>
                <w:sz w:val="18"/>
                <w:szCs w:val="18"/>
              </w:rPr>
              <w:t>视频信号引至站房。</w:t>
            </w:r>
          </w:p>
          <w:p w14:paraId="7B822047">
            <w:pPr>
              <w:adjustRightInd w:val="0"/>
              <w:snapToGrid w:val="0"/>
              <w:spacing w:line="240" w:lineRule="exact"/>
              <w:rPr>
                <w:rFonts w:cs="Times New Roman"/>
                <w:color w:val="auto"/>
                <w:sz w:val="18"/>
                <w:szCs w:val="18"/>
              </w:rPr>
            </w:pPr>
            <w:r>
              <w:rPr>
                <w:rFonts w:hint="eastAsia" w:cs="Times New Roman"/>
                <w:color w:val="auto"/>
                <w:sz w:val="18"/>
                <w:szCs w:val="18"/>
              </w:rPr>
              <w:t>站长室内监控主机。视频监控系统配UPS电源供电，容量为3kVA。系统中硬盘录像机储存时间大于30天。</w:t>
            </w:r>
          </w:p>
          <w:p w14:paraId="062B015D">
            <w:pPr>
              <w:adjustRightInd w:val="0"/>
              <w:snapToGrid w:val="0"/>
              <w:spacing w:line="240" w:lineRule="exact"/>
              <w:rPr>
                <w:rFonts w:cs="Times New Roman"/>
                <w:color w:val="auto"/>
                <w:sz w:val="18"/>
                <w:szCs w:val="18"/>
              </w:rPr>
            </w:pPr>
            <w:r>
              <w:rPr>
                <w:rFonts w:hint="eastAsia" w:cs="Times New Roman"/>
                <w:color w:val="auto"/>
                <w:sz w:val="18"/>
                <w:szCs w:val="18"/>
              </w:rPr>
              <w:t>加油区罩棚高度6.5m，摄像机防护等级不低于IP67级。</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站房室内共1台监视用摄像机，设于营业厅。工作人员在值班室监视，监控器画面就可以实现对罐区、加油区、站房的全天候全方位的动态监视。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赣州市上犹区的抗震设防烈度为6度，建构筑物设计基本地震动参数加速度值为0.05g。在抗震方面，站房采用砖混结构。所有建筑均采取了6度及以上抗震设计</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4"/>
    </w:tbl>
    <w:p w14:paraId="1A1C1945">
      <w:pPr>
        <w:spacing w:line="600" w:lineRule="exact"/>
        <w:ind w:firstLine="560" w:firstLineChars="200"/>
        <w:rPr>
          <w:rFonts w:ascii="Times New Roman" w:hAnsi="Times New Roman" w:cs="宋体"/>
          <w:color w:val="auto"/>
          <w:sz w:val="28"/>
          <w:szCs w:val="28"/>
        </w:rPr>
      </w:pPr>
      <w:bookmarkStart w:id="205" w:name="_Toc19100"/>
      <w:bookmarkStart w:id="206" w:name="_Toc18913"/>
      <w:bookmarkStart w:id="207" w:name="_Toc343692275"/>
      <w:bookmarkStart w:id="208" w:name="_Toc16646"/>
      <w:bookmarkStart w:id="209" w:name="_Toc9371"/>
      <w:r>
        <w:rPr>
          <w:rFonts w:hint="eastAsia" w:ascii="Times New Roman" w:hAnsi="Times New Roman" w:cs="宋体"/>
          <w:color w:val="auto"/>
          <w:sz w:val="28"/>
          <w:szCs w:val="28"/>
        </w:rPr>
        <w:t>综上所述，诊断及整改设计中的安全对策措施有1项未落实，加油站安全系统（液位仪、泄漏检测仪），配备了UPS备用电源，但设备未接入UPS备用电源。</w:t>
      </w:r>
    </w:p>
    <w:p w14:paraId="6C079258">
      <w:pPr>
        <w:pStyle w:val="3"/>
        <w:spacing w:line="560" w:lineRule="exact"/>
        <w:jc w:val="center"/>
        <w:rPr>
          <w:rFonts w:ascii="宋体" w:hAnsi="宋体"/>
          <w:color w:val="auto"/>
          <w:sz w:val="30"/>
          <w:szCs w:val="30"/>
        </w:rPr>
      </w:pPr>
      <w:bookmarkStart w:id="210" w:name="_Toc7719"/>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10"/>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经正规设计。</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ascii="Times New Roman" w:hAnsi="Times New Roman" w:eastAsia="宋" w:cs="Times New Roman"/>
                <w:bCs/>
                <w:color w:val="auto"/>
              </w:rPr>
            </w:pPr>
            <w:r>
              <w:rPr>
                <w:rFonts w:ascii="Times New Roman" w:hAnsi="Times New Roman" w:eastAsia="宋" w:cs="Times New Roman"/>
                <w:bCs/>
                <w:color w:val="auto"/>
              </w:rPr>
              <w:t>属</w:t>
            </w:r>
            <w:r>
              <w:rPr>
                <w:rFonts w:hint="eastAsia" w:ascii="Times New Roman" w:hAnsi="Times New Roman" w:eastAsia="宋" w:cs="Times New Roman"/>
                <w:bCs/>
                <w:color w:val="auto"/>
              </w:rPr>
              <w:t>于</w:t>
            </w:r>
            <w:r>
              <w:rPr>
                <w:rFonts w:hint="eastAsia" w:ascii="Times New Roman" w:hAnsi="Times New Roman" w:eastAsia="宋" w:cs="Times New Roman"/>
                <w:bCs/>
                <w:color w:val="auto"/>
                <w:lang w:val="en-US" w:eastAsia="zh-CN"/>
              </w:rPr>
              <w:t>三</w:t>
            </w:r>
            <w:r>
              <w:rPr>
                <w:rFonts w:ascii="Times New Roman" w:hAnsi="Times New Roman" w:eastAsia="宋" w:cs="Times New Roman"/>
                <w:bCs/>
                <w:color w:val="auto"/>
              </w:rPr>
              <w:t>级加油站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不涉及</w:t>
            </w:r>
            <w:r>
              <w:rPr>
                <w:rFonts w:hint="eastAsia" w:ascii="Times New Roman" w:hAnsi="Times New Roman" w:eastAsia="宋" w:cs="Times New Roman"/>
                <w:bCs/>
                <w:color w:val="auto"/>
              </w:rPr>
              <w:t>汽车充电桩</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内。</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未设置发电机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有紧急停车按钮</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但</w:t>
            </w:r>
            <w:r>
              <w:rPr>
                <w:rFonts w:hint="eastAsia" w:ascii="宋体" w:hAnsi="宋体" w:cs="宋体"/>
                <w:i w:val="0"/>
                <w:iCs w:val="0"/>
                <w:color w:val="auto"/>
                <w:kern w:val="2"/>
                <w:sz w:val="21"/>
                <w:szCs w:val="21"/>
                <w:u w:val="none"/>
                <w:lang w:val="en-US" w:eastAsia="zh-CN" w:bidi="ar-SA"/>
              </w:rPr>
              <w:t>紧急停车按钮未安装防护罩</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r>
              <w:rPr>
                <w:rFonts w:hint="eastAsia" w:ascii="Times New Roman" w:hAnsi="Times New Roman" w:eastAsia="宋" w:cs="Times New Roman"/>
                <w:bCs/>
                <w:color w:val="auto"/>
                <w:lang w:val="en-US" w:eastAsia="zh-CN"/>
              </w:rPr>
              <w:t>但灭火器无定期检查点检记录</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有“火灾危险区域”标识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项不符合要求，</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灭火器无定期检查点检记录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紧急停车按钮未安装防护罩。</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1" w:name="_Toc225"/>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5"/>
      <w:bookmarkEnd w:id="206"/>
      <w:bookmarkEnd w:id="211"/>
    </w:p>
    <w:p w14:paraId="562C2317">
      <w:pPr>
        <w:keepNext/>
        <w:keepLines/>
        <w:spacing w:line="600" w:lineRule="exact"/>
        <w:outlineLvl w:val="1"/>
        <w:rPr>
          <w:rFonts w:ascii="Times New Roman" w:hAnsi="Times New Roman" w:cs="Times New Roman"/>
          <w:b/>
          <w:bCs/>
          <w:color w:val="auto"/>
          <w:sz w:val="28"/>
          <w:szCs w:val="28"/>
        </w:rPr>
      </w:pPr>
      <w:bookmarkStart w:id="212" w:name="_Toc32436"/>
      <w:bookmarkStart w:id="213" w:name="_Toc9008"/>
      <w:bookmarkStart w:id="214" w:name="_Toc14112"/>
      <w:bookmarkStart w:id="215" w:name="_Toc30200"/>
      <w:bookmarkStart w:id="216" w:name="_Toc427852841"/>
      <w:bookmarkStart w:id="217" w:name="_Toc471312555"/>
      <w:bookmarkStart w:id="218" w:name="_Toc20468434"/>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2"/>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兴国石油分公司上社加油站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1"/>
        <w:gridCol w:w="4545"/>
        <w:gridCol w:w="3742"/>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3" w:hRule="atLeast"/>
          <w:tblHeader/>
          <w:jc w:val="center"/>
        </w:trPr>
        <w:tc>
          <w:tcPr>
            <w:tcW w:w="83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45"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42"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31"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45" w:type="dxa"/>
            <w:shd w:val="clear" w:color="auto" w:fill="auto"/>
            <w:vAlign w:val="center"/>
          </w:tcPr>
          <w:p w14:paraId="2716D445">
            <w:pPr>
              <w:keepNext w:val="0"/>
              <w:keepLines w:val="0"/>
              <w:widowControl/>
              <w:suppressLineNumbers w:val="0"/>
              <w:jc w:val="both"/>
              <w:textAlignment w:val="center"/>
              <w:rPr>
                <w:rFonts w:hint="eastAsia" w:ascii="宋体" w:hAnsi="宋体" w:cs="宋体"/>
                <w:i w:val="0"/>
                <w:iCs w:val="0"/>
                <w:color w:val="auto"/>
                <w:kern w:val="2"/>
                <w:sz w:val="21"/>
                <w:szCs w:val="21"/>
                <w:u w:val="none"/>
                <w:lang w:val="en-US" w:eastAsia="zh-CN" w:bidi="ar-SA"/>
              </w:rPr>
            </w:pPr>
            <w:r>
              <w:rPr>
                <w:rFonts w:hint="default" w:ascii="宋体" w:hAnsi="宋体" w:cs="宋体"/>
                <w:i w:val="0"/>
                <w:iCs w:val="0"/>
                <w:color w:val="auto"/>
                <w:kern w:val="2"/>
                <w:sz w:val="21"/>
                <w:szCs w:val="21"/>
                <w:u w:val="none"/>
                <w:lang w:val="en-US" w:eastAsia="zh-CN" w:bidi="ar-SA"/>
              </w:rPr>
              <w:t>油罐区实体围墙高度不足2.2米</w:t>
            </w:r>
          </w:p>
        </w:tc>
        <w:tc>
          <w:tcPr>
            <w:tcW w:w="3742" w:type="dxa"/>
            <w:shd w:val="clear" w:color="auto" w:fill="auto"/>
            <w:vAlign w:val="center"/>
          </w:tcPr>
          <w:p w14:paraId="2B429001">
            <w:pPr>
              <w:keepNext w:val="0"/>
              <w:keepLines w:val="0"/>
              <w:widowControl/>
              <w:suppressLineNumbers w:val="0"/>
              <w:jc w:val="both"/>
              <w:textAlignment w:val="center"/>
              <w:rPr>
                <w:rFonts w:hint="eastAsia" w:ascii="宋体" w:hAnsi="宋体" w:cs="宋体"/>
                <w:i w:val="0"/>
                <w:iCs w:val="0"/>
                <w:color w:val="auto"/>
                <w:kern w:val="2"/>
                <w:sz w:val="21"/>
                <w:szCs w:val="21"/>
                <w:u w:val="none"/>
                <w:lang w:val="en-US" w:eastAsia="zh-CN" w:bidi="ar-SA"/>
              </w:rPr>
            </w:pPr>
            <w:r>
              <w:rPr>
                <w:rFonts w:hint="eastAsia" w:ascii="宋体" w:hAnsi="宋体" w:cs="宋体"/>
                <w:i w:val="0"/>
                <w:iCs w:val="0"/>
                <w:color w:val="auto"/>
                <w:kern w:val="2"/>
                <w:sz w:val="21"/>
                <w:szCs w:val="21"/>
                <w:u w:val="none"/>
                <w:lang w:val="en-US" w:eastAsia="zh-CN" w:bidi="ar-SA"/>
              </w:rPr>
              <w:t>将实体围墙增高至2.2 米。</w:t>
            </w:r>
          </w:p>
        </w:tc>
      </w:tr>
      <w:tr w14:paraId="1CADEE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31" w:type="dxa"/>
            <w:vAlign w:val="center"/>
          </w:tcPr>
          <w:p w14:paraId="55628096">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4545" w:type="dxa"/>
            <w:shd w:val="clear" w:color="auto" w:fill="auto"/>
            <w:vAlign w:val="center"/>
          </w:tcPr>
          <w:p w14:paraId="137DCBC7">
            <w:pPr>
              <w:keepNext w:val="0"/>
              <w:keepLines w:val="0"/>
              <w:widowControl/>
              <w:suppressLineNumbers w:val="0"/>
              <w:jc w:val="both"/>
              <w:textAlignment w:val="center"/>
              <w:rPr>
                <w:rFonts w:hint="eastAsia" w:ascii="宋体" w:hAnsi="宋体" w:cs="宋体"/>
                <w:i w:val="0"/>
                <w:iCs w:val="0"/>
                <w:color w:val="auto"/>
                <w:kern w:val="2"/>
                <w:sz w:val="21"/>
                <w:szCs w:val="21"/>
                <w:u w:val="none"/>
                <w:lang w:val="en-US" w:eastAsia="zh-CN" w:bidi="ar-SA"/>
              </w:rPr>
            </w:pPr>
            <w:r>
              <w:rPr>
                <w:rFonts w:hint="default" w:ascii="宋体" w:hAnsi="宋体" w:cs="宋体"/>
                <w:i w:val="0"/>
                <w:iCs w:val="0"/>
                <w:color w:val="auto"/>
                <w:kern w:val="2"/>
                <w:sz w:val="21"/>
                <w:szCs w:val="21"/>
                <w:u w:val="none"/>
                <w:lang w:val="en-US" w:eastAsia="zh-CN" w:bidi="ar-SA"/>
              </w:rPr>
              <w:t>配电间未配置防火门</w:t>
            </w:r>
          </w:p>
        </w:tc>
        <w:tc>
          <w:tcPr>
            <w:tcW w:w="3742" w:type="dxa"/>
            <w:shd w:val="clear" w:color="auto" w:fill="auto"/>
            <w:vAlign w:val="center"/>
          </w:tcPr>
          <w:p w14:paraId="298439FF">
            <w:pPr>
              <w:keepNext w:val="0"/>
              <w:keepLines w:val="0"/>
              <w:widowControl/>
              <w:suppressLineNumbers w:val="0"/>
              <w:jc w:val="both"/>
              <w:textAlignment w:val="center"/>
              <w:rPr>
                <w:rFonts w:hint="eastAsia" w:ascii="宋体" w:hAnsi="宋体" w:cs="宋体"/>
                <w:i w:val="0"/>
                <w:iCs w:val="0"/>
                <w:color w:val="auto"/>
                <w:kern w:val="2"/>
                <w:sz w:val="21"/>
                <w:szCs w:val="21"/>
                <w:u w:val="none"/>
                <w:lang w:val="en-US" w:eastAsia="zh-CN" w:bidi="ar-SA"/>
              </w:rPr>
            </w:pPr>
            <w:r>
              <w:rPr>
                <w:rFonts w:hint="eastAsia" w:ascii="宋体" w:hAnsi="宋体" w:cs="宋体"/>
                <w:i w:val="0"/>
                <w:iCs w:val="0"/>
                <w:color w:val="auto"/>
                <w:kern w:val="2"/>
                <w:sz w:val="21"/>
                <w:szCs w:val="21"/>
                <w:u w:val="none"/>
                <w:lang w:val="en-US" w:eastAsia="zh-CN" w:bidi="ar-SA"/>
              </w:rPr>
              <w:t>配电间设置防火门</w:t>
            </w:r>
          </w:p>
        </w:tc>
      </w:tr>
      <w:tr w14:paraId="0DD66B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31" w:type="dxa"/>
            <w:vAlign w:val="center"/>
          </w:tcPr>
          <w:p w14:paraId="1B510FA1">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4545" w:type="dxa"/>
            <w:shd w:val="clear" w:color="auto" w:fill="auto"/>
            <w:vAlign w:val="center"/>
          </w:tcPr>
          <w:p w14:paraId="0C1BF164">
            <w:pPr>
              <w:keepNext w:val="0"/>
              <w:keepLines w:val="0"/>
              <w:widowControl/>
              <w:suppressLineNumbers w:val="0"/>
              <w:jc w:val="both"/>
              <w:textAlignment w:val="center"/>
              <w:rPr>
                <w:rFonts w:hint="eastAsia" w:ascii="宋体" w:hAnsi="宋体" w:cs="宋体"/>
                <w:i w:val="0"/>
                <w:iCs w:val="0"/>
                <w:color w:val="auto"/>
                <w:kern w:val="2"/>
                <w:sz w:val="21"/>
                <w:szCs w:val="21"/>
                <w:u w:val="none"/>
                <w:lang w:val="en-US" w:eastAsia="zh-CN" w:bidi="ar-SA"/>
              </w:rPr>
            </w:pPr>
            <w:r>
              <w:rPr>
                <w:rFonts w:hint="default" w:ascii="宋体" w:hAnsi="宋体" w:cs="宋体"/>
                <w:i w:val="0"/>
                <w:iCs w:val="0"/>
                <w:color w:val="auto"/>
                <w:kern w:val="2"/>
                <w:sz w:val="21"/>
                <w:szCs w:val="21"/>
                <w:u w:val="none"/>
                <w:lang w:val="en-US" w:eastAsia="zh-CN" w:bidi="ar-SA"/>
              </w:rPr>
              <w:t>现场发现无手持式可燃气体检测仪，不符合要求</w:t>
            </w:r>
          </w:p>
        </w:tc>
        <w:tc>
          <w:tcPr>
            <w:tcW w:w="3742" w:type="dxa"/>
            <w:shd w:val="clear" w:color="auto" w:fill="auto"/>
            <w:vAlign w:val="center"/>
          </w:tcPr>
          <w:p w14:paraId="736B45FC">
            <w:pPr>
              <w:keepNext w:val="0"/>
              <w:keepLines w:val="0"/>
              <w:widowControl/>
              <w:suppressLineNumbers w:val="0"/>
              <w:jc w:val="both"/>
              <w:textAlignment w:val="center"/>
              <w:rPr>
                <w:rFonts w:hint="eastAsia" w:ascii="宋体" w:hAnsi="宋体" w:cs="宋体"/>
                <w:i w:val="0"/>
                <w:iCs w:val="0"/>
                <w:color w:val="auto"/>
                <w:kern w:val="2"/>
                <w:sz w:val="21"/>
                <w:szCs w:val="21"/>
                <w:u w:val="none"/>
                <w:lang w:val="en-US" w:eastAsia="zh-CN" w:bidi="ar-SA"/>
              </w:rPr>
            </w:pPr>
            <w:r>
              <w:rPr>
                <w:rFonts w:hint="eastAsia" w:ascii="宋体" w:hAnsi="宋体" w:cs="宋体"/>
                <w:i w:val="0"/>
                <w:iCs w:val="0"/>
                <w:color w:val="auto"/>
                <w:kern w:val="2"/>
                <w:sz w:val="21"/>
                <w:szCs w:val="21"/>
                <w:u w:val="none"/>
                <w:lang w:val="en-US" w:eastAsia="zh-CN" w:bidi="ar-SA"/>
              </w:rPr>
              <w:t>配置1 个手持式可燃气体检测仪。</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兴国石油分公司上社加油站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9" w:name="_Toc27687"/>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3"/>
      <w:bookmarkEnd w:id="214"/>
      <w:bookmarkEnd w:id="215"/>
      <w:bookmarkEnd w:id="216"/>
      <w:bookmarkEnd w:id="217"/>
      <w:bookmarkEnd w:id="218"/>
      <w:bookmarkEnd w:id="219"/>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0"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41"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594" w:type="dxa"/>
            <w:shd w:val="clear" w:color="auto" w:fill="auto"/>
            <w:vAlign w:val="center"/>
          </w:tcPr>
          <w:p w14:paraId="360ACDD6">
            <w:pPr>
              <w:keepNext w:val="0"/>
              <w:keepLines w:val="0"/>
              <w:widowControl/>
              <w:suppressLineNumbers w:val="0"/>
              <w:jc w:val="both"/>
              <w:textAlignment w:val="center"/>
              <w:rPr>
                <w:rFonts w:ascii="宋体" w:hAnsi="宋体" w:cs="宋体"/>
                <w:color w:val="auto"/>
              </w:rPr>
            </w:pPr>
            <w:r>
              <w:rPr>
                <w:rFonts w:hint="eastAsia" w:ascii="宋体" w:hAnsi="宋体" w:cs="宋体"/>
                <w:i w:val="0"/>
                <w:iCs w:val="0"/>
                <w:color w:val="auto"/>
                <w:kern w:val="2"/>
                <w:sz w:val="21"/>
                <w:szCs w:val="21"/>
                <w:u w:val="none"/>
                <w:lang w:val="en-US" w:eastAsia="zh-CN" w:bidi="ar-SA"/>
              </w:rPr>
              <w:t>加油站安全系统（液位仪、泄漏检测仪），配备了UPS备用电源，但设备未接入UPS备用电源</w:t>
            </w:r>
          </w:p>
        </w:tc>
        <w:tc>
          <w:tcPr>
            <w:tcW w:w="3783"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rPr>
            </w:pPr>
            <w:r>
              <w:rPr>
                <w:rFonts w:hint="eastAsia" w:ascii="宋体" w:hAnsi="宋体" w:cs="宋体"/>
                <w:i w:val="0"/>
                <w:iCs w:val="0"/>
                <w:color w:val="auto"/>
                <w:kern w:val="2"/>
                <w:sz w:val="21"/>
                <w:szCs w:val="21"/>
                <w:u w:val="none"/>
                <w:lang w:val="en-US" w:eastAsia="zh-CN" w:bidi="ar-SA"/>
              </w:rPr>
              <w:t>安全系统（液位仪、泄漏检测仪）接入UPS备用电源输出端</w:t>
            </w:r>
          </w:p>
        </w:tc>
      </w:tr>
      <w:tr w14:paraId="661218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41" w:type="dxa"/>
            <w:vAlign w:val="center"/>
          </w:tcPr>
          <w:p w14:paraId="7E25396F">
            <w:pPr>
              <w:jc w:val="center"/>
              <w:rPr>
                <w:rFonts w:hint="eastAsia" w:ascii="Times New Roman" w:hAnsi="Times New Roman" w:eastAsia="宋体" w:cs="Times New Roman"/>
                <w:color w:val="auto"/>
                <w:lang w:val="en-US" w:eastAsia="zh-CN"/>
              </w:rPr>
            </w:pPr>
            <w:bookmarkStart w:id="220" w:name="_Toc20468435"/>
            <w:bookmarkStart w:id="221" w:name="_Toc9821"/>
            <w:bookmarkStart w:id="222" w:name="_Toc30063"/>
            <w:r>
              <w:rPr>
                <w:rFonts w:hint="eastAsia" w:ascii="Times New Roman" w:hAnsi="Times New Roman" w:cs="Times New Roman"/>
                <w:color w:val="auto"/>
                <w:lang w:val="en-US" w:eastAsia="zh-CN"/>
              </w:rPr>
              <w:t>2</w:t>
            </w:r>
          </w:p>
        </w:tc>
        <w:tc>
          <w:tcPr>
            <w:tcW w:w="4594" w:type="dxa"/>
            <w:shd w:val="clear" w:color="auto" w:fill="auto"/>
            <w:vAlign w:val="center"/>
          </w:tcPr>
          <w:p w14:paraId="47C5E1FD">
            <w:pPr>
              <w:keepNext w:val="0"/>
              <w:keepLines w:val="0"/>
              <w:widowControl/>
              <w:suppressLineNumbers w:val="0"/>
              <w:jc w:val="both"/>
              <w:textAlignment w:val="center"/>
              <w:rPr>
                <w:rFonts w:hint="eastAsia" w:ascii="宋体" w:hAnsi="宋体" w:cs="宋体"/>
                <w:color w:val="auto"/>
                <w:kern w:val="0"/>
                <w:lang w:bidi="ar"/>
              </w:rPr>
            </w:pPr>
            <w:r>
              <w:rPr>
                <w:rFonts w:hint="default" w:ascii="宋体" w:hAnsi="宋体" w:eastAsia="宋体" w:cs="宋体"/>
                <w:i w:val="0"/>
                <w:iCs w:val="0"/>
                <w:color w:val="auto"/>
                <w:kern w:val="2"/>
                <w:sz w:val="21"/>
                <w:szCs w:val="21"/>
                <w:u w:val="none"/>
                <w:lang w:val="en-US" w:eastAsia="zh-CN" w:bidi="ar-SA"/>
              </w:rPr>
              <w:t>灭火器无定期检查点检记录</w:t>
            </w:r>
          </w:p>
        </w:tc>
        <w:tc>
          <w:tcPr>
            <w:tcW w:w="3783" w:type="dxa"/>
            <w:shd w:val="clear" w:color="auto" w:fill="auto"/>
            <w:vAlign w:val="center"/>
          </w:tcPr>
          <w:p w14:paraId="4081B0BB">
            <w:pPr>
              <w:keepNext w:val="0"/>
              <w:keepLines w:val="0"/>
              <w:widowControl/>
              <w:suppressLineNumbers w:val="0"/>
              <w:jc w:val="both"/>
              <w:textAlignment w:val="center"/>
              <w:rPr>
                <w:rFonts w:hint="eastAsia" w:ascii="宋体" w:hAnsi="宋体" w:cs="宋体"/>
                <w:color w:val="auto"/>
              </w:rPr>
            </w:pPr>
            <w:r>
              <w:rPr>
                <w:rFonts w:hint="eastAsia" w:ascii="宋体" w:hAnsi="宋体" w:cs="宋体"/>
                <w:i w:val="0"/>
                <w:iCs w:val="0"/>
                <w:color w:val="auto"/>
                <w:kern w:val="2"/>
                <w:sz w:val="21"/>
                <w:szCs w:val="21"/>
                <w:u w:val="none"/>
                <w:lang w:val="en-US" w:eastAsia="zh-CN" w:bidi="ar-SA"/>
              </w:rPr>
              <w:t>定期对灭火器进行点检</w:t>
            </w:r>
          </w:p>
        </w:tc>
      </w:tr>
      <w:tr w14:paraId="76314B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841" w:type="dxa"/>
            <w:vAlign w:val="center"/>
          </w:tcPr>
          <w:p w14:paraId="134E8217">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4594" w:type="dxa"/>
            <w:shd w:val="clear" w:color="auto" w:fill="auto"/>
            <w:vAlign w:val="center"/>
          </w:tcPr>
          <w:p w14:paraId="7931E0AB">
            <w:pPr>
              <w:keepNext w:val="0"/>
              <w:keepLines w:val="0"/>
              <w:widowControl/>
              <w:suppressLineNumbers w:val="0"/>
              <w:jc w:val="both"/>
              <w:textAlignment w:val="center"/>
              <w:rPr>
                <w:rFonts w:hint="eastAsia" w:ascii="宋体" w:hAnsi="宋体" w:cs="宋体"/>
                <w:i w:val="0"/>
                <w:iCs w:val="0"/>
                <w:color w:val="auto"/>
                <w:kern w:val="2"/>
                <w:sz w:val="21"/>
                <w:szCs w:val="21"/>
                <w:u w:val="none"/>
                <w:lang w:val="en-US" w:eastAsia="zh-CN" w:bidi="ar-SA"/>
              </w:rPr>
            </w:pPr>
            <w:r>
              <w:rPr>
                <w:rFonts w:hint="eastAsia" w:ascii="宋体" w:hAnsi="宋体" w:cs="宋体"/>
                <w:i w:val="0"/>
                <w:iCs w:val="0"/>
                <w:color w:val="auto"/>
                <w:kern w:val="2"/>
                <w:sz w:val="21"/>
                <w:szCs w:val="21"/>
                <w:u w:val="none"/>
                <w:lang w:val="en-US" w:eastAsia="zh-CN" w:bidi="ar-SA"/>
              </w:rPr>
              <w:t>紧急停车按钮未安装防护罩</w:t>
            </w:r>
          </w:p>
        </w:tc>
        <w:tc>
          <w:tcPr>
            <w:tcW w:w="3783" w:type="dxa"/>
            <w:shd w:val="clear" w:color="auto" w:fill="auto"/>
            <w:vAlign w:val="center"/>
          </w:tcPr>
          <w:p w14:paraId="31AF59FC">
            <w:pPr>
              <w:keepNext w:val="0"/>
              <w:keepLines w:val="0"/>
              <w:widowControl/>
              <w:suppressLineNumbers w:val="0"/>
              <w:jc w:val="both"/>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为紧急停车按钮加装防误触保护罩</w:t>
            </w:r>
          </w:p>
        </w:tc>
      </w:tr>
    </w:tbl>
    <w:p w14:paraId="4D6EC2A5">
      <w:pPr>
        <w:outlineLvl w:val="1"/>
        <w:rPr>
          <w:rFonts w:ascii="Times New Roman" w:hAnsi="Times New Roman" w:cs="Times New Roman"/>
          <w:b/>
          <w:bCs/>
          <w:color w:val="auto"/>
          <w:sz w:val="28"/>
          <w:szCs w:val="28"/>
        </w:rPr>
      </w:pPr>
      <w:bookmarkStart w:id="223" w:name="_Toc9275"/>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20"/>
      <w:r>
        <w:rPr>
          <w:rFonts w:hint="eastAsia" w:ascii="Times New Roman" w:hAnsi="Times New Roman" w:cs="宋体"/>
          <w:b/>
          <w:bCs/>
          <w:color w:val="auto"/>
          <w:sz w:val="28"/>
          <w:szCs w:val="28"/>
        </w:rPr>
        <w:t>落实情况</w:t>
      </w:r>
      <w:bookmarkEnd w:id="221"/>
      <w:bookmarkEnd w:id="222"/>
      <w:bookmarkEnd w:id="223"/>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兴国石油分公司上社加油站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4" w:name="_Toc6951"/>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4"/>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5" w:name="_Toc59160017"/>
      <w:bookmarkStart w:id="226" w:name="_Toc59160145"/>
      <w:bookmarkStart w:id="227" w:name="_Toc59160081"/>
      <w:bookmarkStart w:id="228" w:name="_Toc59087153"/>
      <w:bookmarkStart w:id="229" w:name="_Toc59245419"/>
      <w:bookmarkStart w:id="230" w:name="_Toc59091646"/>
      <w:bookmarkStart w:id="231" w:name="_Toc59092445"/>
      <w:bookmarkStart w:id="232" w:name="_Toc59508645"/>
      <w:bookmarkStart w:id="233" w:name="_Toc59091927"/>
      <w:bookmarkStart w:id="234" w:name="_Toc59092822"/>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5"/>
    <w:bookmarkEnd w:id="226"/>
    <w:bookmarkEnd w:id="227"/>
    <w:bookmarkEnd w:id="228"/>
    <w:bookmarkEnd w:id="229"/>
    <w:bookmarkEnd w:id="230"/>
    <w:bookmarkEnd w:id="231"/>
    <w:bookmarkEnd w:id="232"/>
    <w:bookmarkEnd w:id="233"/>
    <w:bookmarkEnd w:id="234"/>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3"/>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7"/>
      <w:bookmarkEnd w:id="208"/>
      <w:bookmarkEnd w:id="209"/>
      <w:bookmarkStart w:id="235" w:name="_Toc20557"/>
      <w:bookmarkStart w:id="236" w:name="_Toc14235"/>
      <w:bookmarkStart w:id="237" w:name="_Toc343692278"/>
      <w:bookmarkStart w:id="238" w:name="_Toc7092"/>
      <w:r>
        <w:rPr>
          <w:rStyle w:val="35"/>
          <w:rFonts w:hint="eastAsia"/>
          <w:color w:val="auto"/>
        </w:rPr>
        <w:t>7</w:t>
      </w:r>
      <w:r>
        <w:rPr>
          <w:rStyle w:val="35"/>
          <w:color w:val="auto"/>
        </w:rPr>
        <w:t xml:space="preserve"> </w:t>
      </w:r>
      <w:r>
        <w:rPr>
          <w:rStyle w:val="35"/>
          <w:rFonts w:hint="eastAsia"/>
          <w:color w:val="auto"/>
        </w:rPr>
        <w:t>安全验收评价结论</w:t>
      </w:r>
      <w:bookmarkEnd w:id="235"/>
      <w:bookmarkEnd w:id="236"/>
      <w:bookmarkEnd w:id="237"/>
      <w:bookmarkEnd w:id="238"/>
    </w:p>
    <w:p w14:paraId="10D01616">
      <w:pPr>
        <w:spacing w:line="360" w:lineRule="auto"/>
        <w:ind w:firstLine="562" w:firstLineChars="200"/>
        <w:rPr>
          <w:rFonts w:ascii="Times New Roman" w:hAnsi="Times New Roman" w:cs="Times New Roman"/>
          <w:b/>
          <w:bCs/>
          <w:color w:val="auto"/>
          <w:sz w:val="28"/>
          <w:szCs w:val="24"/>
        </w:rPr>
      </w:pPr>
      <w:bookmarkStart w:id="239" w:name="_Toc357981462"/>
      <w:bookmarkStart w:id="240" w:name="_Toc239869791"/>
      <w:bookmarkStart w:id="241" w:name="_Toc355247596"/>
      <w:bookmarkStart w:id="242" w:name="_Toc389504581"/>
      <w:bookmarkStart w:id="243" w:name="_Toc355257333"/>
      <w:bookmarkStart w:id="244" w:name="_Toc226003735"/>
      <w:bookmarkStart w:id="245" w:name="_Toc355248938"/>
      <w:bookmarkStart w:id="246" w:name="_Toc393417783"/>
      <w:bookmarkStart w:id="247" w:name="_Toc389504461"/>
      <w:bookmarkStart w:id="248" w:name="_Toc355247535"/>
      <w:bookmarkStart w:id="249" w:name="_Toc271270917"/>
      <w:bookmarkStart w:id="250" w:name="_Toc357981665"/>
      <w:bookmarkStart w:id="251" w:name="_Toc380626557"/>
      <w:bookmarkStart w:id="252" w:name="_Toc354428876"/>
      <w:bookmarkStart w:id="253" w:name="_Toc389437342"/>
      <w:bookmarkStart w:id="254" w:name="_Toc389504183"/>
      <w:bookmarkStart w:id="255" w:name="_Toc366836358"/>
      <w:bookmarkStart w:id="256" w:name="_Toc281404720"/>
      <w:bookmarkStart w:id="257" w:name="_Toc380625464"/>
      <w:bookmarkStart w:id="258" w:name="_Toc355737798"/>
      <w:bookmarkStart w:id="259" w:name="_Toc355247532"/>
      <w:bookmarkStart w:id="260" w:name="_Toc388623391"/>
      <w:bookmarkStart w:id="261" w:name="_Toc354428873"/>
      <w:bookmarkStart w:id="262" w:name="_Toc29915"/>
      <w:bookmarkStart w:id="263" w:name="_Toc380626618"/>
      <w:bookmarkStart w:id="264" w:name="_Toc5214"/>
      <w:bookmarkStart w:id="265" w:name="_Toc387237701"/>
      <w:bookmarkStart w:id="266" w:name="_Toc281404722"/>
      <w:bookmarkStart w:id="267" w:name="_Toc355247593"/>
      <w:bookmarkStart w:id="268" w:name="_Toc355738330"/>
      <w:bookmarkStart w:id="269" w:name="_Toc355248941"/>
      <w:bookmarkStart w:id="270" w:name="_Toc393417644"/>
      <w:bookmarkStart w:id="271" w:name="_Toc355737801"/>
      <w:bookmarkStart w:id="272" w:name="_Toc357981459"/>
      <w:bookmarkStart w:id="273" w:name="_Toc238875914"/>
      <w:bookmarkStart w:id="274" w:name="_Toc355257336"/>
      <w:bookmarkStart w:id="275" w:name="_Toc355738333"/>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兴国石油分公司上社加油站</w:t>
      </w:r>
      <w:r>
        <w:rPr>
          <w:rFonts w:hint="eastAsia" w:ascii="Times New Roman" w:hAnsi="Times New Roman" w:cs="Times New Roman"/>
          <w:color w:val="auto"/>
          <w:sz w:val="28"/>
          <w:szCs w:val="24"/>
        </w:rPr>
        <w:t>经营的汽油、柴油列入《危险化学品目录》（2015版、202</w:t>
      </w:r>
      <w:r>
        <w:rPr>
          <w:rFonts w:hint="eastAsia" w:ascii="Times New Roman" w:hAnsi="Times New Roman" w:cs="Times New Roman"/>
          <w:color w:val="auto"/>
          <w:sz w:val="28"/>
          <w:szCs w:val="24"/>
          <w:lang w:val="en-US" w:eastAsia="zh-CN"/>
        </w:rPr>
        <w:t>6</w:t>
      </w:r>
      <w:r>
        <w:rPr>
          <w:rFonts w:hint="eastAsia" w:ascii="Times New Roman" w:hAnsi="Times New Roman" w:cs="Times New Roman"/>
          <w:color w:val="auto"/>
          <w:sz w:val="28"/>
          <w:szCs w:val="24"/>
        </w:rPr>
        <w:t>年调整），该站存在的危险因素主要有火灾、爆炸，机械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兴国石油分公司上社加油站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兴国石油分公司上社加油站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default" w:ascii="Times New Roman" w:hAnsi="Times New Roman" w:cs="Times New Roman"/>
          <w:color w:val="auto"/>
          <w:sz w:val="28"/>
          <w:szCs w:val="28"/>
          <w:lang w:val="en-US" w:eastAsia="zh-CN"/>
        </w:rPr>
        <w:t>Ⅱ</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中</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兴国石油分公司上社加油站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6" w:name="_Toc646"/>
      <w:bookmarkStart w:id="277" w:name="_Toc5675"/>
      <w:r>
        <w:rPr>
          <w:rFonts w:hint="eastAsia" w:ascii="宋体" w:hAnsi="宋体"/>
          <w:color w:val="auto"/>
          <w:sz w:val="32"/>
          <w:szCs w:val="32"/>
        </w:rPr>
        <w:t>附件</w:t>
      </w:r>
      <w:bookmarkEnd w:id="276"/>
      <w:bookmarkEnd w:id="277"/>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192FECB6">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rPr>
            </w:pPr>
          </w:p>
        </w:tc>
        <w:tc>
          <w:tcPr>
            <w:tcW w:w="4648" w:type="pct"/>
            <w:vAlign w:val="center"/>
          </w:tcPr>
          <w:p w14:paraId="479F4056">
            <w:pPr>
              <w:rPr>
                <w:color w:val="auto"/>
                <w:sz w:val="28"/>
                <w:szCs w:val="28"/>
              </w:rPr>
            </w:pPr>
            <w:r>
              <w:rPr>
                <w:rFonts w:hint="eastAsia"/>
                <w:color w:val="auto"/>
                <w:sz w:val="28"/>
                <w:szCs w:val="28"/>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rPr>
            </w:pPr>
          </w:p>
        </w:tc>
        <w:tc>
          <w:tcPr>
            <w:tcW w:w="4648" w:type="pct"/>
            <w:vAlign w:val="center"/>
          </w:tcPr>
          <w:p w14:paraId="42456E42">
            <w:pPr>
              <w:rPr>
                <w:color w:val="auto"/>
                <w:sz w:val="28"/>
                <w:szCs w:val="28"/>
              </w:rPr>
            </w:pPr>
            <w:r>
              <w:rPr>
                <w:rFonts w:hint="eastAsia"/>
                <w:color w:val="auto"/>
                <w:sz w:val="28"/>
                <w:szCs w:val="28"/>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rPr>
            </w:pPr>
          </w:p>
        </w:tc>
        <w:tc>
          <w:tcPr>
            <w:tcW w:w="4648" w:type="pct"/>
            <w:vAlign w:val="center"/>
          </w:tcPr>
          <w:p w14:paraId="61136915">
            <w:pPr>
              <w:rPr>
                <w:color w:val="auto"/>
                <w:sz w:val="28"/>
                <w:szCs w:val="28"/>
              </w:rPr>
            </w:pPr>
            <w:r>
              <w:rPr>
                <w:rFonts w:hint="eastAsia"/>
                <w:color w:val="auto"/>
                <w:sz w:val="28"/>
                <w:szCs w:val="28"/>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rPr>
            </w:pPr>
          </w:p>
        </w:tc>
        <w:tc>
          <w:tcPr>
            <w:tcW w:w="4648" w:type="pct"/>
            <w:vAlign w:val="center"/>
          </w:tcPr>
          <w:p w14:paraId="63BCE7F8">
            <w:pPr>
              <w:rPr>
                <w:color w:val="auto"/>
                <w:sz w:val="28"/>
                <w:szCs w:val="28"/>
              </w:rPr>
            </w:pPr>
            <w:r>
              <w:rPr>
                <w:rFonts w:hint="eastAsia"/>
                <w:color w:val="auto"/>
                <w:sz w:val="28"/>
                <w:szCs w:val="28"/>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rPr>
            </w:pPr>
          </w:p>
        </w:tc>
        <w:tc>
          <w:tcPr>
            <w:tcW w:w="4648" w:type="pct"/>
            <w:vAlign w:val="center"/>
          </w:tcPr>
          <w:p w14:paraId="7ACD5EA4">
            <w:pPr>
              <w:rPr>
                <w:color w:val="auto"/>
                <w:sz w:val="28"/>
                <w:szCs w:val="28"/>
              </w:rPr>
            </w:pPr>
            <w:r>
              <w:rPr>
                <w:rFonts w:hint="eastAsia"/>
                <w:color w:val="auto"/>
                <w:sz w:val="28"/>
                <w:szCs w:val="28"/>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rPr>
            </w:pPr>
          </w:p>
        </w:tc>
        <w:tc>
          <w:tcPr>
            <w:tcW w:w="4648" w:type="pct"/>
            <w:vAlign w:val="center"/>
          </w:tcPr>
          <w:p w14:paraId="2D20709C">
            <w:pPr>
              <w:rPr>
                <w:color w:val="auto"/>
                <w:sz w:val="28"/>
                <w:szCs w:val="28"/>
              </w:rPr>
            </w:pPr>
            <w:r>
              <w:rPr>
                <w:rFonts w:hint="eastAsia"/>
                <w:color w:val="auto"/>
                <w:sz w:val="28"/>
                <w:szCs w:val="28"/>
              </w:rPr>
              <w:t>培训记录；</w:t>
            </w:r>
          </w:p>
        </w:tc>
      </w:tr>
      <w:tr w14:paraId="276DC0A0">
        <w:tblPrEx>
          <w:tblCellMar>
            <w:top w:w="0" w:type="dxa"/>
            <w:left w:w="108" w:type="dxa"/>
            <w:bottom w:w="0" w:type="dxa"/>
            <w:right w:w="108" w:type="dxa"/>
          </w:tblCellMar>
        </w:tblPrEx>
        <w:trPr>
          <w:jc w:val="center"/>
        </w:trPr>
        <w:tc>
          <w:tcPr>
            <w:tcW w:w="351" w:type="pct"/>
            <w:vAlign w:val="center"/>
          </w:tcPr>
          <w:p w14:paraId="00E764A2">
            <w:pPr>
              <w:numPr>
                <w:ilvl w:val="0"/>
                <w:numId w:val="16"/>
              </w:numPr>
              <w:rPr>
                <w:rFonts w:ascii="宋体" w:hAnsi="宋体"/>
                <w:color w:val="auto"/>
                <w:sz w:val="28"/>
                <w:szCs w:val="28"/>
                <w:highlight w:val="none"/>
              </w:rPr>
            </w:pPr>
          </w:p>
        </w:tc>
        <w:tc>
          <w:tcPr>
            <w:tcW w:w="4648" w:type="pct"/>
            <w:vAlign w:val="center"/>
          </w:tcPr>
          <w:p w14:paraId="1BE6086B">
            <w:pPr>
              <w:rPr>
                <w:color w:val="auto"/>
                <w:sz w:val="28"/>
                <w:szCs w:val="28"/>
                <w:highlight w:val="none"/>
              </w:rPr>
            </w:pPr>
            <w:r>
              <w:rPr>
                <w:rFonts w:hint="eastAsia"/>
                <w:color w:val="auto"/>
                <w:sz w:val="28"/>
                <w:szCs w:val="28"/>
                <w:highlight w:val="none"/>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rPr>
            </w:pPr>
          </w:p>
        </w:tc>
        <w:tc>
          <w:tcPr>
            <w:tcW w:w="4648" w:type="pct"/>
            <w:vAlign w:val="center"/>
          </w:tcPr>
          <w:p w14:paraId="0DFB3F8F">
            <w:pPr>
              <w:rPr>
                <w:color w:val="auto"/>
                <w:sz w:val="28"/>
                <w:szCs w:val="28"/>
              </w:rPr>
            </w:pPr>
            <w:r>
              <w:rPr>
                <w:rFonts w:hint="eastAsia"/>
                <w:color w:val="auto"/>
                <w:sz w:val="28"/>
                <w:szCs w:val="28"/>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rPr>
            </w:pPr>
          </w:p>
        </w:tc>
        <w:tc>
          <w:tcPr>
            <w:tcW w:w="4648" w:type="pct"/>
            <w:vAlign w:val="center"/>
          </w:tcPr>
          <w:p w14:paraId="22D1A2D0">
            <w:pPr>
              <w:rPr>
                <w:color w:val="auto"/>
                <w:sz w:val="28"/>
                <w:szCs w:val="28"/>
              </w:rPr>
            </w:pPr>
            <w:r>
              <w:rPr>
                <w:rFonts w:hint="eastAsia"/>
                <w:color w:val="auto"/>
                <w:sz w:val="28"/>
                <w:szCs w:val="28"/>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rPr>
            </w:pPr>
          </w:p>
        </w:tc>
        <w:tc>
          <w:tcPr>
            <w:tcW w:w="4648" w:type="pct"/>
            <w:vAlign w:val="center"/>
          </w:tcPr>
          <w:p w14:paraId="64605733">
            <w:pPr>
              <w:rPr>
                <w:color w:val="auto"/>
                <w:sz w:val="28"/>
                <w:szCs w:val="28"/>
              </w:rPr>
            </w:pPr>
            <w:r>
              <w:rPr>
                <w:rFonts w:hint="eastAsia"/>
                <w:color w:val="auto"/>
                <w:sz w:val="28"/>
                <w:szCs w:val="28"/>
              </w:rPr>
              <w:t>近三年无事故说明；</w:t>
            </w:r>
          </w:p>
        </w:tc>
      </w:tr>
      <w:tr w14:paraId="39560870">
        <w:tblPrEx>
          <w:tblCellMar>
            <w:top w:w="0" w:type="dxa"/>
            <w:left w:w="108" w:type="dxa"/>
            <w:bottom w:w="0" w:type="dxa"/>
            <w:right w:w="108" w:type="dxa"/>
          </w:tblCellMar>
        </w:tblPrEx>
        <w:trPr>
          <w:jc w:val="center"/>
        </w:trPr>
        <w:tc>
          <w:tcPr>
            <w:tcW w:w="351" w:type="pct"/>
            <w:vAlign w:val="center"/>
          </w:tcPr>
          <w:p w14:paraId="1D8337A7">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76227C55">
      <w:pPr>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75EB8342">
      <w:pPr>
        <w:spacing w:line="240" w:lineRule="atLeast"/>
        <w:rPr>
          <w:rFonts w:hint="eastAsia" w:ascii="Times New Roman" w:hAnsi="Times New Roman" w:cs="Times New Roman"/>
          <w:b/>
          <w:bCs/>
          <w:color w:val="auto"/>
          <w:sz w:val="28"/>
          <w:szCs w:val="28"/>
        </w:rPr>
        <w:sectPr>
          <w:pgSz w:w="11906" w:h="16838"/>
          <w:pgMar w:top="1417" w:right="1417" w:bottom="1417" w:left="1417" w:header="851" w:footer="992" w:gutter="0"/>
          <w:cols w:space="425" w:num="1"/>
          <w:docGrid w:type="lines" w:linePitch="312" w:charSpace="0"/>
        </w:sectPr>
      </w:pPr>
    </w:p>
    <w:p w14:paraId="6F2BC45A">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06A47E27">
      <w:pPr>
        <w:rPr>
          <w:rFonts w:hint="eastAsia" w:eastAsiaTheme="minorEastAsia"/>
          <w:color w:val="auto"/>
          <w:lang w:eastAsia="zh-CN"/>
        </w:rPr>
      </w:pPr>
    </w:p>
    <w:p w14:paraId="32DF94F2">
      <w:pPr>
        <w:rPr>
          <w:rFonts w:hint="eastAsia" w:eastAsiaTheme="minorEastAsia"/>
          <w:lang w:eastAsia="zh-CN"/>
        </w:rPr>
      </w:pPr>
      <w:r>
        <w:rPr>
          <w:rFonts w:hint="eastAsia" w:ascii="Times New Roman" w:hAnsi="Times New Roman" w:eastAsia="宋体" w:cs="Times New Roman"/>
          <w:color w:val="auto"/>
          <w:lang w:eastAsia="zh-CN"/>
        </w:rPr>
        <w:drawing>
          <wp:inline distT="0" distB="0" distL="114300" distR="114300">
            <wp:extent cx="5757545" cy="3240405"/>
            <wp:effectExtent l="0" t="0" r="14605" b="17145"/>
            <wp:docPr id="76" name="图片 76" descr="d6ac8e5b8a1c545604b8407616e8c1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d6ac8e5b8a1c545604b8407616e8c1d2"/>
                    <pic:cNvPicPr>
                      <a:picLocks noChangeAspect="1"/>
                    </pic:cNvPicPr>
                  </pic:nvPicPr>
                  <pic:blipFill>
                    <a:blip r:embed="rId13"/>
                    <a:stretch>
                      <a:fillRect/>
                    </a:stretch>
                  </pic:blipFill>
                  <pic:spPr>
                    <a:xfrm>
                      <a:off x="0" y="0"/>
                      <a:ext cx="5757545" cy="3240405"/>
                    </a:xfrm>
                    <a:prstGeom prst="rect">
                      <a:avLst/>
                    </a:prstGeom>
                  </pic:spPr>
                </pic:pic>
              </a:graphicData>
            </a:graphic>
          </wp:inline>
        </w:drawing>
      </w:r>
    </w:p>
    <w:p w14:paraId="21449468">
      <w:pPr>
        <w:spacing w:line="360" w:lineRule="auto"/>
        <w:rPr>
          <w:rFonts w:hint="eastAsia" w:ascii="Times New Roman" w:hAnsi="Times New Roman" w:eastAsia="宋体" w:cs="Times New Roman"/>
          <w:color w:val="auto"/>
          <w:lang w:eastAsia="zh-CN"/>
        </w:rPr>
      </w:pPr>
    </w:p>
    <w:sectPr>
      <w:headerReference r:id="rId6" w:type="default"/>
      <w:footerReference r:id="rId7" w:type="default"/>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F66E7">
    <w:pPr>
      <w:pStyle w:val="14"/>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w:t>
    </w:r>
    <w:r>
      <w:rPr>
        <w:rFonts w:hint="eastAsia" w:cs="宋体"/>
        <w:lang w:val="en-US" w:eastAsia="zh-CN"/>
      </w:rPr>
      <w:t>江西赣州</w:t>
    </w:r>
    <w:r>
      <w:rPr>
        <w:rFonts w:hint="eastAsia" w:cs="宋体"/>
        <w:lang w:eastAsia="zh-CN"/>
      </w:rPr>
      <w:t>兴国上社加油站</w:t>
    </w:r>
    <w:r>
      <w:rPr>
        <w:rFonts w:hint="eastAsia" w:cs="宋体"/>
      </w:rPr>
      <w:t xml:space="preserve">安全设施符合性诊断及整改设计安全设施竣工验收评价报告 </w:t>
    </w:r>
    <w:r>
      <w:rPr>
        <w:rFonts w:hint="eastAsia" w:cs="宋体"/>
        <w:lang w:val="en-US" w:eastAsia="zh-CN"/>
      </w:rPr>
      <w:t xml:space="preserve"> </w:t>
    </w:r>
    <w:r>
      <w:rPr>
        <w:rFonts w:hint="eastAsia" w:cs="宋体"/>
      </w:rPr>
      <w:t xml:space="preserve"> </w:t>
    </w:r>
    <w:r>
      <w:rPr>
        <w:rFonts w:ascii="Times New Roman" w:hAnsi="Times New Roman" w:cs="Times New Roman"/>
      </w:rPr>
      <w:t>G</w:t>
    </w:r>
    <w:r>
      <w:rPr>
        <w:rFonts w:hint="eastAsia" w:ascii="Times New Roman" w:hAnsi="Times New Roman" w:cs="Times New Roman"/>
        <w:lang w:val="en-US" w:eastAsia="zh-CN"/>
      </w:rPr>
      <w:t>AA</w:t>
    </w:r>
    <w:r>
      <w:rPr>
        <w:rFonts w:ascii="Times New Roman" w:hAnsi="Times New Roman" w:cs="Times New Roman"/>
      </w:rPr>
      <w:t>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0159</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F7C9B">
    <w:pPr>
      <w:pStyle w:val="15"/>
      <w:jc w:val="left"/>
    </w:pPr>
    <w:r>
      <w:rPr>
        <w:rFonts w:hint="eastAsia" w:cs="宋体"/>
      </w:rPr>
      <w:t>中石化</w:t>
    </w:r>
    <w:r>
      <w:rPr>
        <w:rFonts w:hint="eastAsia" w:cs="宋体"/>
        <w:lang w:val="en-US" w:eastAsia="zh-CN"/>
      </w:rPr>
      <w:t>江西赣州</w:t>
    </w:r>
    <w:r>
      <w:rPr>
        <w:rFonts w:hint="eastAsia" w:cs="宋体"/>
        <w:lang w:eastAsia="zh-CN"/>
      </w:rPr>
      <w:t>兴国上社加油站</w:t>
    </w:r>
    <w:r>
      <w:rPr>
        <w:rFonts w:hint="eastAsia" w:cs="宋体"/>
      </w:rPr>
      <w:t xml:space="preserve">安全设施符合性诊断及整改设计安全设施竣工验收评价报告 </w:t>
    </w:r>
    <w:r>
      <w:rPr>
        <w:rFonts w:hint="eastAsia" w:cs="宋体"/>
        <w:lang w:val="en-US" w:eastAsia="zh-CN"/>
      </w:rPr>
      <w:t xml:space="preserve"> </w:t>
    </w:r>
    <w:r>
      <w:rPr>
        <w:rFonts w:hint="eastAsia" w:cs="宋体"/>
      </w:rPr>
      <w:t xml:space="preserve"> </w:t>
    </w:r>
    <w:r>
      <w:rPr>
        <w:rFonts w:ascii="Times New Roman" w:hAnsi="Times New Roman" w:cs="Times New Roman"/>
      </w:rPr>
      <w:t>G</w:t>
    </w:r>
    <w:r>
      <w:rPr>
        <w:rFonts w:hint="eastAsia" w:ascii="Times New Roman" w:hAnsi="Times New Roman" w:cs="Times New Roman"/>
        <w:lang w:val="en-US" w:eastAsia="zh-CN"/>
      </w:rPr>
      <w:t>AA</w:t>
    </w:r>
    <w:r>
      <w:rPr>
        <w:rFonts w:ascii="Times New Roman" w:hAnsi="Times New Roman" w:cs="Times New Roman"/>
      </w:rPr>
      <w:t>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0159</w:t>
    </w:r>
    <w:r>
      <w:rPr>
        <w:rFonts w:hint="eastAsia" w:cs="宋体"/>
      </w:rPr>
      <w:t>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3">
    <w:nsid w:val="6AA40F13"/>
    <w:multiLevelType w:val="singleLevel"/>
    <w:tmpl w:val="6AA40F13"/>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2"/>
  </w:num>
  <w:num w:numId="3">
    <w:abstractNumId w:val="0"/>
  </w:num>
  <w:num w:numId="4">
    <w:abstractNumId w:val="1"/>
  </w:num>
  <w:num w:numId="5">
    <w:abstractNumId w:val="14"/>
  </w:num>
  <w:num w:numId="6">
    <w:abstractNumId w:val="13"/>
  </w:num>
  <w:num w:numId="7">
    <w:abstractNumId w:val="4"/>
  </w:num>
  <w:num w:numId="8">
    <w:abstractNumId w:val="11"/>
  </w:num>
  <w:num w:numId="9">
    <w:abstractNumId w:val="10"/>
  </w:num>
  <w:num w:numId="10">
    <w:abstractNumId w:val="5"/>
  </w:num>
  <w:num w:numId="11">
    <w:abstractNumId w:val="15"/>
  </w:num>
  <w:num w:numId="12">
    <w:abstractNumId w:val="8"/>
  </w:num>
  <w:num w:numId="13">
    <w:abstractNumId w:val="7"/>
  </w:num>
  <w:num w:numId="14">
    <w:abstractNumId w:val="6"/>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0F363A"/>
    <w:rsid w:val="031158C7"/>
    <w:rsid w:val="035060C8"/>
    <w:rsid w:val="03B10EED"/>
    <w:rsid w:val="048A15BC"/>
    <w:rsid w:val="050F7C41"/>
    <w:rsid w:val="05B84E9D"/>
    <w:rsid w:val="06655FCC"/>
    <w:rsid w:val="06A83136"/>
    <w:rsid w:val="06BB1D69"/>
    <w:rsid w:val="06D849E3"/>
    <w:rsid w:val="07347E38"/>
    <w:rsid w:val="07A07BF6"/>
    <w:rsid w:val="080D690E"/>
    <w:rsid w:val="08A05F2E"/>
    <w:rsid w:val="08E43B13"/>
    <w:rsid w:val="08FA7E41"/>
    <w:rsid w:val="090B5543"/>
    <w:rsid w:val="091D3BD5"/>
    <w:rsid w:val="09DF42DA"/>
    <w:rsid w:val="09FC4AF5"/>
    <w:rsid w:val="0A1C5118"/>
    <w:rsid w:val="0A617A49"/>
    <w:rsid w:val="0A740EC6"/>
    <w:rsid w:val="0A752400"/>
    <w:rsid w:val="0AA21756"/>
    <w:rsid w:val="0AA83B44"/>
    <w:rsid w:val="0AA90EC0"/>
    <w:rsid w:val="0AE566AE"/>
    <w:rsid w:val="0B680A2B"/>
    <w:rsid w:val="0B9E444D"/>
    <w:rsid w:val="0BFA3EA9"/>
    <w:rsid w:val="0C7B4653"/>
    <w:rsid w:val="0CA83D5E"/>
    <w:rsid w:val="0CEA1FBF"/>
    <w:rsid w:val="0D2F3744"/>
    <w:rsid w:val="0D4E3EB1"/>
    <w:rsid w:val="0D632F5A"/>
    <w:rsid w:val="0DB406CD"/>
    <w:rsid w:val="0DB5188A"/>
    <w:rsid w:val="0E396218"/>
    <w:rsid w:val="0EDA5E35"/>
    <w:rsid w:val="0EE76CFB"/>
    <w:rsid w:val="0F7B5093"/>
    <w:rsid w:val="0F834557"/>
    <w:rsid w:val="101C613B"/>
    <w:rsid w:val="10642EC0"/>
    <w:rsid w:val="10D510E7"/>
    <w:rsid w:val="10E16B8A"/>
    <w:rsid w:val="11356CD5"/>
    <w:rsid w:val="115D26B4"/>
    <w:rsid w:val="11DB3C6C"/>
    <w:rsid w:val="11E15880"/>
    <w:rsid w:val="11FE6C69"/>
    <w:rsid w:val="129B16E6"/>
    <w:rsid w:val="13A42ECD"/>
    <w:rsid w:val="13AC347F"/>
    <w:rsid w:val="14327E28"/>
    <w:rsid w:val="156972A1"/>
    <w:rsid w:val="16321ADC"/>
    <w:rsid w:val="16341343"/>
    <w:rsid w:val="163800C9"/>
    <w:rsid w:val="165F6DCC"/>
    <w:rsid w:val="16B632BB"/>
    <w:rsid w:val="171925FC"/>
    <w:rsid w:val="171E2633"/>
    <w:rsid w:val="174A6081"/>
    <w:rsid w:val="18482C3A"/>
    <w:rsid w:val="18894028"/>
    <w:rsid w:val="18DD6D07"/>
    <w:rsid w:val="192D03A2"/>
    <w:rsid w:val="19DD52EC"/>
    <w:rsid w:val="1A063956"/>
    <w:rsid w:val="1A5B5714"/>
    <w:rsid w:val="1AC76DF0"/>
    <w:rsid w:val="1AD02A29"/>
    <w:rsid w:val="1AFC6A9A"/>
    <w:rsid w:val="1B19291E"/>
    <w:rsid w:val="1B78249E"/>
    <w:rsid w:val="1C1C1428"/>
    <w:rsid w:val="1C4346C6"/>
    <w:rsid w:val="1CDD12C2"/>
    <w:rsid w:val="1D906252"/>
    <w:rsid w:val="1DB10597"/>
    <w:rsid w:val="1E543774"/>
    <w:rsid w:val="1E6F1361"/>
    <w:rsid w:val="1EEC5F1F"/>
    <w:rsid w:val="1FB5426C"/>
    <w:rsid w:val="204721E4"/>
    <w:rsid w:val="20476A09"/>
    <w:rsid w:val="204A02A8"/>
    <w:rsid w:val="224C25C1"/>
    <w:rsid w:val="22EE0645"/>
    <w:rsid w:val="22F31550"/>
    <w:rsid w:val="234B4A63"/>
    <w:rsid w:val="23554D03"/>
    <w:rsid w:val="23EB7FF4"/>
    <w:rsid w:val="244A3F2C"/>
    <w:rsid w:val="24D863E2"/>
    <w:rsid w:val="24DE36B4"/>
    <w:rsid w:val="25665B84"/>
    <w:rsid w:val="25D42860"/>
    <w:rsid w:val="26366DDC"/>
    <w:rsid w:val="26414662"/>
    <w:rsid w:val="270A0791"/>
    <w:rsid w:val="27804076"/>
    <w:rsid w:val="278F5A21"/>
    <w:rsid w:val="27D31BF2"/>
    <w:rsid w:val="28395EBC"/>
    <w:rsid w:val="283E5E5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D0A13E9"/>
    <w:rsid w:val="2D0A5BF5"/>
    <w:rsid w:val="2D750387"/>
    <w:rsid w:val="2DA64AEB"/>
    <w:rsid w:val="2DC342BC"/>
    <w:rsid w:val="2E8157DC"/>
    <w:rsid w:val="2E905A1F"/>
    <w:rsid w:val="2F76782F"/>
    <w:rsid w:val="2F9130A0"/>
    <w:rsid w:val="30AC6958"/>
    <w:rsid w:val="30BD0622"/>
    <w:rsid w:val="30C776F3"/>
    <w:rsid w:val="30F55FF5"/>
    <w:rsid w:val="31553C95"/>
    <w:rsid w:val="31753C5C"/>
    <w:rsid w:val="31CF3C0F"/>
    <w:rsid w:val="32D16C5C"/>
    <w:rsid w:val="330264F0"/>
    <w:rsid w:val="3353526D"/>
    <w:rsid w:val="33865643"/>
    <w:rsid w:val="33C76A3A"/>
    <w:rsid w:val="33FC5A9B"/>
    <w:rsid w:val="341F659E"/>
    <w:rsid w:val="350B7C3B"/>
    <w:rsid w:val="3533521C"/>
    <w:rsid w:val="35C125FA"/>
    <w:rsid w:val="35D443B2"/>
    <w:rsid w:val="364C391D"/>
    <w:rsid w:val="367479D5"/>
    <w:rsid w:val="36A04B73"/>
    <w:rsid w:val="36AC2EBA"/>
    <w:rsid w:val="370074BA"/>
    <w:rsid w:val="373940DC"/>
    <w:rsid w:val="37500442"/>
    <w:rsid w:val="376B075D"/>
    <w:rsid w:val="38677946"/>
    <w:rsid w:val="38B92091"/>
    <w:rsid w:val="390053EE"/>
    <w:rsid w:val="39070333"/>
    <w:rsid w:val="3913381F"/>
    <w:rsid w:val="39316051"/>
    <w:rsid w:val="39CF6DF4"/>
    <w:rsid w:val="3A0F1908"/>
    <w:rsid w:val="3A845288"/>
    <w:rsid w:val="3A874DFA"/>
    <w:rsid w:val="3BC44F5A"/>
    <w:rsid w:val="3C011D0B"/>
    <w:rsid w:val="3CBF1EF5"/>
    <w:rsid w:val="3CFC1C86"/>
    <w:rsid w:val="3D2832C7"/>
    <w:rsid w:val="3DEE2A12"/>
    <w:rsid w:val="3E1C544D"/>
    <w:rsid w:val="3E465454"/>
    <w:rsid w:val="3EB25A8F"/>
    <w:rsid w:val="3ED80551"/>
    <w:rsid w:val="3EF94F1B"/>
    <w:rsid w:val="3EFF08B7"/>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81AEB"/>
    <w:rsid w:val="46251D67"/>
    <w:rsid w:val="46405B25"/>
    <w:rsid w:val="46781838"/>
    <w:rsid w:val="46F5246C"/>
    <w:rsid w:val="47306BB6"/>
    <w:rsid w:val="478424CC"/>
    <w:rsid w:val="47DC187E"/>
    <w:rsid w:val="482079BC"/>
    <w:rsid w:val="483A0D83"/>
    <w:rsid w:val="48650A8D"/>
    <w:rsid w:val="48876F28"/>
    <w:rsid w:val="48BF44BA"/>
    <w:rsid w:val="48EA4432"/>
    <w:rsid w:val="48EB4379"/>
    <w:rsid w:val="49367F99"/>
    <w:rsid w:val="49BC705C"/>
    <w:rsid w:val="4A257073"/>
    <w:rsid w:val="4A7E5E83"/>
    <w:rsid w:val="4B096BFE"/>
    <w:rsid w:val="4B3814C1"/>
    <w:rsid w:val="4B506195"/>
    <w:rsid w:val="4C037D94"/>
    <w:rsid w:val="4C6D0CF6"/>
    <w:rsid w:val="4C7A46CB"/>
    <w:rsid w:val="4D117EAF"/>
    <w:rsid w:val="4D482619"/>
    <w:rsid w:val="4DB93CE6"/>
    <w:rsid w:val="4DC71290"/>
    <w:rsid w:val="4DD96B8E"/>
    <w:rsid w:val="4E1D2F71"/>
    <w:rsid w:val="4E263853"/>
    <w:rsid w:val="4E6332C9"/>
    <w:rsid w:val="4E75187A"/>
    <w:rsid w:val="4EF56E02"/>
    <w:rsid w:val="4F2C2030"/>
    <w:rsid w:val="4F431A16"/>
    <w:rsid w:val="4F625CFC"/>
    <w:rsid w:val="50CB28C3"/>
    <w:rsid w:val="520A7A55"/>
    <w:rsid w:val="524D28B3"/>
    <w:rsid w:val="53071EA5"/>
    <w:rsid w:val="531E0F9C"/>
    <w:rsid w:val="53787CAE"/>
    <w:rsid w:val="5382152B"/>
    <w:rsid w:val="53E45164"/>
    <w:rsid w:val="54025339"/>
    <w:rsid w:val="543E66CC"/>
    <w:rsid w:val="54AA0D71"/>
    <w:rsid w:val="54E029AD"/>
    <w:rsid w:val="559744C0"/>
    <w:rsid w:val="559A547B"/>
    <w:rsid w:val="55D346A2"/>
    <w:rsid w:val="56DC1833"/>
    <w:rsid w:val="57775044"/>
    <w:rsid w:val="57A0738E"/>
    <w:rsid w:val="57D936E4"/>
    <w:rsid w:val="57FF5F11"/>
    <w:rsid w:val="58387E39"/>
    <w:rsid w:val="58553E64"/>
    <w:rsid w:val="587B4B9C"/>
    <w:rsid w:val="58D073A5"/>
    <w:rsid w:val="590B5B1F"/>
    <w:rsid w:val="595F3D47"/>
    <w:rsid w:val="599B004C"/>
    <w:rsid w:val="5A2101BA"/>
    <w:rsid w:val="5A290CB4"/>
    <w:rsid w:val="5ABB5ED1"/>
    <w:rsid w:val="5AF847D6"/>
    <w:rsid w:val="5CB27A65"/>
    <w:rsid w:val="5CC26E3C"/>
    <w:rsid w:val="5CD129E8"/>
    <w:rsid w:val="5CE713B5"/>
    <w:rsid w:val="5D041D1A"/>
    <w:rsid w:val="5D9E11DA"/>
    <w:rsid w:val="5DA465C2"/>
    <w:rsid w:val="5DCB4BA6"/>
    <w:rsid w:val="5DCC7310"/>
    <w:rsid w:val="5DEF1AA3"/>
    <w:rsid w:val="5E185797"/>
    <w:rsid w:val="5E1E1CD6"/>
    <w:rsid w:val="5E984D81"/>
    <w:rsid w:val="5EBF5F80"/>
    <w:rsid w:val="5ED752A6"/>
    <w:rsid w:val="5ED942F1"/>
    <w:rsid w:val="5EF64554"/>
    <w:rsid w:val="5F5B246C"/>
    <w:rsid w:val="5F6E2768"/>
    <w:rsid w:val="5FA94BFF"/>
    <w:rsid w:val="60927EDC"/>
    <w:rsid w:val="60D93EF7"/>
    <w:rsid w:val="61C815F8"/>
    <w:rsid w:val="621C0D9D"/>
    <w:rsid w:val="62380E16"/>
    <w:rsid w:val="62F16AC3"/>
    <w:rsid w:val="63F83144"/>
    <w:rsid w:val="64373C6C"/>
    <w:rsid w:val="644B5969"/>
    <w:rsid w:val="649977A6"/>
    <w:rsid w:val="64E83A14"/>
    <w:rsid w:val="650521AA"/>
    <w:rsid w:val="651A4726"/>
    <w:rsid w:val="66565342"/>
    <w:rsid w:val="66665840"/>
    <w:rsid w:val="670D2DDD"/>
    <w:rsid w:val="686F6D95"/>
    <w:rsid w:val="68A40B37"/>
    <w:rsid w:val="68B82CC6"/>
    <w:rsid w:val="68BC085A"/>
    <w:rsid w:val="69141461"/>
    <w:rsid w:val="69211767"/>
    <w:rsid w:val="69C6749B"/>
    <w:rsid w:val="6A1F0A75"/>
    <w:rsid w:val="6A5E56C2"/>
    <w:rsid w:val="6ACE4BFE"/>
    <w:rsid w:val="6ADB330F"/>
    <w:rsid w:val="6AF331DF"/>
    <w:rsid w:val="6B5E5F7B"/>
    <w:rsid w:val="6BAE6F0A"/>
    <w:rsid w:val="6BF9414D"/>
    <w:rsid w:val="6CB23185"/>
    <w:rsid w:val="6D8D0DA1"/>
    <w:rsid w:val="6D940955"/>
    <w:rsid w:val="6DA947E3"/>
    <w:rsid w:val="6DEC6D14"/>
    <w:rsid w:val="6E6E06F7"/>
    <w:rsid w:val="6E9F6FDD"/>
    <w:rsid w:val="6EE76E86"/>
    <w:rsid w:val="6F651FD5"/>
    <w:rsid w:val="6F7F0E86"/>
    <w:rsid w:val="6FAC1AE5"/>
    <w:rsid w:val="708A757C"/>
    <w:rsid w:val="708F3705"/>
    <w:rsid w:val="7151758B"/>
    <w:rsid w:val="71700044"/>
    <w:rsid w:val="71F10209"/>
    <w:rsid w:val="72F642DA"/>
    <w:rsid w:val="733323D9"/>
    <w:rsid w:val="73506D16"/>
    <w:rsid w:val="73AA4118"/>
    <w:rsid w:val="74262963"/>
    <w:rsid w:val="744C72C0"/>
    <w:rsid w:val="750C5711"/>
    <w:rsid w:val="7557241A"/>
    <w:rsid w:val="76A43029"/>
    <w:rsid w:val="76AE6010"/>
    <w:rsid w:val="76C10625"/>
    <w:rsid w:val="76F65095"/>
    <w:rsid w:val="77333075"/>
    <w:rsid w:val="77E50981"/>
    <w:rsid w:val="786D1EFA"/>
    <w:rsid w:val="789D7AA5"/>
    <w:rsid w:val="792F33AF"/>
    <w:rsid w:val="79A1317A"/>
    <w:rsid w:val="7A540C70"/>
    <w:rsid w:val="7A660689"/>
    <w:rsid w:val="7A835A05"/>
    <w:rsid w:val="7A9E283F"/>
    <w:rsid w:val="7ACA405F"/>
    <w:rsid w:val="7AE50058"/>
    <w:rsid w:val="7B851309"/>
    <w:rsid w:val="7BA050EE"/>
    <w:rsid w:val="7BD21C71"/>
    <w:rsid w:val="7CF41358"/>
    <w:rsid w:val="7D166A24"/>
    <w:rsid w:val="7DA04A2D"/>
    <w:rsid w:val="7DA77B98"/>
    <w:rsid w:val="7DF93C3C"/>
    <w:rsid w:val="7E154BC6"/>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5"/>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6"/>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7"/>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1"/>
    <w:semiHidden/>
    <w:qFormat/>
    <w:uiPriority w:val="99"/>
    <w:pPr>
      <w:jc w:val="left"/>
    </w:pPr>
  </w:style>
  <w:style w:type="paragraph" w:styleId="7">
    <w:name w:val="Body Text 3"/>
    <w:basedOn w:val="1"/>
    <w:link w:val="42"/>
    <w:qFormat/>
    <w:uiPriority w:val="99"/>
    <w:pPr>
      <w:spacing w:after="120"/>
    </w:pPr>
    <w:rPr>
      <w:rFonts w:ascii="Times New Roman" w:hAnsi="Times New Roman" w:cs="Times New Roman"/>
      <w:sz w:val="16"/>
      <w:szCs w:val="16"/>
    </w:rPr>
  </w:style>
  <w:style w:type="paragraph" w:styleId="8">
    <w:name w:val="Body Text"/>
    <w:basedOn w:val="1"/>
    <w:link w:val="40"/>
    <w:qFormat/>
    <w:uiPriority w:val="99"/>
    <w:pPr>
      <w:widowControl/>
      <w:spacing w:before="100" w:beforeAutospacing="1" w:after="100" w:afterAutospacing="1"/>
      <w:jc w:val="left"/>
    </w:pPr>
    <w:rPr>
      <w:kern w:val="0"/>
      <w:sz w:val="20"/>
      <w:szCs w:val="20"/>
    </w:rPr>
  </w:style>
  <w:style w:type="paragraph" w:styleId="9">
    <w:name w:val="Body Text Indent"/>
    <w:basedOn w:val="1"/>
    <w:link w:val="38"/>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3"/>
    <w:qFormat/>
    <w:uiPriority w:val="99"/>
    <w:rPr>
      <w:rFonts w:ascii="宋体" w:hAnsi="Courier New" w:cs="宋体"/>
    </w:rPr>
  </w:style>
  <w:style w:type="paragraph" w:styleId="12">
    <w:name w:val="Body Text Indent 2"/>
    <w:basedOn w:val="1"/>
    <w:link w:val="44"/>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5"/>
    <w:qFormat/>
    <w:uiPriority w:val="99"/>
    <w:pPr>
      <w:tabs>
        <w:tab w:val="center" w:pos="4153"/>
        <w:tab w:val="right" w:pos="8306"/>
      </w:tabs>
      <w:snapToGrid w:val="0"/>
      <w:jc w:val="left"/>
    </w:pPr>
    <w:rPr>
      <w:kern w:val="0"/>
      <w:sz w:val="18"/>
      <w:szCs w:val="18"/>
    </w:rPr>
  </w:style>
  <w:style w:type="paragraph" w:styleId="15">
    <w:name w:val="header"/>
    <w:basedOn w:val="1"/>
    <w:link w:val="46"/>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9"/>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customStyle="1" w:styleId="33">
    <w:name w:val="Default1"/>
    <w:basedOn w:val="34"/>
    <w:qFormat/>
    <w:uiPriority w:val="99"/>
    <w:pPr>
      <w:autoSpaceDE w:val="0"/>
      <w:autoSpaceDN w:val="0"/>
      <w:adjustRightInd w:val="0"/>
    </w:pPr>
    <w:rPr>
      <w:rFonts w:hAnsi="Times New Roman" w:eastAsia="宋体" w:cs="宋体"/>
      <w:color w:val="000000"/>
      <w:kern w:val="0"/>
    </w:rPr>
  </w:style>
  <w:style w:type="paragraph" w:customStyle="1" w:styleId="34">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5">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6">
    <w:name w:val="标题 2 Char"/>
    <w:basedOn w:val="27"/>
    <w:link w:val="3"/>
    <w:qFormat/>
    <w:locked/>
    <w:uiPriority w:val="99"/>
    <w:rPr>
      <w:rFonts w:ascii="Times New Roman" w:hAnsi="Times New Roman" w:eastAsia="宋体" w:cs="Times New Roman"/>
      <w:b/>
      <w:bCs/>
      <w:sz w:val="28"/>
      <w:szCs w:val="28"/>
    </w:rPr>
  </w:style>
  <w:style w:type="character" w:customStyle="1" w:styleId="37">
    <w:name w:val="标题 3 Char"/>
    <w:basedOn w:val="27"/>
    <w:link w:val="4"/>
    <w:semiHidden/>
    <w:qFormat/>
    <w:locked/>
    <w:uiPriority w:val="99"/>
    <w:rPr>
      <w:rFonts w:ascii="Calibri" w:hAnsi="Calibri" w:cs="Calibri"/>
      <w:b/>
      <w:bCs/>
      <w:sz w:val="32"/>
      <w:szCs w:val="32"/>
    </w:rPr>
  </w:style>
  <w:style w:type="character" w:customStyle="1" w:styleId="38">
    <w:name w:val="正文文本缩进 Char"/>
    <w:basedOn w:val="27"/>
    <w:link w:val="9"/>
    <w:semiHidden/>
    <w:qFormat/>
    <w:locked/>
    <w:uiPriority w:val="99"/>
    <w:rPr>
      <w:rFonts w:ascii="Calibri" w:hAnsi="Calibri" w:cs="Calibri"/>
      <w:sz w:val="21"/>
      <w:szCs w:val="21"/>
    </w:rPr>
  </w:style>
  <w:style w:type="character" w:customStyle="1" w:styleId="39">
    <w:name w:val="正文首行缩进 2 Char"/>
    <w:basedOn w:val="38"/>
    <w:link w:val="24"/>
    <w:semiHidden/>
    <w:qFormat/>
    <w:uiPriority w:val="99"/>
    <w:rPr>
      <w:rFonts w:ascii="Calibri" w:hAnsi="Calibri" w:cs="Calibri"/>
      <w:sz w:val="21"/>
      <w:szCs w:val="21"/>
    </w:rPr>
  </w:style>
  <w:style w:type="character" w:customStyle="1" w:styleId="40">
    <w:name w:val="正文文本 Char"/>
    <w:basedOn w:val="27"/>
    <w:link w:val="8"/>
    <w:semiHidden/>
    <w:qFormat/>
    <w:locked/>
    <w:uiPriority w:val="99"/>
    <w:rPr>
      <w:rFonts w:ascii="Calibri" w:hAnsi="Calibri" w:cs="Calibri"/>
      <w:sz w:val="21"/>
      <w:szCs w:val="21"/>
    </w:rPr>
  </w:style>
  <w:style w:type="character" w:customStyle="1" w:styleId="41">
    <w:name w:val="批注文字 Char"/>
    <w:basedOn w:val="27"/>
    <w:link w:val="6"/>
    <w:semiHidden/>
    <w:qFormat/>
    <w:uiPriority w:val="99"/>
    <w:rPr>
      <w:rFonts w:ascii="Calibri" w:hAnsi="Calibri" w:cs="Calibri"/>
      <w:szCs w:val="21"/>
    </w:rPr>
  </w:style>
  <w:style w:type="character" w:customStyle="1" w:styleId="42">
    <w:name w:val="正文文本 3 Char"/>
    <w:basedOn w:val="27"/>
    <w:link w:val="7"/>
    <w:qFormat/>
    <w:locked/>
    <w:uiPriority w:val="99"/>
    <w:rPr>
      <w:kern w:val="2"/>
      <w:sz w:val="16"/>
      <w:szCs w:val="16"/>
    </w:rPr>
  </w:style>
  <w:style w:type="character" w:customStyle="1" w:styleId="43">
    <w:name w:val="纯文本 Char"/>
    <w:basedOn w:val="27"/>
    <w:link w:val="11"/>
    <w:semiHidden/>
    <w:qFormat/>
    <w:uiPriority w:val="99"/>
    <w:rPr>
      <w:rFonts w:ascii="宋体" w:hAnsi="Courier New" w:cs="Courier New"/>
      <w:szCs w:val="21"/>
    </w:rPr>
  </w:style>
  <w:style w:type="character" w:customStyle="1" w:styleId="44">
    <w:name w:val="正文文本缩进 2 Char"/>
    <w:basedOn w:val="27"/>
    <w:link w:val="12"/>
    <w:semiHidden/>
    <w:qFormat/>
    <w:locked/>
    <w:uiPriority w:val="99"/>
    <w:rPr>
      <w:rFonts w:ascii="Calibri" w:hAnsi="Calibri" w:cs="Calibri"/>
      <w:sz w:val="21"/>
      <w:szCs w:val="21"/>
    </w:rPr>
  </w:style>
  <w:style w:type="character" w:customStyle="1" w:styleId="45">
    <w:name w:val="页脚 Char"/>
    <w:basedOn w:val="27"/>
    <w:link w:val="14"/>
    <w:semiHidden/>
    <w:qFormat/>
    <w:locked/>
    <w:uiPriority w:val="99"/>
    <w:rPr>
      <w:rFonts w:ascii="Calibri" w:hAnsi="Calibri" w:cs="Calibri"/>
      <w:sz w:val="18"/>
      <w:szCs w:val="18"/>
    </w:rPr>
  </w:style>
  <w:style w:type="character" w:customStyle="1" w:styleId="46">
    <w:name w:val="页眉 Char"/>
    <w:basedOn w:val="27"/>
    <w:link w:val="15"/>
    <w:semiHidden/>
    <w:qFormat/>
    <w:locked/>
    <w:uiPriority w:val="99"/>
    <w:rPr>
      <w:rFonts w:ascii="Calibri" w:hAnsi="Calibri" w:cs="Calibri"/>
      <w:sz w:val="18"/>
      <w:szCs w:val="18"/>
    </w:rPr>
  </w:style>
  <w:style w:type="paragraph" w:customStyle="1" w:styleId="47">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8">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9">
    <w:name w:val="question-title2"/>
    <w:basedOn w:val="27"/>
    <w:qFormat/>
    <w:uiPriority w:val="99"/>
  </w:style>
  <w:style w:type="paragraph" w:customStyle="1" w:styleId="50">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1">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2">
    <w:name w:val="List Paragraph"/>
    <w:basedOn w:val="1"/>
    <w:qFormat/>
    <w:uiPriority w:val="99"/>
    <w:pPr>
      <w:ind w:firstLine="420" w:firstLineChars="200"/>
    </w:pPr>
  </w:style>
  <w:style w:type="paragraph" w:customStyle="1" w:styleId="53">
    <w:name w:val="Char"/>
    <w:basedOn w:val="1"/>
    <w:qFormat/>
    <w:uiPriority w:val="99"/>
    <w:pPr>
      <w:spacing w:line="360" w:lineRule="auto"/>
      <w:ind w:firstLine="200" w:firstLineChars="200"/>
    </w:pPr>
    <w:rPr>
      <w:rFonts w:ascii="宋体" w:hAnsi="宋体" w:cs="宋体"/>
      <w:sz w:val="24"/>
      <w:szCs w:val="24"/>
    </w:rPr>
  </w:style>
  <w:style w:type="paragraph" w:customStyle="1" w:styleId="54">
    <w:name w:val="Default"/>
    <w:basedOn w:val="55"/>
    <w:next w:val="24"/>
    <w:qFormat/>
    <w:uiPriority w:val="99"/>
    <w:pPr>
      <w:autoSpaceDE w:val="0"/>
      <w:autoSpaceDN w:val="0"/>
      <w:adjustRightInd w:val="0"/>
    </w:pPr>
    <w:rPr>
      <w:rFonts w:ascii="Arial" w:hAnsi="Arial" w:cs="Arial"/>
      <w:sz w:val="24"/>
    </w:rPr>
  </w:style>
  <w:style w:type="paragraph" w:customStyle="1" w:styleId="55">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1"/>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jpeg"/><Relationship Id="rId12" Type="http://schemas.openxmlformats.org/officeDocument/2006/relationships/image" Target="media/image3.wmf"/><Relationship Id="rId11" Type="http://schemas.openxmlformats.org/officeDocument/2006/relationships/image" Target="media/image2.wmf"/><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111</Pages>
  <Words>4212</Words>
  <Characters>4958</Characters>
  <Lines>655</Lines>
  <Paragraphs>184</Paragraphs>
  <TotalTime>1</TotalTime>
  <ScaleCrop>false</ScaleCrop>
  <LinksUpToDate>false</LinksUpToDate>
  <CharactersWithSpaces>5157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2026-05-28T02:29:00Z</cp:lastPrinted>
  <dcterms:modified xsi:type="dcterms:W3CDTF">2026-06-01T01:42:15Z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06751EB3F1C54C1CA511E1EEB9FE3688_13</vt:lpwstr>
  </property>
  <property fmtid="{D5CDD505-2E9C-101B-9397-08002B2CF9AE}" pid="4" name="KSOTemplateDocerSaveRecord">
    <vt:lpwstr>eyJoZGlkIjoiY2UwNTVkYjdhMjkwMjZhNjhmMzMzNjMzMzk2ZjFhMWIiLCJ1c2VySWQiOiIyNzY5OTQ2MDUifQ==</vt:lpwstr>
  </property>
</Properties>
</file>